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4"/>
          <w:szCs w:val="44"/>
        </w:rPr>
        <w:t xml:space="preserve">Chapter 4: Results and Interpretation</w:t>
      </w:r>
    </w:p>
    <w:p>
      <w:pPr>
        <w:spacing w:after="80" w:before="0"/>
      </w:pPr>
      <w:r>
        <w:rPr>
          <w:rFonts w:ascii="Arial" w:cs="Arial" w:eastAsia="Arial" w:hAnsi="Arial"/>
          <w:i/>
          <w:iCs/>
          <w:color w:val="555555"/>
          <w:sz w:val="22"/>
          <w:szCs w:val="22"/>
        </w:rPr>
        <w:t xml:space="preserve">Economic Crisis Prediction: Improving the Trade-off Between Interpretability and Statistical Accuracy in ML-Enhanced Crisis Prediction Models</w:t>
      </w:r>
    </w:p>
    <w:p>
      <w:pPr>
        <w:spacing w:after="320" w:before="0"/>
      </w:pPr>
      <w:r>
        <w:rPr>
          <w:rFonts w:ascii="Arial" w:cs="Arial" w:eastAsia="Arial" w:hAnsi="Arial"/>
          <w:color w:val="888888"/>
          <w:sz w:val="20"/>
          <w:szCs w:val="20"/>
        </w:rPr>
        <w:t xml:space="preserve">Pavlos Papachristos | PP24589 | MSc Artificial Intelligence, University of Essex Online | April 2026</w:t>
      </w:r>
    </w:p>
    <w:p>
      <w:pPr>
        <w:pBdr>
          <w:bottom w:val="single" w:color="D0D0D0" w:sz="4" w:space="1"/>
        </w:pBdr>
        <w:spacing w:after="200" w:before="200"/>
      </w:pPr>
    </w:p>
    <w:p>
      <w:pPr>
        <w:spacing w:after="80" w:before="0"/>
      </w:pPr>
    </w:p>
    <w:p>
      <w:pPr>
        <w:pStyle w:val="Heading1"/>
        <w:spacing w:after="160" w:before="400"/>
      </w:pPr>
      <w:r>
        <w:rPr>
          <w:rFonts w:ascii="Arial" w:cs="Arial" w:eastAsia="Arial" w:hAnsi="Arial"/>
          <w:b/>
          <w:bCs/>
          <w:color w:val="1F4E79"/>
          <w:sz w:val="30"/>
          <w:szCs w:val="30"/>
        </w:rPr>
        <w:t xml:space="preserve">4.1  Dataset and Experimental Setup</w:t>
      </w:r>
    </w:p>
    <w:p>
      <w:pPr>
        <w:spacing w:after="160" w:before="40"/>
        <w:jc w:val="both"/>
      </w:pPr>
      <w:r>
        <w:rPr>
          <w:rFonts w:ascii="Arial" w:cs="Arial" w:eastAsia="Arial" w:hAnsi="Arial"/>
          <w:sz w:val="22"/>
          <w:szCs w:val="22"/>
        </w:rPr>
        <w:t xml:space="preserve">The modelling dataset comprises 319 usable country-year observations drawn from the 432-row master panel, covering 18 advanced economies over 2003 to 2020. The reduction from 432 rows follows from the multi-lag feature design: applying lags of one, two and three years to macro-level variables eliminates the 1997 to 2002 observations per country, which lack the historical depth required to populate t-3 features without boundary artefacts. Sentiment features are derived from 16,622 BIS central bank speeches processed through FinBERT and aggregated to annual country-level means. A three-stage imputation procedure fills gaps in sentiment coverage: within-country forward-fill uses the previous year's value first; residual gaps are filled with the cross-sectional mean for that year across all 18 countries. No future information enters the sentiment features at any stage of construction.</w:t>
      </w:r>
    </w:p>
    <w:p>
      <w:pPr>
        <w:spacing w:after="160" w:before="40"/>
        <w:jc w:val="both"/>
      </w:pPr>
      <w:r>
        <w:rPr>
          <w:rFonts w:ascii="Arial" w:cs="Arial" w:eastAsia="Arial" w:hAnsi="Arial"/>
          <w:sz w:val="22"/>
          <w:szCs w:val="22"/>
        </w:rPr>
        <w:t xml:space="preserve">The primary prediction target, target_h2, marks a year as positive if a systemic banking crisis onset occurs within the following two years, generating 26 positive observations against 293 negative — a base rate of 8.2 per cent. The concentration of crisis events in the GFC period implies that effective model evaluation approximates a single crisis episode rather than multiple independent realisations; all metrics reported in this chapter should be interpreted as indicative given this structural constraint. The COVID-19 shock in 2020 is excluded from the crisis chronology as it does not satisfy the JST or Laeven-Valencia (2020) criteria for a systemic banking crisis; the 2020 observation is retained in the dataset but assigned to the hold-out set.</w:t>
      </w:r>
    </w:p>
    <w:p>
      <w:pPr>
        <w:spacing w:after="160" w:before="40"/>
        <w:jc w:val="both"/>
      </w:pPr>
      <w:r>
        <w:rPr>
          <w:rFonts w:ascii="Arial" w:cs="Arial" w:eastAsia="Arial" w:hAnsi="Arial"/>
          <w:sz w:val="22"/>
          <w:szCs w:val="22"/>
        </w:rPr>
        <w:t xml:space="preserve">Three model specifications represent distinct points on the accuracy-interpretability continuum. M1 is a logistic regression trained on 19 macro features at lag one only, replicating the transparent linear baseline of Schularick and Taylor (2012). M2 is a Random Forest trained on 41 macro features spanning lags one, two and three, adding non-linear capacity and multi-horizon information. M3 is an XGBoost model trained on 61 features extending M2 with 20 rolling-demeaned FinBERT sentiment features at lags one and two. All features are normalised using an expanding country-specific mean — the mean of all past observations for that country up to t-1 — to prevent forward leakage. The scale_pos_weight parameter for XGBoost is computed within each training fold on that fold's training data only. Expanding-window cross-validation applies a four-year burn-in and annual re-estimation from 2007 to 2018; 2019 and 2020 are held out.</w:t>
      </w:r>
    </w:p>
    <w:p>
      <w:pPr>
        <w:spacing w:after="80" w:before="0"/>
      </w:pPr>
    </w:p>
    <w:p>
      <w:pPr>
        <w:pStyle w:val="Heading1"/>
        <w:spacing w:after="160" w:before="400"/>
      </w:pPr>
      <w:r>
        <w:rPr>
          <w:rFonts w:ascii="Arial" w:cs="Arial" w:eastAsia="Arial" w:hAnsi="Arial"/>
          <w:b/>
          <w:bCs/>
          <w:color w:val="1F4E79"/>
          <w:sz w:val="30"/>
          <w:szCs w:val="30"/>
        </w:rPr>
        <w:t xml:space="preserve">4.2  Primary Model Comparison</w:t>
      </w:r>
    </w:p>
    <w:p>
      <w:pPr>
        <w:spacing w:after="160" w:before="40"/>
        <w:jc w:val="both"/>
      </w:pPr>
      <w:r>
        <w:rPr>
          <w:rFonts w:ascii="Arial" w:cs="Arial" w:eastAsia="Arial" w:hAnsi="Arial"/>
          <w:sz w:val="22"/>
          <w:szCs w:val="22"/>
        </w:rPr>
        <w:t xml:space="preserve">Table 4.1 presents evaluation metrics for the three specifications on the H2 (2-year) target. Bootstrap 95 per cent confidence intervals from 1,000 resamples of the pooled OOS predictions are reported as indicative bounds; the effective evaluation structure approximates a single cross-section of 18 country-year observations, so these intervals substantially understate true model uncertainty.</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500"/>
        <w:gridCol w:w="500"/>
        <w:gridCol w:w="900"/>
        <w:gridCol w:w="1400"/>
        <w:gridCol w:w="900"/>
        <w:gridCol w:w="1000"/>
        <w:gridCol w:w="826"/>
      </w:tblGrid>
      <w:tr>
        <w:trPr>
          <w:tblHeader/>
        </w:trPr>
        <w:tc>
          <w:tcPr>
            <w:tcW w:type="dxa" w:w="2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14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95% CI</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Logistic Regression (macro lag1)</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0.876</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[0.802, 0.940]</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0.285</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3.5×</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0.212</w:t>
            </w:r>
          </w:p>
        </w:tc>
      </w:tr>
      <w:tr>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M2: Random Forest (macro lag1–3)</w:t>
            </w:r>
          </w:p>
        </w:tc>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0.946</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[0.877, 0.989]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0.561</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6.9×</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0.051</w:t>
            </w:r>
          </w:p>
        </w:tc>
      </w:tr>
      <w:tr>
        <w:tc>
          <w:tcPr>
            <w:tcW w:type="dxa" w:w="2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XGBoost + FinBERT (macro + sent)</w:t>
            </w:r>
          </w:p>
        </w:tc>
        <w:tc>
          <w:tcPr>
            <w:tcW w:type="dxa" w:w="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61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0.959</w:t>
            </w:r>
          </w:p>
        </w:tc>
        <w:tc>
          <w:tcPr>
            <w:tcW w:type="dxa" w:w="14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[0.890, 0.996]</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0.657</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8.1×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0.083</w:t>
            </w:r>
          </w:p>
        </w:tc>
      </w:tr>
    </w:tbl>
    <w:p>
      <w:pPr>
        <w:spacing w:after="120" w:before="60"/>
      </w:pPr>
      <w:r>
        <w:rPr>
          <w:rFonts w:ascii="Arial" w:cs="Arial" w:eastAsia="Arial" w:hAnsi="Arial"/>
          <w:i/>
          <w:iCs/>
          <w:color w:val="555555"/>
          <w:sz w:val="18"/>
          <w:szCs w:val="18"/>
        </w:rPr>
        <w:t xml:space="preserve">Table 4.1. Expanding-window CV on H2 (2-year) target. Baseline AUPRC = 0.082. Events: 26/319. CIs: 1,000 bootstrap resamples; treat as indicative given single-crisis-episode evaluation.</w:t>
      </w:r>
    </w:p>
    <w:p>
      <w:pPr>
        <w:spacing w:after="80" w:before="0"/>
      </w:pPr>
    </w:p>
    <w:p>
      <w:pPr>
        <w:spacing w:after="160" w:before="40"/>
        <w:jc w:val="both"/>
      </w:pPr>
      <w:r>
        <w:rPr>
          <w:rFonts w:ascii="Arial" w:cs="Arial" w:eastAsia="Arial" w:hAnsi="Arial"/>
          <w:sz w:val="22"/>
          <w:szCs w:val="22"/>
        </w:rPr>
        <w:t xml:space="preserve">M1 achieves AUROC 0.876 and AUPRC 0.285, a 3.5× lift. The Brier Score of 0.212 reflects systematic probability miscalibration — M1 assigns elevated crisis probabilities to non-crisis periods throughout the post-GFC decade, as confirmed in the reliability diagram (Figure 4.4) and temporal analysis (Section 4.8). M2 achieves AUROC 0.946 and AUPRC 0.561, a 6.9× lift, with Brier Score 0.051. M3 achieves AUROC 0.959 and AUPRC 0.657, an 8.1× lift, exceeding M2 on both primary discrimination metrics. The Brier Score of 0.083, while better than M1, is worse than M2's 0.051, reflecting a calibration cost that accompanies the discrimination gain.</w:t>
      </w:r>
    </w:p>
    <w:p>
      <w:pPr>
        <w:spacing w:after="160" w:before="40"/>
        <w:jc w:val="both"/>
      </w:pPr>
      <w:r>
        <w:rPr>
          <w:rFonts w:ascii="Arial" w:cs="Arial" w:eastAsia="Arial" w:hAnsi="Arial"/>
          <w:b/>
          <w:bCs/>
          <w:sz w:val="22"/>
          <w:szCs w:val="22"/>
        </w:rPr>
        <w:t xml:space="preserve">H1 (Discrimination)</w:t>
      </w:r>
      <w:r>
        <w:rPr>
          <w:rFonts w:ascii="Arial" w:cs="Arial" w:eastAsia="Arial" w:hAnsi="Arial"/>
          <w:sz w:val="22"/>
          <w:szCs w:val="22"/>
        </w:rPr>
        <w:t xml:space="preserve">: Supported, with qualification. M3 shows consistent but modest incremental improvement in discrimination metrics over M2 — AUROC +1.3 percentage points, AUPRC +9.6 percentage points — at the primary H2 horizon. The confidence intervals overlap substantially, and the effect sizes are modest relative to the measurement uncertainty inherent in a 26-event sample. Results should be interpreted as indicative rather than as definitive confirmation of M3's superiority; the direction of the advantage is consistent across multiple independent analyses but its magnitude cannot be precisely estimated from this dataset. M2 retains a calibration advantage (Brier 0.051 vs 0.083). The finding reverses an earlier uncorrected pipeline in which full-sample demeaning artificially inflated M2's performance.</w:t>
      </w:r>
    </w:p>
    <w:p>
      <w:pPr>
        <w:spacing w:after="80" w:before="0"/>
      </w:pPr>
    </w:p>
    <w:p>
      <w:pPr>
        <w:pStyle w:val="Heading1"/>
        <w:spacing w:after="160" w:before="400"/>
      </w:pPr>
      <w:r>
        <w:rPr>
          <w:rFonts w:ascii="Arial" w:cs="Arial" w:eastAsia="Arial" w:hAnsi="Arial"/>
          <w:b/>
          <w:bCs/>
          <w:color w:val="1F4E79"/>
          <w:sz w:val="30"/>
          <w:szCs w:val="30"/>
        </w:rPr>
        <w:t xml:space="preserve">4.3  Identification: Decomposing the M1 to M2 Performance Gain</w:t>
      </w:r>
    </w:p>
    <w:p>
      <w:pPr>
        <w:spacing w:after="160" w:before="40"/>
        <w:jc w:val="both"/>
      </w:pPr>
      <w:r>
        <w:rPr>
          <w:rFonts w:ascii="Arial" w:cs="Arial" w:eastAsia="Arial" w:hAnsi="Arial"/>
          <w:sz w:val="22"/>
          <w:szCs w:val="22"/>
        </w:rPr>
        <w:t xml:space="preserve">The M1-to-M2 comparison changes two things simultaneously: model class and lag structure. Table 4.2 introduces M1b — a logistic regression on the full lag-1 to lag-3 feature set — to isolate these effects. All four models are evaluated on the H1 (one-year) target, where crisis events are most concentrated in early evaluation years.</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900"/>
        <w:gridCol w:w="900"/>
        <w:gridCol w:w="1000"/>
        <w:gridCol w:w="326"/>
      </w:tblGrid>
      <w:tr>
        <w:trPr>
          <w:tblHeader/>
        </w:trPr>
        <w:tc>
          <w:tcPr>
            <w:tcW w:type="dxa" w:w="2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15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Features</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1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AUPRC/Base</w:t>
            </w:r>
          </w:p>
        </w:tc>
        <w:tc>
          <w:tcPr>
            <w:tcW w:type="dxa" w:w="3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 LR (lag1 only)</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19 (lag1)</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0.792</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0.173</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4.2×</w:t>
            </w:r>
          </w:p>
        </w:tc>
        <w:tc>
          <w:tcPr>
            <w:tcW w:type="dxa" w:w="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0.183</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M1b: LR (lag1–3) ← identification</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Logistic</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41 (lag1–3)</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0.164</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4.0×</w:t>
            </w:r>
          </w:p>
        </w:tc>
        <w:tc>
          <w:tcPr>
            <w:tcW w:type="dxa" w:w="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0.175</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(lag1–3)</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Random Forest</w:t>
            </w:r>
          </w:p>
        </w:tc>
        <w:tc>
          <w:tcPr>
            <w:tcW w:type="dxa" w:w="15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41 (lag1–3)</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0.589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w:t>
            </w:r>
          </w:p>
        </w:tc>
        <w:tc>
          <w:tcPr>
            <w:tcW w:type="dxa" w:w="1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1.6×</w:t>
            </w:r>
          </w:p>
        </w:tc>
        <w:tc>
          <w:tcPr>
            <w:tcW w:type="dxa" w:w="3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0.058</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(macro + sent)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XGBoost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61 (lag1–3+sent)</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0.814</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0.125</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3.1×</w:t>
            </w:r>
          </w:p>
        </w:tc>
        <w:tc>
          <w:tcPr>
            <w:tcW w:type="dxa" w:w="3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0.075</w:t>
            </w:r>
          </w:p>
        </w:tc>
      </w:tr>
    </w:tbl>
    <w:p>
      <w:pPr>
        <w:spacing w:after="120" w:before="60"/>
      </w:pPr>
      <w:r>
        <w:rPr>
          <w:rFonts w:ascii="Arial" w:cs="Arial" w:eastAsia="Arial" w:hAnsi="Arial"/>
          <w:i/>
          <w:iCs/>
          <w:color w:val="555555"/>
          <w:sz w:val="18"/>
          <w:szCs w:val="18"/>
        </w:rPr>
        <w:t xml:space="preserve">Table 4.2. Identification analysis on H1 (1-year) target. Base rate = 0.041. M1→M1b isolates the lag effect; M1b→M2 isolates the non-linearity effect.</w:t>
      </w:r>
    </w:p>
    <w:p>
      <w:pPr>
        <w:spacing w:after="80" w:before="0"/>
      </w:pPr>
    </w:p>
    <w:p>
      <w:pPr>
        <w:spacing w:after="160" w:before="40"/>
        <w:jc w:val="both"/>
      </w:pPr>
      <w:r>
        <w:rPr>
          <w:rFonts w:ascii="Arial" w:cs="Arial" w:eastAsia="Arial" w:hAnsi="Arial"/>
          <w:sz w:val="22"/>
          <w:szCs w:val="22"/>
        </w:rPr>
        <w:t xml:space="preserve">The decomposition reveals three findings. The M1-to-M1b transition — extending the lag structure while keeping logistic regression — produces a small AUPRC decline (0.173 to 0.164, −0.009). Lag expansion alone does not improve performance in a linear setting under small-sample conditions and may introduce noise: with only 11 positive cases in the H1 evaluation window and 22 additional features, the dimensionality burden outweighs the incremental information in the additional lag depth. This finding cautions against interpreting multi-lag specifications as universally beneficial; their value is realised through non-linear ensemble methods that can regularise across the expanded feature space.</w:t>
      </w:r>
    </w:p>
    <w:p>
      <w:pPr>
        <w:spacing w:after="160" w:before="40"/>
        <w:jc w:val="both"/>
      </w:pPr>
      <w:r>
        <w:rPr>
          <w:rFonts w:ascii="Arial" w:cs="Arial" w:eastAsia="Arial" w:hAnsi="Arial"/>
          <w:sz w:val="22"/>
          <w:szCs w:val="22"/>
        </w:rPr>
        <w:t xml:space="preserve">The M1b-to-M2 transition — switching to Random Forest while holding the lag-1 through lag-3 feature set constant — produces a large AUPRC decline (0.164 to 0.064, −0.100). At the one-year horizon, the Random Forest's ensemble structure does not improve over logistic regression; the most plausible explanation is overfitting to the limited crisis signal in early training folds, where the GFC build-up is not yet visible. The performance advantage of M2 over M1 in the primary H2 comparison (Table 4.1) is therefore horizon-contingent and should not be taken as evidence that non-linearity universally benefits EWS models.</w:t>
      </w:r>
    </w:p>
    <w:p>
      <w:pPr>
        <w:spacing w:after="160" w:before="40"/>
        <w:jc w:val="both"/>
      </w:pPr>
      <w:r>
        <w:rPr>
          <w:rFonts w:ascii="Arial" w:cs="Arial" w:eastAsia="Arial" w:hAnsi="Arial"/>
          <w:sz w:val="22"/>
          <w:szCs w:val="22"/>
        </w:rPr>
        <w:t xml:space="preserve">The M2-to-M3 transition — adding 20 rolling-demeaned FinBERT features — produces the largest single AUPRC gain at H1: 0.064 to 0.125, a 95 per cent relative improvement. At the one-year lead, central bank communication tone carries incremental early-warning signal that macro ratios have not yet expressed. This is the strongest evidence in the chapter for the sentiment channel, though it must be qualified by the weak macro baseline at H1 (M2 AUPRC of 0.064, barely above no-skill at 0.051) — the large relative uplift partly reflects the unusually low starting point of the macro specification at this horizon rather than an absolute ceiling on sentiment's contribution.</w:t>
      </w:r>
    </w:p>
    <w:p>
      <w:pPr>
        <w:spacing w:after="160" w:before="40"/>
        <w:jc w:val="both"/>
      </w:pPr>
      <w:r>
        <w:rPr>
          <w:rFonts w:ascii="Arial" w:cs="Arial" w:eastAsia="Arial" w:hAnsi="Arial"/>
          <w:b/>
          <w:bCs/>
          <w:sz w:val="22"/>
          <w:szCs w:val="22"/>
        </w:rPr>
        <w:t xml:space="preserve">H3 (Interpretability trade-off)</w:t>
      </w:r>
      <w:r>
        <w:rPr>
          <w:rFonts w:ascii="Arial" w:cs="Arial" w:eastAsia="Arial" w:hAnsi="Arial"/>
          <w:sz w:val="22"/>
          <w:szCs w:val="22"/>
        </w:rPr>
        <w:t xml:space="preserve">: Supported. The M1-to-M2 transition involves a clear and quantifiable interpretability cost: native log-odds coefficients are replaced by an ensemble requiring post-hoc SHAP attribution, and this cost is accompanied by substantial AUPRC gains at H2 (+0.276) but not at H1. The M2-to-M3 transition adds 20 sentiment features and further reduces native interpretability; this cost is partially offset by consistent AUPRC gains across all three horizons, as documented in Section 4.4.</w:t>
      </w:r>
    </w:p>
    <w:p>
      <w:pPr>
        <w:spacing w:after="80" w:before="0"/>
      </w:pPr>
    </w:p>
    <w:p>
      <w:pPr>
        <w:pStyle w:val="Heading1"/>
        <w:spacing w:after="160" w:before="400"/>
      </w:pPr>
      <w:r>
        <w:rPr>
          <w:rFonts w:ascii="Arial" w:cs="Arial" w:eastAsia="Arial" w:hAnsi="Arial"/>
          <w:b/>
          <w:bCs/>
          <w:color w:val="1F4E79"/>
          <w:sz w:val="30"/>
          <w:szCs w:val="30"/>
        </w:rPr>
        <w:t xml:space="preserve">4.4  Multi-Horizon Analysis and Sentiment Uplift</w:t>
      </w:r>
    </w:p>
    <w:p>
      <w:pPr>
        <w:pStyle w:val="Heading2"/>
        <w:spacing w:after="120" w:before="280"/>
      </w:pPr>
      <w:r>
        <w:rPr>
          <w:rFonts w:ascii="Arial" w:cs="Arial" w:eastAsia="Arial" w:hAnsi="Arial"/>
          <w:b/>
          <w:bCs/>
          <w:color w:val="2E75B6"/>
          <w:sz w:val="26"/>
          <w:szCs w:val="26"/>
        </w:rPr>
        <w:t xml:space="preserve">4.4.1  Horizon-Specific AUPRC Uplift from Sentiment</w:t>
      </w:r>
    </w:p>
    <w:p>
      <w:pPr>
        <w:spacing w:after="160" w:before="40"/>
        <w:jc w:val="both"/>
      </w:pPr>
      <w:r>
        <w:rPr>
          <w:rFonts w:ascii="Arial" w:cs="Arial" w:eastAsia="Arial" w:hAnsi="Arial"/>
          <w:sz w:val="22"/>
          <w:szCs w:val="22"/>
        </w:rPr>
        <w:t xml:space="preserve">Table 4.3 reports M2 and M3 AUPRC estimated separately for each prediction horizon. This analysis addresses a key question left open by the primary comparison: does the sentiment contribution hold across horizons, or is it concentrated at a specific lead?</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00"/>
        <w:gridCol w:w="1700"/>
        <w:gridCol w:w="826"/>
      </w:tblGrid>
      <w:tr>
        <w:trPr>
          <w:tblHeader/>
        </w:trPr>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Horizon</w:t>
            </w:r>
          </w:p>
        </w:tc>
        <w:tc>
          <w:tcPr>
            <w:tcW w:type="dxa" w:w="18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M2 AUPRC
(macro only)</w:t>
            </w:r>
          </w:p>
        </w:tc>
        <w:tc>
          <w:tcPr>
            <w:tcW w:type="dxa" w:w="1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M3 AUPRC
(macro + sent)</w:t>
            </w:r>
          </w:p>
        </w:tc>
        <w:tc>
          <w:tcPr>
            <w:tcW w:type="dxa" w:w="17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Uplift
(M3 − M2)</w:t>
            </w:r>
          </w:p>
        </w:tc>
        <w:tc>
          <w:tcPr>
            <w:tcW w:type="dxa" w:w="8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Relative
change</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 1-year ahead</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0.125</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+0.061</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+95%</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 2-year ahead (primary)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0.561</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0.679</w:t>
            </w:r>
          </w:p>
        </w:tc>
        <w:tc>
          <w:tcPr>
            <w:tcW w:type="dxa" w:w="1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+0.119</w:t>
            </w:r>
          </w:p>
        </w:tc>
        <w:tc>
          <w:tcPr>
            <w:tcW w:type="dxa" w:w="8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+21%</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 3-year ahead</w:t>
            </w:r>
          </w:p>
        </w:tc>
        <w:tc>
          <w:tcPr>
            <w:tcW w:type="dxa" w:w="18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0.486</w:t>
            </w:r>
          </w:p>
        </w:tc>
        <w:tc>
          <w:tcPr>
            <w:tcW w:type="dxa" w:w="1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0.732</w:t>
            </w:r>
          </w:p>
        </w:tc>
        <w:tc>
          <w:tcPr>
            <w:tcW w:type="dxa" w:w="17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+0.246</w:t>
            </w:r>
          </w:p>
        </w:tc>
        <w:tc>
          <w:tcPr>
            <w:tcW w:type="dxa" w:w="8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+51%</w:t>
            </w:r>
          </w:p>
        </w:tc>
      </w:tr>
    </w:tbl>
    <w:p>
      <w:pPr>
        <w:spacing w:after="120" w:before="60"/>
      </w:pPr>
      <w:r>
        <w:rPr>
          <w:rFonts w:ascii="Arial" w:cs="Arial" w:eastAsia="Arial" w:hAnsi="Arial"/>
          <w:i/>
          <w:iCs/>
          <w:color w:val="555555"/>
          <w:sz w:val="18"/>
          <w:szCs w:val="18"/>
        </w:rPr>
        <w:t xml:space="preserve">Table 4.3. AUPRC uplift from adding FinBERT sentiment by prediction horizon. Independent model pairs trained per horizon. Base rate = 0.051; 11 OOS positive cases per horizon. Minor difference between H2 here (0.679) and Table 4.1 (0.657) reflects independent re-estimation in NB08.</w:t>
      </w:r>
    </w:p>
    <w:p>
      <w:pPr>
        <w:spacing w:after="80" w:before="0"/>
      </w:pPr>
    </w:p>
    <w:p>
      <w:pPr>
        <w:spacing w:after="160" w:before="40"/>
        <w:jc w:val="both"/>
      </w:pPr>
      <w:r>
        <w:rPr>
          <w:rFonts w:ascii="Arial" w:cs="Arial" w:eastAsia="Arial" w:hAnsi="Arial"/>
          <w:sz w:val="22"/>
          <w:szCs w:val="22"/>
        </w:rPr>
        <w:t xml:space="preserve">Sentiment features provide consistent but modest incremental improvement in AUPRC across all three prediction horizons. The uplift is uniformly positive and the pattern is interpretable across the full range. At H1, M3 AUPRC rises from 0.064 to 0.125 (+95% relative). The large relative uplift at H1 partly reflects the weakness of the macro-only baseline at this horizon — with M2 AUPRC barely above the no-skill threshold of 0.051, even a modest absolute gain translates into a large relative one. Nevertheless, the absolute uplift of 0.061 is meaningful in the context of this sample, and the identification analysis confirms that the M2-to-M3 step is the only positive AUPRC contribution at H1 across the full M1-M1b-M2-M3 progression.</w:t>
      </w:r>
    </w:p>
    <w:p>
      <w:pPr>
        <w:spacing w:after="160" w:before="40"/>
        <w:jc w:val="both"/>
      </w:pPr>
      <w:r>
        <w:rPr>
          <w:rFonts w:ascii="Arial" w:cs="Arial" w:eastAsia="Arial" w:hAnsi="Arial"/>
          <w:sz w:val="22"/>
          <w:szCs w:val="22"/>
        </w:rPr>
        <w:t xml:space="preserve">At H3, M3 achieves AUPRC 0.732 against M2's 0.486, the largest absolute uplift of 0.246 (+51%). At a three-year lead, macro imbalances are accumulating but balance sheet ratios have not yet reached extreme levels; the rolling mean and OLS slope features in M3's sentiment specification — which capture multi-year trends in communication tone — carry structural signals complementary to those in annual credit and money aggregates. The two-year horizon produces an intermediate uplift (+0.119, +21%) on a stronger macro baseline (M2 AUPRC 0.561), and it is the horizon at which the macro features are most discriminative in absolute terms, explaining why it was selected as the primary analysis target.</w:t>
      </w:r>
    </w:p>
    <w:p>
      <w:pPr>
        <w:pStyle w:val="Heading2"/>
        <w:spacing w:after="120" w:before="280"/>
      </w:pPr>
      <w:r>
        <w:rPr>
          <w:rFonts w:ascii="Arial" w:cs="Arial" w:eastAsia="Arial" w:hAnsi="Arial"/>
          <w:b/>
          <w:bCs/>
          <w:color w:val="2E75B6"/>
          <w:sz w:val="26"/>
          <w:szCs w:val="26"/>
        </w:rPr>
        <w:t xml:space="preserve">4.4.2  Consistency Note on H2 AUPRC</w:t>
      </w:r>
    </w:p>
    <w:p>
      <w:pPr>
        <w:spacing w:after="160" w:before="40"/>
        <w:jc w:val="both"/>
      </w:pPr>
      <w:r>
        <w:rPr>
          <w:rFonts w:ascii="Arial" w:cs="Arial" w:eastAsia="Arial" w:hAnsi="Arial"/>
          <w:sz w:val="22"/>
          <w:szCs w:val="22"/>
        </w:rPr>
        <w:t xml:space="preserve">A minor discrepancy exists between M3 H2 AUPRC in Table 4.1 (0.657, from NB05) and Table 4.3 (0.679, from NB08 independent re-estimation). Both use the corrected pipeline and the H2 target; the difference reflects small variation in fold-specific scale_pos_weight values arising from independent train-set compositions across notebook runs. Table 4.1 is the primary reference for the main model comparison; Table 4.3 values support horizon-relative comparisons only.</w:t>
      </w:r>
    </w:p>
    <w:p>
      <w:pPr>
        <w:spacing w:after="80" w:before="0"/>
      </w:pPr>
    </w:p>
    <w:p>
      <w:pPr>
        <w:pStyle w:val="Heading1"/>
        <w:spacing w:after="160" w:before="400"/>
      </w:pPr>
      <w:r>
        <w:rPr>
          <w:rFonts w:ascii="Arial" w:cs="Arial" w:eastAsia="Arial" w:hAnsi="Arial"/>
          <w:b/>
          <w:bCs/>
          <w:color w:val="1F4E79"/>
          <w:sz w:val="30"/>
          <w:szCs w:val="30"/>
        </w:rPr>
        <w:t xml:space="preserve">4.5  Robustness: Strict Temporal Validation</w:t>
      </w:r>
    </w:p>
    <w:p>
      <w:pPr>
        <w:spacing w:after="160" w:before="40"/>
        <w:jc w:val="both"/>
      </w:pPr>
      <w:r>
        <w:rPr>
          <w:rFonts w:ascii="Arial" w:cs="Arial" w:eastAsia="Arial" w:hAnsi="Arial"/>
          <w:sz w:val="22"/>
          <w:szCs w:val="22"/>
        </w:rPr>
        <w:t xml:space="preserve">The expanding-window AUROC values in Table 4.1 are higher than the 0.70-0.85 range typical in the EWS literature on JST-type data (Beutel et al., 2019). To assess the degree to which this reflects genuine predictive signal versus exposure to GFC-adjacent patterns in later training folds, Table 4.4 reports strict temporal split results: models trained exclusively on 2003-2005, a pure pre-GFC period, and tested on 2006-2009. Split B (train 2003-2007, test 2008-2012) could not be evaluated as the target_h2 definition produces zero positive cases in the 2008-2012 test window.</w:t>
      </w:r>
    </w:p>
    <w:p>
      <w:pPr>
        <w:spacing w:after="80" w:before="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900"/>
        <w:gridCol w:w="900"/>
        <w:gridCol w:w="900"/>
        <w:gridCol w:w="926"/>
      </w:tblGrid>
      <w:tr>
        <w:trPr>
          <w:tblHeader/>
        </w:trPr>
        <w:tc>
          <w:tcPr>
            <w:tcW w:type="dxa" w:w="20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Train</w:t>
            </w:r>
          </w:p>
        </w:tc>
        <w:tc>
          <w:tcPr>
            <w:tcW w:type="dxa" w:w="12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AUROC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w:t>
            </w:r>
          </w:p>
        </w:tc>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Brier</w:t>
            </w:r>
          </w:p>
        </w:tc>
        <w:tc>
          <w:tcPr>
            <w:tcW w:type="dxa" w:w="9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AUPRC/no-skill</w:t>
            </w:r>
          </w:p>
        </w:tc>
      </w:tr>
      <w:tr>
        <w:tc>
          <w:tcPr>
            <w:tcW w:type="dxa" w:w="20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M2: RF (macro lag1–3)</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2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0.472</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0.368</w:t>
            </w:r>
          </w:p>
        </w:tc>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0.279</w:t>
            </w:r>
          </w:p>
        </w:tc>
        <w:tc>
          <w:tcPr>
            <w:tcW w:type="dxa" w:w="9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center"/>
            </w:pPr>
            <w:r>
              <w:rPr>
                <w:rFonts w:ascii="Arial" w:cs="Arial" w:eastAsia="Arial" w:hAnsi="Arial"/>
                <w:sz w:val="19"/>
                <w:szCs w:val="19"/>
              </w:rPr>
              <w:t xml:space="preserve">9.0×</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M3: XGB + FinBERT</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2003–2005</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2006–2009</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0.640</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0.435</w:t>
            </w:r>
          </w:p>
        </w:tc>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0.307</w:t>
            </w:r>
          </w:p>
        </w:tc>
        <w:tc>
          <w:tcPr>
            <w:tcW w:type="dxa" w:w="9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sz w:val="19"/>
                <w:szCs w:val="19"/>
              </w:rPr>
              <w:t xml:space="preserve">10.6×</w:t>
            </w:r>
          </w:p>
        </w:tc>
      </w:tr>
    </w:tbl>
    <w:p>
      <w:pPr>
        <w:spacing w:after="120" w:before="60"/>
      </w:pPr>
      <w:r>
        <w:rPr>
          <w:rFonts w:ascii="Arial" w:cs="Arial" w:eastAsia="Arial" w:hAnsi="Arial"/>
          <w:i/>
          <w:iCs/>
          <w:color w:val="555555"/>
          <w:sz w:val="18"/>
          <w:szCs w:val="18"/>
        </w:rPr>
        <w:t xml:space="preserve">Table 4.4. Strict temporal validation. No-skill AUPRC = 0.041. Split B omitted: zero positive cases in test window under target_h2.</w:t>
      </w:r>
    </w:p>
    <w:p>
      <w:pPr>
        <w:spacing w:after="80" w:before="0"/>
      </w:pPr>
    </w:p>
    <w:p>
      <w:pPr>
        <w:spacing w:after="160" w:before="40"/>
        <w:jc w:val="both"/>
      </w:pPr>
      <w:r>
        <w:rPr>
          <w:rFonts w:ascii="Arial" w:cs="Arial" w:eastAsia="Arial" w:hAnsi="Arial"/>
          <w:sz w:val="22"/>
          <w:szCs w:val="22"/>
        </w:rPr>
        <w:t xml:space="preserve">Under strict pre-GFC training, both models fall substantially below their expanding-window performance. M2 achieves AUROC 0.472 and AUPRC 0.368; M3 achieves AUROC 0.640 and AUPRC 0.435. Both lie below the 0.75 AUROC literature benchmark but retain meaningful predictive power above the no-skill baseline — 9.0× and 10.6× lifts respectively. This result suggests that a substantial portion of expanding-window performance reflects exposure to crisis-adjacent patterns during training rather than purely forward-looking signal, and the headline metrics in Table 4.1 should be understood as upper bounds on prospective performance rather than stable out-of-sample estimates.</w:t>
      </w:r>
    </w:p>
    <w:p>
      <w:pPr>
        <w:spacing w:after="160" w:before="40"/>
        <w:jc w:val="both"/>
      </w:pPr>
      <w:r>
        <w:rPr>
          <w:rFonts w:ascii="Arial" w:cs="Arial" w:eastAsia="Arial" w:hAnsi="Arial"/>
          <w:sz w:val="22"/>
          <w:szCs w:val="22"/>
        </w:rPr>
        <w:t xml:space="preserve">Importantly, M3 outperforms M2 under strict conditions by a margin larger than in the expanding-window comparison — AUROC +16.8 percentage points and AUPRC +6.7 percentage points versus +1.3 and +9.6 respectively. This confirms that FinBERT sentiment features carry genuine early-warning content that does not depend on the model having encountered GFC-period macro patterns during training. The strict validation therefore provides additional support, under the most conservative available estimation conditions, for the direction of the primary finding.</w:t>
      </w:r>
    </w:p>
    <w:p>
      <w:pPr>
        <w:spacing w:after="80" w:before="0"/>
      </w:pPr>
    </w:p>
    <w:p>
      <w:pPr>
        <w:pStyle w:val="Heading1"/>
        <w:spacing w:after="160" w:before="400"/>
      </w:pPr>
      <w:r>
        <w:rPr>
          <w:rFonts w:ascii="Arial" w:cs="Arial" w:eastAsia="Arial" w:hAnsi="Arial"/>
          <w:b/>
          <w:bCs/>
          <w:color w:val="1F4E79"/>
          <w:sz w:val="30"/>
          <w:szCs w:val="30"/>
        </w:rPr>
        <w:t xml:space="preserve">4.6  SHAP Feature Attribution</w:t>
      </w:r>
    </w:p>
    <w:p>
      <w:pPr>
        <w:pStyle w:val="Heading2"/>
        <w:spacing w:after="120" w:before="280"/>
      </w:pPr>
      <w:r>
        <w:rPr>
          <w:rFonts w:ascii="Arial" w:cs="Arial" w:eastAsia="Arial" w:hAnsi="Arial"/>
          <w:b/>
          <w:bCs/>
          <w:color w:val="2E75B6"/>
          <w:sz w:val="26"/>
          <w:szCs w:val="26"/>
        </w:rPr>
        <w:t xml:space="preserve">4.6.1  Aggregate Attribution by Lag Group</w:t>
      </w:r>
    </w:p>
    <w:p>
      <w:pPr>
        <w:spacing w:after="160" w:before="40"/>
        <w:jc w:val="both"/>
      </w:pPr>
      <w:r>
        <w:rPr>
          <w:rFonts w:ascii="Arial" w:cs="Arial" w:eastAsia="Arial" w:hAnsi="Arial"/>
          <w:sz w:val="22"/>
          <w:szCs w:val="22"/>
        </w:rPr>
        <w:t xml:space="preserve">SHAP attribution is decomposed by feature group to assess the relative model weighting of macro and sentiment signals at each lag depth. Macro features account for 87.9 per cent of aggregate model attribution in M3 (SHAP mass 8.082 of 9.197 total). FinBERT sentiment features account for 12.1 per cent of model attribution conditional on the included macro features — this figure reflects the model's internal weighting given a correlated feature space and should not be interpreted as the independent economic contribution of sentiment. The attribution increased from 3.5 per cent under static country-mean demeaning to 12.1 per cent under rolling deviation demeaning, confirming that the normalisation choice substantially affects how much within-country temporal variation the FinBERT scores contribute to model predictions.</w:t>
      </w:r>
    </w:p>
    <w:p>
      <w:pPr>
        <w:spacing w:after="160" w:before="40"/>
        <w:jc w:val="both"/>
      </w:pPr>
      <w:r>
        <w:rPr>
          <w:rFonts w:ascii="Arial" w:cs="Arial" w:eastAsia="Arial" w:hAnsi="Arial"/>
          <w:sz w:val="22"/>
          <w:szCs w:val="22"/>
        </w:rPr>
        <w:t xml:space="preserve">Within the macro group, the three-year lag carries the highest SHAP mass (3.001), marginally ahead of the one-year lag (2.861) and substantially above the two-year lag (2.220). This U-shaped pattern is consistent with credit cycle dynamics: vulnerabilities accumulate at three years in broad aggregates, become somewhat heterogeneous at two years, and re-emerge in flow variables at one year. Within the sentiment group, one-year rolling-demeaned features (0.829) dominate two-year features (0.286), consistent with the H1 identification finding that the sentiment channel concentrates at short leads.</w:t>
      </w:r>
    </w:p>
    <w:p>
      <w:pPr>
        <w:pStyle w:val="Heading2"/>
        <w:spacing w:after="120" w:before="280"/>
      </w:pPr>
      <w:r>
        <w:rPr>
          <w:rFonts w:ascii="Arial" w:cs="Arial" w:eastAsia="Arial" w:hAnsi="Arial"/>
          <w:b/>
          <w:bCs/>
          <w:color w:val="2E75B6"/>
          <w:sz w:val="26"/>
          <w:szCs w:val="26"/>
        </w:rPr>
        <w:t xml:space="preserve">4.6.2  Individual Feature Rankings and Stability</w:t>
      </w:r>
    </w:p>
    <w:p>
      <w:pPr>
        <w:spacing w:after="160" w:before="40"/>
        <w:jc w:val="both"/>
      </w:pPr>
      <w:r>
        <w:rPr>
          <w:rFonts w:ascii="Arial" w:cs="Arial" w:eastAsia="Arial" w:hAnsi="Arial"/>
          <w:sz w:val="22"/>
          <w:szCs w:val="22"/>
        </w:rPr>
        <w:t xml:space="preserve">The top-20 feature ranking (Figure 4.5) places broad money at lag two (money_lag2_dm) first, followed by mortgage loan growth at lag one (tmort_gr_lag1_dm) and total credit at lag three (tloans_lag3_dm). Interest rate variables appear persistently across the top fifteen. The first FinBERT feature, rolling-demeaned positive sentiment at lag one (P_pos_lag1_rdm), ranks twelfth — a decline in positive tone relative to recent country history, rather than a rise in explicit negativity, carries the strongest individual sentiment signal. This is consistent with the institutionally constrained register of central bank communication.</w:t>
      </w:r>
    </w:p>
    <w:p>
      <w:pPr>
        <w:spacing w:after="160" w:before="40"/>
        <w:jc w:val="both"/>
      </w:pPr>
      <w:r>
        <w:rPr>
          <w:rFonts w:ascii="Arial" w:cs="Arial" w:eastAsia="Arial" w:hAnsi="Arial"/>
          <w:sz w:val="22"/>
          <w:szCs w:val="22"/>
        </w:rPr>
        <w:t xml:space="preserve">The fold-stability chart (Figure 4.6) reveals wide standard deviations for top-ranked features: tloans_lag3_dm shows mean |SHAP| approximately 2.0 with standard deviation approximately 0.8. With crisis events concentrated in one evaluation fold, SHAP estimates reflect model behaviour on the 2007 cross-section rather than a stable multi-period ordering. Feature rankings are accordingly indicative of GFC-type crisis dynamics and should not be treated as generalisable importance orderings across crisis types.</w:t>
      </w:r>
    </w:p>
    <w:p>
      <w:pPr>
        <w:spacing w:after="160" w:before="40"/>
        <w:jc w:val="both"/>
      </w:pPr>
      <w:r>
        <w:rPr>
          <w:rFonts w:ascii="Arial" w:cs="Arial" w:eastAsia="Arial" w:hAnsi="Arial"/>
          <w:b/>
          <w:bCs/>
          <w:sz w:val="22"/>
          <w:szCs w:val="22"/>
        </w:rPr>
        <w:t xml:space="preserve">H2 (Feature relevance)</w:t>
      </w:r>
      <w:r>
        <w:rPr>
          <w:rFonts w:ascii="Arial" w:cs="Arial" w:eastAsia="Arial" w:hAnsi="Arial"/>
          <w:sz w:val="22"/>
          <w:szCs w:val="22"/>
        </w:rPr>
        <w:t xml:space="preserve">: Not supported in its strict formulation — P_pos_lag1_rdm ranks twelfth, not within the top five. Weakly supported overall: three sentiment features appear in the top twenty, sentiment accounts for 12.1 per cent of model attribution conditional on included macro features, and the M2-to-M3 step provides the only positive AUPRC contribution at H1 (+95%) in the identification analysis. The sentiment contribution is genuine but distributed across multiple lower-ranked features and mediated by demeaning specification and prediction horizon.</w:t>
      </w:r>
    </w:p>
    <w:p>
      <w:pPr>
        <w:spacing w:after="80" w:before="0"/>
      </w:pPr>
    </w:p>
    <w:p>
      <w:pPr>
        <w:pStyle w:val="Heading1"/>
        <w:spacing w:after="160" w:before="400"/>
      </w:pPr>
      <w:r>
        <w:rPr>
          <w:rFonts w:ascii="Arial" w:cs="Arial" w:eastAsia="Arial" w:hAnsi="Arial"/>
          <w:b/>
          <w:bCs/>
          <w:color w:val="1F4E79"/>
          <w:sz w:val="30"/>
          <w:szCs w:val="30"/>
        </w:rPr>
        <w:t xml:space="preserve">4.7  Calibration Analysis</w:t>
      </w:r>
    </w:p>
    <w:p>
      <w:pPr>
        <w:spacing w:after="160" w:before="40"/>
        <w:jc w:val="both"/>
      </w:pPr>
      <w:r>
        <w:rPr>
          <w:rFonts w:ascii="Arial" w:cs="Arial" w:eastAsia="Arial" w:hAnsi="Arial"/>
          <w:sz w:val="22"/>
          <w:szCs w:val="22"/>
        </w:rPr>
        <w:t xml:space="preserve">The reliability diagram (Figure 4.4) plots mean predicted probability against observed crisis frequency across five quantile bins. All three models exhibit systematic overconfidence throughout: predicted probabilities consistently exceed observed event frequencies, with model lines below the perfect-calibration diagonal. This may reflect both the class weighting applied during training (scale_pos_weight and class_weight='balanced') and model misspecification under extreme class imbalance — separating these two sources is not possible from the reliability diagram alone with 26 crisis events.</w:t>
      </w:r>
    </w:p>
    <w:p>
      <w:pPr>
        <w:spacing w:after="160" w:before="40"/>
        <w:jc w:val="both"/>
      </w:pPr>
      <w:r>
        <w:rPr>
          <w:rFonts w:ascii="Arial" w:cs="Arial" w:eastAsia="Arial" w:hAnsi="Arial"/>
          <w:sz w:val="22"/>
          <w:szCs w:val="22"/>
        </w:rPr>
        <w:t xml:space="preserve">M2 is the best calibrated (Brier Score 0.051), approaching the diagonal most closely in the upper probability range. M3 occupies an intermediate position (Brier Score 0.083) and M1 the worst (Brier Score 0.212), consistent with M1's sustained false-alarm pattern in the temporal analysis. The calibration results qualify the discrimination finding: M3's AUPRC advantage over M2 comes at a Brier Score cost of 0.032. For macroprudential applications prioritising country ranking, M3 is preferred; for applications requiring well-calibrated probability thresholds, M2 retains a material advantage. With approximately five crisis events per quantile bin, the reliability diagram is indicative of calibration direction; the Brier Score is the more reliable formal metric.</w:t>
      </w:r>
    </w:p>
    <w:p>
      <w:pPr>
        <w:spacing w:after="80" w:before="0"/>
      </w:pPr>
    </w:p>
    <w:p>
      <w:pPr>
        <w:pStyle w:val="Heading1"/>
        <w:spacing w:after="160" w:before="400"/>
      </w:pPr>
      <w:r>
        <w:rPr>
          <w:rFonts w:ascii="Arial" w:cs="Arial" w:eastAsia="Arial" w:hAnsi="Arial"/>
          <w:b/>
          <w:bCs/>
          <w:color w:val="1F4E79"/>
          <w:sz w:val="30"/>
          <w:szCs w:val="30"/>
        </w:rPr>
        <w:t xml:space="preserve">4.8  Temporal and Country-Level Analysis</w:t>
      </w:r>
    </w:p>
    <w:p>
      <w:pPr>
        <w:pStyle w:val="Heading2"/>
        <w:spacing w:after="120" w:before="280"/>
      </w:pPr>
      <w:r>
        <w:rPr>
          <w:rFonts w:ascii="Arial" w:cs="Arial" w:eastAsia="Arial" w:hAnsi="Arial"/>
          <w:b/>
          <w:bCs/>
          <w:color w:val="2E75B6"/>
          <w:sz w:val="26"/>
          <w:szCs w:val="26"/>
        </w:rPr>
        <w:t xml:space="preserve">4.8.1  Out-of-Sample Crisis Probability Over Time</w:t>
      </w:r>
    </w:p>
    <w:p>
      <w:pPr>
        <w:spacing w:after="160" w:before="40"/>
        <w:jc w:val="both"/>
      </w:pPr>
      <w:r>
        <w:rPr>
          <w:rFonts w:ascii="Arial" w:cs="Arial" w:eastAsia="Arial" w:hAnsi="Arial"/>
          <w:sz w:val="22"/>
          <w:szCs w:val="22"/>
        </w:rPr>
        <w:t xml:space="preserve">The temporal analysis (Figure 4.3) plots mean predicted crisis probability across the 18 sample countries. M2 and M3 rise to approximately 0.45-0.62 in 2006-2007, one to two years before the GFC onset bars, then decline sharply to near zero by 2009-2010 and remain there through 2018. M3 exhibits a secondary elevation around 2012, likely reflecting elevated FinBERT negativity during the European sovereign debt stress — genuine financial instability that did not produce JST-coded systemic crises in the sample. M1 maintains elevated probabilities of 0.30-0.50 throughout 2010-2018, a pattern consistent with its poor Brier Score and the country-level audit results.</w:t>
      </w:r>
    </w:p>
    <w:p>
      <w:pPr>
        <w:pStyle w:val="Heading2"/>
        <w:spacing w:after="120" w:before="280"/>
      </w:pPr>
      <w:r>
        <w:rPr>
          <w:rFonts w:ascii="Arial" w:cs="Arial" w:eastAsia="Arial" w:hAnsi="Arial"/>
          <w:b/>
          <w:bCs/>
          <w:color w:val="2E75B6"/>
          <w:sz w:val="26"/>
          <w:szCs w:val="26"/>
        </w:rPr>
        <w:t xml:space="preserve">4.8.2  Country-Level Error Audit</w:t>
      </w:r>
    </w:p>
    <w:p>
      <w:pPr>
        <w:spacing w:after="160" w:before="40"/>
        <w:jc w:val="both"/>
      </w:pPr>
      <w:r>
        <w:rPr>
          <w:rFonts w:ascii="Arial" w:cs="Arial" w:eastAsia="Arial" w:hAnsi="Arial"/>
          <w:sz w:val="22"/>
          <w:szCs w:val="22"/>
        </w:rPr>
        <w:t xml:space="preserve">The error audit applied M2 predictions at the 80th percentile threshold across the OOS window. Nine of ten crisis countries were correctly flagged in at least one crisis year (TP ≥ 1); Switzerland is the sole missed crisis (FN=1), also generating the highest false-alarm count (FP=4). Canada generates the highest false-alarm rate among non-crisis countries (FP=4), followed by Norway, Germany, Denmark and Sweden (FP=3 each). These false alarms are consistent with observed macro vulnerabilities in those economies — elevated credit-to-GDP ratios, rapid house price appreciation — though the model cannot distinguish between vulnerabilities that crystallise into crises and those that do not. Finland and Japan generate zero errors of either type, consistent with their relatively contained credit cycles over 2003-2020.</w:t>
      </w:r>
    </w:p>
    <w:p>
      <w:pPr>
        <w:spacing w:after="80" w:before="0"/>
      </w:pPr>
    </w:p>
    <w:p>
      <w:pPr>
        <w:pStyle w:val="Heading1"/>
        <w:spacing w:after="160" w:before="400"/>
      </w:pPr>
      <w:r>
        <w:rPr>
          <w:rFonts w:ascii="Arial" w:cs="Arial" w:eastAsia="Arial" w:hAnsi="Arial"/>
          <w:b/>
          <w:bCs/>
          <w:color w:val="1F4E79"/>
          <w:sz w:val="30"/>
          <w:szCs w:val="30"/>
        </w:rPr>
        <w:t xml:space="preserve">4.9  Granger Causality Analysis</w:t>
      </w:r>
    </w:p>
    <w:p>
      <w:pPr>
        <w:spacing w:after="160" w:before="40"/>
        <w:jc w:val="both"/>
      </w:pPr>
      <w:r>
        <w:rPr>
          <w:rFonts w:ascii="Arial" w:cs="Arial" w:eastAsia="Arial" w:hAnsi="Arial"/>
          <w:sz w:val="22"/>
          <w:szCs w:val="22"/>
        </w:rPr>
        <w:t xml:space="preserve">Granger causality tests were applied to each of the 18 sample economies to assess whether lagged FinBERT P_neg Granger-causes credit growth and crisis onset beyond the outcome's own history, at up to two lags with annual data. A multi-measure extension additionally tested P_pos and net_sentiment against credit growth. The corrected pooled panel test uses outcome-specific controls throughout.</w:t>
      </w:r>
    </w:p>
    <w:p>
      <w:pPr>
        <w:spacing w:after="160" w:before="40"/>
        <w:jc w:val="both"/>
      </w:pPr>
      <w:r>
        <w:rPr>
          <w:rFonts w:ascii="Arial" w:cs="Arial" w:eastAsia="Arial" w:hAnsi="Arial"/>
          <w:sz w:val="22"/>
          <w:szCs w:val="22"/>
        </w:rPr>
        <w:t xml:space="preserve">For P_neg Granger-causing credit growth, the null was rejected at five per cent in 2 of 18 countries — Japan and Norway — with median p-value 0.565 and pooled F=0.778 (p=0.460). For P_neg Granger-causing crisis onset, the null was rejected in 1 of 13 testable countries — Denmark — with median p=0.434 and corrected pooled F=2.531 (p=0.081). The multi-measure extension found similarly weak evidence for P_pos and net_sentiment against credit growth, confirming that the result is not an artefact of selecting P_neg alone.</w:t>
      </w:r>
    </w:p>
    <w:p>
      <w:pPr>
        <w:spacing w:after="160" w:before="40"/>
        <w:jc w:val="both"/>
      </w:pPr>
      <w:r>
        <w:rPr>
          <w:rFonts w:ascii="Arial" w:cs="Arial" w:eastAsia="Arial" w:hAnsi="Arial"/>
          <w:sz w:val="22"/>
          <w:szCs w:val="22"/>
        </w:rPr>
        <w:t xml:space="preserve">Granger results provide suggestive but not definitive evidence regarding the independence of sentiment signals from macro conditions. With at most 20 annual observations per country and a binary outcome with 26 positive cases, statistical power is severely limited; failure to reject H₀ is equally consistent with a genuine predictive relationship that the tests cannot detect at annual frequency. The pooled crisis onset result (p=0.081) approaches but does not cross the ten per cent threshold, providing weak aggregate directional evidence. These results are interpreted as providing structural context for the predictive findings rather than causal confirmation: the positive AUPRC uplift at all three horizons is consistent with, but not causally established by, the Granger analysis.</w:t>
      </w:r>
    </w:p>
    <w:p>
      <w:pPr>
        <w:spacing w:after="80" w:before="0"/>
      </w:pPr>
    </w:p>
    <w:p>
      <w:pPr>
        <w:pStyle w:val="Heading1"/>
        <w:spacing w:after="160" w:before="400"/>
      </w:pPr>
      <w:r>
        <w:rPr>
          <w:rFonts w:ascii="Arial" w:cs="Arial" w:eastAsia="Arial" w:hAnsi="Arial"/>
          <w:b/>
          <w:bCs/>
          <w:color w:val="1F4E79"/>
          <w:sz w:val="30"/>
          <w:szCs w:val="30"/>
        </w:rPr>
        <w:t xml:space="preserve">4.10  Synthesis and Hypothesis Assessment</w:t>
      </w:r>
    </w:p>
    <w:p>
      <w:pPr>
        <w:spacing w:after="160" w:before="40"/>
        <w:jc w:val="both"/>
      </w:pPr>
      <w:r>
        <w:rPr>
          <w:rFonts w:ascii="Arial" w:cs="Arial" w:eastAsia="Arial" w:hAnsi="Arial"/>
          <w:sz w:val="22"/>
          <w:szCs w:val="22"/>
        </w:rPr>
        <w:t xml:space="preserve">Seven analyses — primary model comparison, identification decomposition, multi-horizon uplift, strict temporal validation, SHAP attribution, calibration and Granger causality — converge on a coherent account of crisis prediction performance under the corrected pipeline, while maintaining appropriate caution about the degree of statistical confirmation achievable from 26 crisis events.</w:t>
      </w:r>
    </w:p>
    <w:p>
      <w:pPr>
        <w:spacing w:after="160" w:before="40"/>
        <w:jc w:val="both"/>
      </w:pPr>
      <w:r>
        <w:rPr>
          <w:rFonts w:ascii="Arial" w:cs="Arial" w:eastAsia="Arial" w:hAnsi="Arial"/>
          <w:sz w:val="22"/>
          <w:szCs w:val="22"/>
        </w:rPr>
        <w:t xml:space="preserve">The primary finding is that M3 (XGBoost with rolling-demeaned FinBERT sentiment) shows consistent but modest incremental improvement in discrimination metrics over M2 (macro-only Random Forest) at the primary two-year horizon — AUROC 0.959 vs 0.946 and AUPRC 0.657 vs 0.561 — and this direction of advantage is confirmed across horizon-specific uplift analysis (positive at all three horizons) and strict pre-GFC temporal validation (M3 AUPRC 0.435 vs M2 0.368). Results should be interpreted as indicative given the concentration of crisis events in a single GFC episode; the effect sizes are consistent but modest relative to the measurement uncertainty inherent in a 26-event evaluation. M2 retains a calibration advantage (Brier 0.051 vs 0.083), making it the preferred specification where probability thresholds rather than ranking accuracy govern regulatory decisions.</w:t>
      </w:r>
    </w:p>
    <w:p>
      <w:pPr>
        <w:spacing w:after="160" w:before="40"/>
        <w:jc w:val="both"/>
      </w:pPr>
      <w:r>
        <w:rPr>
          <w:rFonts w:ascii="Arial" w:cs="Arial" w:eastAsia="Arial" w:hAnsi="Arial"/>
          <w:sz w:val="22"/>
          <w:szCs w:val="22"/>
        </w:rPr>
        <w:t xml:space="preserve">The sentiment contribution is horizon-positive in direction and non-monotone in magnitude. The identification analysis establishes that adding sentiment is the only positive AUPRC step at H1 (+95% relative, though partly reflecting a weak macro baseline); the absolute contribution is largest at H3 (+0.246), where rolling mean and OLS slope features carry structural signals complementary to annual macro ratios. The Granger evidence is weak but directionally consistent, and should be treated as suggestive context rather than causal confirmation. The strict temporal validation establishes that a substantial portion of expanding-window performance reflects crisis-adjacent training exposure rather than purely forward-looking signal; all headline metrics should accordingly be read as upper bounds.</w:t>
      </w:r>
    </w:p>
    <w:p>
      <w:pPr>
        <w:spacing w:after="160" w:before="40"/>
        <w:jc w:val="both"/>
      </w:pPr>
      <w:r>
        <w:rPr>
          <w:rFonts w:ascii="Arial" w:cs="Arial" w:eastAsia="Arial" w:hAnsi="Arial"/>
          <w:sz w:val="22"/>
          <w:szCs w:val="22"/>
        </w:rPr>
        <w:t xml:space="preserve">Table 4.5 summarises the hypothesis dispositions.</w:t>
      </w:r>
    </w:p>
    <w:p>
      <w:pPr>
        <w:spacing w:after="80" w:before="0"/>
      </w:pPr>
    </w:p>
    <w:tbl>
      <w:tblPr>
        <w:tblW w:type="dxa" w:w="782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100"/>
        <w:gridCol w:w="1526"/>
      </w:tblGrid>
      <w:tr>
        <w:trPr>
          <w:tblHeader/>
        </w:trPr>
        <w:tc>
          <w:tcPr>
            <w:tcW w:type="dxa" w:w="9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Hypothesis</w:t>
            </w:r>
          </w:p>
        </w:tc>
        <w:tc>
          <w:tcPr>
            <w:tcW w:type="dxa" w:w="23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Stated prediction</w:t>
            </w:r>
          </w:p>
        </w:tc>
        <w:tc>
          <w:tcPr>
            <w:tcW w:type="dxa" w:w="3100"/>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Key evidence</w:t>
            </w:r>
          </w:p>
        </w:tc>
        <w:tc>
          <w:tcPr>
            <w:tcW w:type="dxa" w:w="1526"/>
            <w:tcBorders>
              <w:top w:val="single" w:color="1F4E79" w:sz="2"/>
              <w:left w:val="single" w:color="1F4E79" w:sz="1"/>
              <w:bottom w:val="single" w:color="1F4E79" w:sz="2"/>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Verdict</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H1: Discrimination</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achieves significantly higher AUROC/AUPRC than macro-only benchmark</w:t>
            </w:r>
          </w:p>
        </w:tc>
        <w:tc>
          <w:tcPr>
            <w:tcW w:type="dxa" w:w="3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M3 AUPRC 0.657 &gt; M2 0.561 at H2; positive uplift at all horizons; M3 &gt; M2 under strict validation. Effect sizes modest relative to 26-event sample; CIs overlap. M2 better calibrated (Brier 0.051 vs 0.083).</w:t>
            </w:r>
          </w:p>
        </w:tc>
        <w:tc>
          <w:tcPr>
            <w:tcW w:type="dxa" w:w="15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directionally. Modest and indicative rather than strongly confirmed.</w:t>
            </w:r>
          </w:p>
        </w:tc>
      </w:tr>
      <w:tr>
        <w:tc>
          <w:tcPr>
            <w:tcW w:type="dxa" w:w="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H2: Feature relevance</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At least one FinBERT feature ranks top-5 by SHAP</w:t>
            </w:r>
          </w:p>
        </w:tc>
        <w:tc>
          <w:tcPr>
            <w:tcW w:type="dxa" w:w="31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P_pos_lag1_rdm ranks 12th. Sentiment accounts for 12.1% of model attribution conditional on macro features. Three features in top-20. Positive uplift at all horizons.</w:t>
            </w:r>
          </w:p>
        </w:tc>
        <w:tc>
          <w:tcPr>
            <w:tcW w:type="dxa" w:w="15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sz w:val="19"/>
                <w:szCs w:val="19"/>
              </w:rPr>
              <w:t xml:space="preserve">Not supported strictly. Weakly supported in broader sense.</w:t>
            </w:r>
          </w:p>
        </w:tc>
      </w:tr>
      <w:tr>
        <w:tc>
          <w:tcPr>
            <w:tcW w:type="dxa" w:w="9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H3: Interpretability trade-off</w:t>
            </w:r>
          </w:p>
        </w:tc>
        <w:tc>
          <w:tcPr>
            <w:tcW w:type="dxa" w:w="23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Quantifiable accuracy-interpretability trade-off across M1→M2→M3</w:t>
            </w:r>
          </w:p>
        </w:tc>
        <w:tc>
          <w:tcPr>
            <w:tcW w:type="dxa" w:w="3100"/>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M1→M2: clear trade-off (AUPRC +0.276 at H2, loss of native transparency; lag expansion alone adds noise). M2→M3: further interpretability cost offset by AUPRC gains at all horizons.</w:t>
            </w:r>
          </w:p>
        </w:tc>
        <w:tc>
          <w:tcPr>
            <w:tcW w:type="dxa" w:w="1526"/>
            <w:tcBorders>
              <w:top w:val="single" w:color="CCCCCC" w:sz="1"/>
              <w:left w:val="single" w:color="CCCCCC" w:sz="1"/>
              <w:bottom w:val="single" w:color="CCCCCC" w:sz="1"/>
              <w:right w:val="single" w:color="CCCCCC" w:sz="1"/>
            </w:tcBorders>
            <w:shd w:fill="EBF3FB" w:val="clear"/>
            <w:tcMar>
              <w:top w:type="dxa" w:w="70"/>
              <w:left w:type="dxa" w:w="120"/>
              <w:bottom w:type="dxa" w:w="70"/>
              <w:right w:type="dxa" w:w="120"/>
            </w:tcMar>
          </w:tcPr>
          <w:p>
            <w:pPr>
              <w:jc w:val="left"/>
            </w:pPr>
            <w:r>
              <w:rPr>
                <w:rFonts w:ascii="Arial" w:cs="Arial" w:eastAsia="Arial" w:hAnsi="Arial"/>
                <w:sz w:val="19"/>
                <w:szCs w:val="19"/>
              </w:rPr>
              <w:t xml:space="preserve">Supported. Trade-off is quantifiable and horizon-contingent.</w:t>
            </w:r>
          </w:p>
        </w:tc>
      </w:tr>
    </w:tbl>
    <w:p>
      <w:pPr>
        <w:spacing w:after="120" w:before="60"/>
      </w:pPr>
      <w:r>
        <w:rPr>
          <w:rFonts w:ascii="Arial" w:cs="Arial" w:eastAsia="Arial" w:hAnsi="Arial"/>
          <w:i/>
          <w:iCs/>
          <w:color w:val="555555"/>
          <w:sz w:val="18"/>
          <w:szCs w:val="18"/>
        </w:rPr>
        <w:t xml:space="preserve">Table 4.5. Hypothesis assessment under the corrected pipeline (NB04–NB08). All verdicts reflect AUPRC at H2 as primary metric, supplemented by identification, horizon and robustness analyses.</w:t>
      </w:r>
    </w:p>
    <w:p>
      <w:pPr>
        <w:spacing w:after="80" w:before="0"/>
      </w:pPr>
    </w:p>
    <w:p>
      <w:pPr>
        <w:pBdr>
          <w:bottom w:val="single" w:color="D0D0D0" w:sz="4" w:space="1"/>
        </w:pBdr>
        <w:spacing w:after="200" w:before="200"/>
      </w:pPr>
    </w:p>
    <w:p>
      <w:pPr>
        <w:spacing w:after="0" w:before="160"/>
      </w:pPr>
      <w:r>
        <w:rPr>
          <w:rFonts w:ascii="Arial" w:cs="Arial" w:eastAsia="Arial" w:hAnsi="Arial"/>
          <w:i/>
          <w:iCs/>
          <w:color w:val="888888"/>
          <w:sz w:val="17"/>
          <w:szCs w:val="17"/>
        </w:rPr>
        <w:t xml:space="preserve">Final draft: April 2026. Corrected pipeline (NB04–NB08). Key corrections: expanding-mean demeaning; fold-specific scale_pos_weight; forward-fill + cross-sectional gap imputation; corrected Granger controls. Figures: figures/sentiment_improved/ and figures/robustness/.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Chapter 4: Results — Papachristos MSc Dissertation  |  p.</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2026-04-05T00:26:49.496Z</dcterms:created>
  <dcterms:modified xsi:type="dcterms:W3CDTF">2026-04-05T00:26:49.497Z</dcterms:modified>
</cp:coreProperties>
</file>

<file path=docProps/custom.xml><?xml version="1.0" encoding="utf-8"?>
<Properties xmlns="http://schemas.openxmlformats.org/officeDocument/2006/custom-properties" xmlns:vt="http://schemas.openxmlformats.org/officeDocument/2006/docPropsVTypes"/>
</file>