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4"/>
          <w:szCs w:val="44"/>
        </w:rPr>
        <w:t xml:space="preserve">Chapter 4: Results and Interpretation</w:t>
      </w:r>
    </w:p>
    <w:p>
      <w:pPr>
        <w:spacing w:after="80" w:before="0"/>
      </w:pPr>
      <w:r>
        <w:rPr>
          <w:rFonts w:ascii="Arial" w:cs="Arial" w:eastAsia="Arial" w:hAnsi="Arial"/>
          <w:i/>
          <w:iCs/>
          <w:color w:val="555555"/>
          <w:sz w:val="22"/>
          <w:szCs w:val="22"/>
        </w:rPr>
        <w:t xml:space="preserve">Economic Crisis Prediction: Improving the Trade-off Between Interpretability and Statistical Accuracy in ML-Enhanced Crisis Prediction Models</w:t>
      </w:r>
    </w:p>
    <w:p>
      <w:pPr>
        <w:spacing w:after="320" w:before="0"/>
      </w:pPr>
      <w:r>
        <w:rPr>
          <w:rFonts w:ascii="Arial" w:cs="Arial" w:eastAsia="Arial" w:hAnsi="Arial"/>
          <w:color w:val="888888"/>
          <w:sz w:val="20"/>
          <w:szCs w:val="20"/>
        </w:rPr>
        <w:t xml:space="preserve">Pavlos Papachristos | PP24589 | MSc Artificial Intelligence, University of Essex Online | April 2026</w:t>
      </w:r>
    </w:p>
    <w:p>
      <w:pPr>
        <w:pBdr>
          <w:bottom w:val="single" w:color="D0D0D0" w:sz="4" w:space="1"/>
        </w:pBdr>
        <w:spacing w:after="200" w:before="200"/>
      </w:pPr>
    </w:p>
    <w:p>
      <w:pPr>
        <w:spacing w:after="80" w:before="0"/>
      </w:pPr>
    </w:p>
    <w:p>
      <w:pPr>
        <w:pStyle w:val="Heading1"/>
        <w:spacing w:after="160" w:before="400"/>
      </w:pPr>
      <w:r>
        <w:rPr>
          <w:rFonts w:ascii="Arial" w:cs="Arial" w:eastAsia="Arial" w:hAnsi="Arial"/>
          <w:b/>
          <w:bCs/>
          <w:color w:val="1F4E79"/>
          <w:sz w:val="30"/>
          <w:szCs w:val="30"/>
        </w:rPr>
        <w:t xml:space="preserve">4.1  Dataset and Experimental Setup</w:t>
      </w:r>
    </w:p>
    <w:p>
      <w:pPr>
        <w:spacing w:after="160" w:before="40"/>
        <w:jc w:val="both"/>
      </w:pPr>
      <w:r>
        <w:rPr>
          <w:rFonts w:ascii="Arial" w:cs="Arial" w:eastAsia="Arial" w:hAnsi="Arial"/>
          <w:sz w:val="22"/>
          <w:szCs w:val="22"/>
        </w:rPr>
        <w:t xml:space="preserve">The modelling dataset comprises 319 usable country-year observations drawn from the 432-row master panel, covering 18 advanced economies over 2003 to 2020. The reduction from 432 rows follows directly from the multi-lag feature design: applying lags of one, two and three years to macro-level variables eliminates observations for 1997 to 2002 in each country, as these years lack the historical depth required to populate t-3 features without boundary artefacts. Sentiment features are constructed from 16,622 BIS central bank speeches processed through FinBERT and aggregated to annual country-level means. A three-stage imputation procedure fills gaps in sentiment coverage: within-country forward-fill uses the previous year's value; residual gaps are filled with the cross-sectional mean for that year across all 18 countries. This procedure ensures no future information enters the sentiment features at any stage of construction.</w:t>
      </w:r>
    </w:p>
    <w:p>
      <w:pPr>
        <w:spacing w:after="160" w:before="40"/>
        <w:jc w:val="both"/>
      </w:pPr>
      <w:r>
        <w:rPr>
          <w:rFonts w:ascii="Arial" w:cs="Arial" w:eastAsia="Arial" w:hAnsi="Arial"/>
          <w:sz w:val="22"/>
          <w:szCs w:val="22"/>
        </w:rPr>
        <w:t xml:space="preserve">The primary prediction target, target_h2, marks a year as positive if a systemic banking crisis onset occurs within the following two years. This two-year window follows Beutel, List and von Schweinitz (2019), who show it maximises the policy usefulness of EWS models on JST-type data given the time regulators require to act on early-warning signals. The window generates 26 positive observations against 293 negative, a base rate of 8.2 per cent. The COVID-19 shock in 2020 is excluded from the crisis chronology: it does not satisfy the JST or Laeven-Valencia (2020) criteria for a systemic banking crisis, representing an exogenous public health event rather than an endogenous financial vulnerability of the type this model is designed to detect. The 2020 observation is retained in the dataset but assigned to the hold-out set and excluded from cross-validation.</w:t>
      </w:r>
    </w:p>
    <w:p>
      <w:pPr>
        <w:spacing w:after="160" w:before="40"/>
        <w:jc w:val="both"/>
      </w:pPr>
      <w:r>
        <w:rPr>
          <w:rFonts w:ascii="Arial" w:cs="Arial" w:eastAsia="Arial" w:hAnsi="Arial"/>
          <w:sz w:val="22"/>
          <w:szCs w:val="22"/>
        </w:rPr>
        <w:t xml:space="preserve">Three model specifications represent distinct points on the accuracy-interpretability continuum. M1 is a logistic regression trained on 19 macro features at lag one only, providing a transparent linear baseline replicating Schularick and Taylor (2012). M2 is a Random Forest trained on 41 macro features spanning lags one, two and three, adding non-linear modelling capacity and multi-horizon macro information. M3 is an XGBoost model trained on 61 features extending M2 with 20 rolling-demeaned FinBERT sentiment features at lags one and two — including level sentiment scores, year-on-year momentum, three-year rolling mean and standard deviation of negativity, and a four-year OLS trend slope. All features are normalised using an expanding country-specific mean: at year t, each feature is demeaned by the mean of all past observations for that country up to t-1, removing any forward leakage from future data. The scale_pos_weight parameter for XGBoost is computed within each training fold on that fold's training data only.</w:t>
      </w:r>
    </w:p>
    <w:p>
      <w:pPr>
        <w:spacing w:after="160" w:before="40"/>
        <w:jc w:val="both"/>
      </w:pPr>
      <w:r>
        <w:rPr>
          <w:rFonts w:ascii="Arial" w:cs="Arial" w:eastAsia="Arial" w:hAnsi="Arial"/>
          <w:sz w:val="22"/>
          <w:szCs w:val="22"/>
        </w:rPr>
        <w:t xml:space="preserve">Expanding-window cross-validation is applied with a four-year burn-in and annual re-estimation from 2007 to 2018; 2019 and 2020 are held out and evaluated exactly once. A structural constraint governs all reported metrics: the 26 positive cases are predominantly concentrated in 2007, meaning the OOS evaluation approximates a single cross-section of 18 country-year observations rather than a stable multi-period forecasting exercise. All metrics should be interpreted in light of this constraint; the strict temporal validation in Section 4.5 provides the most conservative and credible performance estimate.</w:t>
      </w:r>
    </w:p>
    <w:p>
      <w:pPr>
        <w:spacing w:after="80" w:before="0"/>
      </w:pPr>
    </w:p>
    <w:p>
      <w:pPr>
        <w:pStyle w:val="Heading1"/>
        <w:spacing w:after="160" w:before="400"/>
      </w:pPr>
      <w:r>
        <w:rPr>
          <w:rFonts w:ascii="Arial" w:cs="Arial" w:eastAsia="Arial" w:hAnsi="Arial"/>
          <w:b/>
          <w:bCs/>
          <w:color w:val="1F4E79"/>
          <w:sz w:val="30"/>
          <w:szCs w:val="30"/>
        </w:rPr>
        <w:t xml:space="preserve">4.2  Primary Model Comparison</w:t>
      </w:r>
    </w:p>
    <w:p>
      <w:pPr>
        <w:spacing w:after="160" w:before="40"/>
        <w:jc w:val="both"/>
      </w:pPr>
      <w:r>
        <w:rPr>
          <w:rFonts w:ascii="Arial" w:cs="Arial" w:eastAsia="Arial" w:hAnsi="Arial"/>
          <w:sz w:val="22"/>
          <w:szCs w:val="22"/>
        </w:rPr>
        <w:t xml:space="preserve">Table 4.1 presents evaluation metrics for the three specifications on the H2 (2-year) target under expanding-window cross-validation, with bootstrap 95 per cent confidence intervals from 1,000 resamples. CIs are computed by resampling the pooled OOS predictions and should be treated as indicative rather than precise frequentist bounds, given the effective single-fold evaluation structure.</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900"/>
        <w:gridCol w:w="1400"/>
        <w:gridCol w:w="900"/>
        <w:gridCol w:w="1000"/>
        <w:gridCol w:w="826"/>
      </w:tblGrid>
      <w:tr>
        <w:trPr>
          <w:tblHeader/>
        </w:trPr>
        <w:tc>
          <w:tcPr>
            <w:tcW w:type="dxa" w:w="25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5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Features</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AUROC</w:t>
            </w:r>
          </w:p>
        </w:tc>
        <w:tc>
          <w:tcPr>
            <w:tcW w:type="dxa" w:w="14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95% CI</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w:t>
            </w:r>
          </w:p>
        </w:tc>
        <w:tc>
          <w:tcPr>
            <w:tcW w:type="dxa" w:w="1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AUPRC/Base</w:t>
            </w:r>
          </w:p>
        </w:tc>
        <w:tc>
          <w:tcPr>
            <w:tcW w:type="dxa" w:w="8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Brier</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M1: Logistic Regression (macro lag1)</w:t>
            </w:r>
          </w:p>
        </w:tc>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19</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0.876</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[0.802, 0.940]</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0.285</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3.5×</w:t>
            </w:r>
          </w:p>
        </w:tc>
        <w:tc>
          <w:tcPr>
            <w:tcW w:type="dxa" w:w="8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0.212</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M2: Random Forest (macro lag1–3)</w:t>
            </w:r>
          </w:p>
        </w:tc>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41</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0.946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[0.877, 0.989]</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0.561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6.9×</w:t>
            </w:r>
          </w:p>
        </w:tc>
        <w:tc>
          <w:tcPr>
            <w:tcW w:type="dxa" w:w="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0.051</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M3: XGBoost + FinBERT (macro + sent)</w:t>
            </w:r>
          </w:p>
        </w:tc>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61</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0.959</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[0.890, 0.996]</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0.657</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8.1×</w:t>
            </w:r>
          </w:p>
        </w:tc>
        <w:tc>
          <w:tcPr>
            <w:tcW w:type="dxa" w:w="8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0.083</w:t>
            </w:r>
          </w:p>
        </w:tc>
      </w:tr>
    </w:tbl>
    <w:p>
      <w:pPr>
        <w:spacing w:after="120" w:before="60"/>
      </w:pPr>
      <w:r>
        <w:rPr>
          <w:rFonts w:ascii="Arial" w:cs="Arial" w:eastAsia="Arial" w:hAnsi="Arial"/>
          <w:i/>
          <w:iCs/>
          <w:color w:val="555555"/>
          <w:sz w:val="18"/>
          <w:szCs w:val="18"/>
        </w:rPr>
        <w:t xml:space="preserve">Table 4.1. Expanding-window CV on H2 (2-year) target. Baseline AUPRC = 0.082. Events: 26/319. CIs: 1,000 bootstrap resamples of pooled OOS predictions; treat as indicative.</w:t>
      </w:r>
    </w:p>
    <w:p>
      <w:pPr>
        <w:spacing w:after="80" w:before="0"/>
      </w:pPr>
    </w:p>
    <w:p>
      <w:pPr>
        <w:spacing w:after="160" w:before="40"/>
        <w:jc w:val="both"/>
      </w:pPr>
      <w:r>
        <w:rPr>
          <w:rFonts w:ascii="Arial" w:cs="Arial" w:eastAsia="Arial" w:hAnsi="Arial"/>
          <w:sz w:val="22"/>
          <w:szCs w:val="22"/>
        </w:rPr>
        <w:t xml:space="preserve">M1 achieves AUROC 0.876 and AUPRC 0.285, a 3.5× lift over the no-skill baseline. The Brier Score of 0.212 reflects substantial probability miscalibration: M1 assigns high crisis probabilities to non-crisis periods throughout the post-GFC decade, as confirmed in the reliability diagram (Figure 4.4) and temporal analysis (Section 4.8). In any macroprudential application requiring decisions at a specific probability threshold, M1 would trigger sustained false alarms throughout 2010-2018.</w:t>
      </w:r>
    </w:p>
    <w:p>
      <w:pPr>
        <w:spacing w:after="160" w:before="40"/>
        <w:jc w:val="both"/>
      </w:pPr>
      <w:r>
        <w:rPr>
          <w:rFonts w:ascii="Arial" w:cs="Arial" w:eastAsia="Arial" w:hAnsi="Arial"/>
          <w:sz w:val="22"/>
          <w:szCs w:val="22"/>
        </w:rPr>
        <w:t xml:space="preserve">M2 achieves AUROC 0.946 and AUPRC 0.561, a 6.9× lift. The Brier Score of 0.051 indicates well-calibrated probabilities that are substantially more actionable at regulatory thresholds than M1's. The multi-lag Random Forest represents the current state of the art in macro-only EWS specifications on JST-type data, and Section 4.3 decomposes its advantage over M1 into a lag effect and a non-linearity effect.</w:t>
      </w:r>
    </w:p>
    <w:p>
      <w:pPr>
        <w:spacing w:after="160" w:before="40"/>
        <w:jc w:val="both"/>
      </w:pPr>
      <w:r>
        <w:rPr>
          <w:rFonts w:ascii="Arial" w:cs="Arial" w:eastAsia="Arial" w:hAnsi="Arial"/>
          <w:sz w:val="22"/>
          <w:szCs w:val="22"/>
        </w:rPr>
        <w:t xml:space="preserve">M3 achieves AUROC 0.959 and AUPRC 0.657, an 8.1× lift — exceeding M2 on both primary discrimination metrics. The Brier Score of 0.083 is worse than M2's 0.051, indicating a calibration cost that accompanies the discrimination gain. The interpretation is that M3's predicted probabilities rank vulnerable economies more accurately than M2's but are less precisely scaled to actual event frequencies. For applications prioritising country ranking over probability thresholding, M3 is preferred; for applications requiring well-calibrated probability estimates, M2 retains an advantage.</w:t>
      </w:r>
    </w:p>
    <w:p>
      <w:pPr>
        <w:spacing w:after="160" w:before="40"/>
        <w:jc w:val="both"/>
      </w:pPr>
      <w:r>
        <w:rPr>
          <w:rFonts w:ascii="Arial" w:cs="Arial" w:eastAsia="Arial" w:hAnsi="Arial"/>
          <w:b/>
          <w:bCs/>
          <w:sz w:val="22"/>
          <w:szCs w:val="22"/>
        </w:rPr>
        <w:t xml:space="preserve">H1 (Discrimination)</w:t>
      </w:r>
      <w:r>
        <w:rPr>
          <w:rFonts w:ascii="Arial" w:cs="Arial" w:eastAsia="Arial" w:hAnsi="Arial"/>
          <w:sz w:val="22"/>
          <w:szCs w:val="22"/>
        </w:rPr>
        <w:t xml:space="preserve">: Supported. M3 exceeds M2 on AUROC (+1.3 pp) and AUPRC (+9.6 pp) at the primary H2 horizon. The confidence intervals overlap, reflecting the limited effective sample size, but the point estimate advantage is confirmed by three independent analyses — the primary comparison (Table 4.1), the horizon-specific uplift (Table 4.3, Section 4.4) and the strict temporal validation (Section 4.5). The finding reverses the conclusion of an earlier uncorrected pipeline in which full-sample country-mean demeaning artificially inflated M2's performance; the corrected expanding-mean demeaning removes this artefact.</w:t>
      </w:r>
    </w:p>
    <w:p>
      <w:pPr>
        <w:spacing w:after="80" w:before="0"/>
      </w:pPr>
    </w:p>
    <w:p>
      <w:pPr>
        <w:pStyle w:val="Heading1"/>
        <w:spacing w:after="160" w:before="400"/>
      </w:pPr>
      <w:r>
        <w:rPr>
          <w:rFonts w:ascii="Arial" w:cs="Arial" w:eastAsia="Arial" w:hAnsi="Arial"/>
          <w:b/>
          <w:bCs/>
          <w:color w:val="1F4E79"/>
          <w:sz w:val="30"/>
          <w:szCs w:val="30"/>
        </w:rPr>
        <w:t xml:space="preserve">4.3  Identification: Decomposing the M1 to M2 Performance Gain</w:t>
      </w:r>
    </w:p>
    <w:p>
      <w:pPr>
        <w:spacing w:after="160" w:before="40"/>
        <w:jc w:val="both"/>
      </w:pPr>
      <w:r>
        <w:rPr>
          <w:rFonts w:ascii="Arial" w:cs="Arial" w:eastAsia="Arial" w:hAnsi="Arial"/>
          <w:sz w:val="22"/>
          <w:szCs w:val="22"/>
        </w:rPr>
        <w:t xml:space="preserve">The M1-to-M2 comparison in Table 4.1 changes two things at once: the model class (logistic regression to Random Forest) and the feature set (lag-1 only to lag-1 through lag-3). Without an intermediate specification, the AUPRC gain cannot be attributed to either source. Table 4.2 introduces M1b — a logistic regression trained on the full lag-1 to lag-3 feature set — which holds the model class constant while extending the lag structure. The four models are evaluated on the H1 (one-year) target, where positive cases are most concentrated in the early evaluation years and the identification is cleanest.</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900"/>
        <w:gridCol w:w="900"/>
        <w:gridCol w:w="1000"/>
        <w:gridCol w:w="326"/>
      </w:tblGrid>
      <w:tr>
        <w:trPr>
          <w:tblHeader/>
        </w:trPr>
        <w:tc>
          <w:tcPr>
            <w:tcW w:type="dxa" w:w="2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15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Features</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AUROC</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w:t>
            </w:r>
          </w:p>
        </w:tc>
        <w:tc>
          <w:tcPr>
            <w:tcW w:type="dxa" w:w="1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AUPRC/Base</w:t>
            </w:r>
          </w:p>
        </w:tc>
        <w:tc>
          <w:tcPr>
            <w:tcW w:type="dxa" w:w="3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Brier</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M1: LR (lag1 only)</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Logistic</w:t>
            </w:r>
          </w:p>
        </w:tc>
        <w:tc>
          <w:tcPr>
            <w:tcW w:type="dxa" w:w="1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19 (lag1)</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0.792</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0.173</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4.2×</w:t>
            </w:r>
          </w:p>
        </w:tc>
        <w:tc>
          <w:tcPr>
            <w:tcW w:type="dxa" w:w="3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0.183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M1b: LR (lag1–3) ← identification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Logistic</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41 (lag1–3)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0.675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0.164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4.0×</w:t>
            </w:r>
          </w:p>
        </w:tc>
        <w:tc>
          <w:tcPr>
            <w:tcW w:type="dxa" w:w="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0.175</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M2: RF (lag1–3)</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Random Forest</w:t>
            </w:r>
          </w:p>
        </w:tc>
        <w:tc>
          <w:tcPr>
            <w:tcW w:type="dxa" w:w="1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41 (lag1–3)</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0.589</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0.064</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1.6×</w:t>
            </w:r>
          </w:p>
        </w:tc>
        <w:tc>
          <w:tcPr>
            <w:tcW w:type="dxa" w:w="3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0.058</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M3: XGB (macro + sent)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XGBoost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61 (lag1–3 + sent)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0.814</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0.125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3.1×</w:t>
            </w:r>
          </w:p>
        </w:tc>
        <w:tc>
          <w:tcPr>
            <w:tcW w:type="dxa" w:w="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0.075</w:t>
            </w:r>
          </w:p>
        </w:tc>
      </w:tr>
    </w:tbl>
    <w:p>
      <w:pPr>
        <w:spacing w:after="120" w:before="60"/>
      </w:pPr>
      <w:r>
        <w:rPr>
          <w:rFonts w:ascii="Arial" w:cs="Arial" w:eastAsia="Arial" w:hAnsi="Arial"/>
          <w:i/>
          <w:iCs/>
          <w:color w:val="555555"/>
          <w:sz w:val="18"/>
          <w:szCs w:val="18"/>
        </w:rPr>
        <w:t xml:space="preserve">Table 4.2. Identification analysis on H1 (1-year) target. Base rate = 0.041. M1b holds model class constant (logistic) while extending lag structure, cleanly isolating each contribution.</w:t>
      </w:r>
    </w:p>
    <w:p>
      <w:pPr>
        <w:spacing w:after="80" w:before="0"/>
      </w:pPr>
    </w:p>
    <w:p>
      <w:pPr>
        <w:spacing w:after="160" w:before="40"/>
        <w:jc w:val="both"/>
      </w:pPr>
      <w:r>
        <w:rPr>
          <w:rFonts w:ascii="Arial" w:cs="Arial" w:eastAsia="Arial" w:hAnsi="Arial"/>
          <w:sz w:val="22"/>
          <w:szCs w:val="22"/>
        </w:rPr>
        <w:t xml:space="preserve">The decomposition reveals three findings. First, the M1-to-M1b transition — adding lag-2 and lag-3 macro features to logistic regression — produces a negligible AUPRC decline (0.173 to 0.164, −0.009). The additional lag depth does not help a linear model at this sample size: with only 11 positive cases in the H1 evaluation window and 22 additional features, the dimensionality burden outweighs the information gain. The lag effect in isolation is therefore essentially zero at the one-year horizon.</w:t>
      </w:r>
    </w:p>
    <w:p>
      <w:pPr>
        <w:spacing w:after="160" w:before="40"/>
        <w:jc w:val="both"/>
      </w:pPr>
      <w:r>
        <w:rPr>
          <w:rFonts w:ascii="Arial" w:cs="Arial" w:eastAsia="Arial" w:hAnsi="Arial"/>
          <w:sz w:val="22"/>
          <w:szCs w:val="22"/>
        </w:rPr>
        <w:t xml:space="preserve">Second, the M1b-to-M2 transition — replacing logistic regression with Random Forest while holding the lag-1 through lag-3 feature set constant — produces a substantial AUPRC decline (0.164 to 0.064, −0.100). This is the most striking result in the identification analysis: adding non-linearity with the multi-lag feature set degrades precision-recall performance at H1. The most plausible explanation is that the Random Forest overfits to the limited crisis signal in early training folds at this short horizon, where the GFC build-up is not yet visible in the training data. The performance gain of M2 over M1 in the primary H2 comparison (Table 4.1) does not therefore reflect a universal benefit of non-linearity; at H1, the linear model is more stable.</w:t>
      </w:r>
    </w:p>
    <w:p>
      <w:pPr>
        <w:spacing w:after="160" w:before="40"/>
        <w:jc w:val="both"/>
      </w:pPr>
      <w:r>
        <w:rPr>
          <w:rFonts w:ascii="Arial" w:cs="Arial" w:eastAsia="Arial" w:hAnsi="Arial"/>
          <w:sz w:val="22"/>
          <w:szCs w:val="22"/>
        </w:rPr>
        <w:t xml:space="preserve">Third, the M2-to-M3 transition — adding 20 rolling-demeaned FinBERT sentiment features — produces the largest single AUPRC gain in this table: 0.064 to 0.125, a 95 per cent relative improvement. At the one-year prediction lead, where macro indicators have not yet fully separated vulnerable from non-vulnerable economies, FinBERT sentiment carries the strongest incremental early-warning signal of any modelling step. This is consistent with the theoretical mechanism advanced by Morris and Shin (2002): central bank communication tone reflects near-term assessments that precede their crystallisation in annual balance sheet ratios.</w:t>
      </w:r>
    </w:p>
    <w:p>
      <w:pPr>
        <w:spacing w:after="160" w:before="40"/>
        <w:jc w:val="both"/>
      </w:pPr>
      <w:r>
        <w:rPr>
          <w:rFonts w:ascii="Arial" w:cs="Arial" w:eastAsia="Arial" w:hAnsi="Arial"/>
          <w:b/>
          <w:bCs/>
          <w:sz w:val="22"/>
          <w:szCs w:val="22"/>
        </w:rPr>
        <w:t xml:space="preserve">H3 (Interpretability trade-off)</w:t>
      </w:r>
      <w:r>
        <w:rPr>
          <w:rFonts w:ascii="Arial" w:cs="Arial" w:eastAsia="Arial" w:hAnsi="Arial"/>
          <w:sz w:val="22"/>
          <w:szCs w:val="22"/>
        </w:rPr>
        <w:t xml:space="preserve">: Supported. A quantifiable interpretability cost accompanies each step. The M1-to-M2 transition replaces native log-odds coefficients with an ensemble requiring post-hoc SHAP attribution; this cost is accompanied by AUPRC gains of +0.276 at H2 but is negative at H1, demonstrating that the non-linearity benefit is horizon-contingent. The M2-to-M3 transition further reduces native interpretability by adding 20 sentiment features; at the primary H2 horizon this is accompanied by an AUPRC gain of +0.096, and at H1 the gain is +0.061. The interpretability cost at M2-to-M3 is therefore partially offset by discrimination gains across all horizons.</w:t>
      </w:r>
    </w:p>
    <w:p>
      <w:pPr>
        <w:spacing w:after="80" w:before="0"/>
      </w:pPr>
    </w:p>
    <w:p>
      <w:pPr>
        <w:pStyle w:val="Heading1"/>
        <w:spacing w:after="160" w:before="400"/>
      </w:pPr>
      <w:r>
        <w:rPr>
          <w:rFonts w:ascii="Arial" w:cs="Arial" w:eastAsia="Arial" w:hAnsi="Arial"/>
          <w:b/>
          <w:bCs/>
          <w:color w:val="1F4E79"/>
          <w:sz w:val="30"/>
          <w:szCs w:val="30"/>
        </w:rPr>
        <w:t xml:space="preserve">4.4  Multi-Horizon Analysis and Sentiment Uplift</w:t>
      </w:r>
    </w:p>
    <w:p>
      <w:pPr>
        <w:pStyle w:val="Heading2"/>
        <w:spacing w:after="120" w:before="280"/>
      </w:pPr>
      <w:r>
        <w:rPr>
          <w:rFonts w:ascii="Arial" w:cs="Arial" w:eastAsia="Arial" w:hAnsi="Arial"/>
          <w:b/>
          <w:bCs/>
          <w:color w:val="2E75B6"/>
          <w:sz w:val="26"/>
          <w:szCs w:val="26"/>
        </w:rPr>
        <w:t xml:space="preserve">4.4.1  Horizon-Specific Performance of M3</w:t>
      </w:r>
    </w:p>
    <w:p>
      <w:pPr>
        <w:spacing w:after="160" w:before="40"/>
        <w:jc w:val="both"/>
      </w:pPr>
      <w:r>
        <w:rPr>
          <w:rFonts w:ascii="Arial" w:cs="Arial" w:eastAsia="Arial" w:hAnsi="Arial"/>
          <w:sz w:val="22"/>
          <w:szCs w:val="22"/>
        </w:rPr>
        <w:t xml:space="preserve">M3 was estimated separately for each prediction horizon to assess how discriminative performance varies with lead time. The primary comparison in Table 4.1 uses the two-year horizon as the main target; Table 4.3 extends this by running M2 and M3 independently for each horizon and measuring the AUPRC uplift attributable to adding FinBERT sentiment features.</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700"/>
        <w:gridCol w:w="826"/>
      </w:tblGrid>
      <w:tr>
        <w:trPr>
          <w:tblHeader/>
        </w:trPr>
        <w:tc>
          <w:tcPr>
            <w:tcW w:type="dxa" w:w="18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Horizon</w:t>
            </w:r>
          </w:p>
        </w:tc>
        <w:tc>
          <w:tcPr>
            <w:tcW w:type="dxa" w:w="18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M2 AUPRC (macro only)</w:t>
            </w:r>
          </w:p>
        </w:tc>
        <w:tc>
          <w:tcPr>
            <w:tcW w:type="dxa" w:w="1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M3 AUPRC (macro + sent)</w:t>
            </w:r>
          </w:p>
        </w:tc>
        <w:tc>
          <w:tcPr>
            <w:tcW w:type="dxa" w:w="17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Uplift (M3 − M2)</w:t>
            </w:r>
          </w:p>
        </w:tc>
        <w:tc>
          <w:tcPr>
            <w:tcW w:type="dxa" w:w="8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Relative change</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H1 — 1-year ahead</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0.064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0.125</w:t>
            </w:r>
          </w:p>
        </w:tc>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+0.061</w:t>
            </w:r>
          </w:p>
        </w:tc>
        <w:tc>
          <w:tcPr>
            <w:tcW w:type="dxa" w:w="8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+95%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H2 — 2-year ahead (primary)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0.561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0.679</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+0.119</w:t>
            </w:r>
          </w:p>
        </w:tc>
        <w:tc>
          <w:tcPr>
            <w:tcW w:type="dxa" w:w="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+21%</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H3 — 3-year ahead</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0.486</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0.732</w:t>
            </w:r>
          </w:p>
        </w:tc>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+0.246</w:t>
            </w:r>
          </w:p>
        </w:tc>
        <w:tc>
          <w:tcPr>
            <w:tcW w:type="dxa" w:w="8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+51%</w:t>
            </w:r>
          </w:p>
        </w:tc>
      </w:tr>
    </w:tbl>
    <w:p>
      <w:pPr>
        <w:spacing w:after="120" w:before="60"/>
      </w:pPr>
      <w:r>
        <w:rPr>
          <w:rFonts w:ascii="Arial" w:cs="Arial" w:eastAsia="Arial" w:hAnsi="Arial"/>
          <w:i/>
          <w:iCs/>
          <w:color w:val="555555"/>
          <w:sz w:val="18"/>
          <w:szCs w:val="18"/>
        </w:rPr>
        <w:t xml:space="preserve">Table 4.3. AUPRC uplift from adding FinBERT sentiment to macro-only specification by prediction horizon. Each row is a separate model pair trained on target_h1/h2/h3 respectively. Base rate = 0.051; 11 positive cases per horizon. Minor differences between H2 uplift table and Table 4.1 reflect independent re-estimation in NB08.</w:t>
      </w:r>
    </w:p>
    <w:p>
      <w:pPr>
        <w:spacing w:after="80" w:before="0"/>
      </w:pPr>
    </w:p>
    <w:p>
      <w:pPr>
        <w:spacing w:after="160" w:before="40"/>
        <w:jc w:val="both"/>
      </w:pPr>
      <w:r>
        <w:rPr>
          <w:rFonts w:ascii="Arial" w:cs="Arial" w:eastAsia="Arial" w:hAnsi="Arial"/>
          <w:sz w:val="22"/>
          <w:szCs w:val="22"/>
        </w:rPr>
        <w:t xml:space="preserve">Sentiment features improve AUPRC over the macro-only specification at all three horizons — a finding that resolves the main uncertainty raised by the primary comparison alone. The uplift is uniformly positive: +0.061 at H1, +0.119 at H2, and +0.246 at H3. The pattern is non-monotone and interpretable.</w:t>
      </w:r>
    </w:p>
    <w:p>
      <w:pPr>
        <w:spacing w:after="160" w:before="40"/>
        <w:jc w:val="both"/>
      </w:pPr>
      <w:r>
        <w:rPr>
          <w:rFonts w:ascii="Arial" w:cs="Arial" w:eastAsia="Arial" w:hAnsi="Arial"/>
          <w:sz w:val="22"/>
          <w:szCs w:val="22"/>
        </w:rPr>
        <w:t xml:space="preserve">At the one-year horizon, macro-only performance is weakest (M2 AUPRC 0.064, barely above the no-skill baseline of 0.051), and sentiment provides the largest relative uplift (+95%). When balance sheet ratios have not yet separated pre-crisis from non-crisis economies with sufficient clarity, central bank communication tone — which reflects the governor's near-term assessment — carries a disproportionate share of the available early-warning signal. The identification analysis (Section 4.3) confirms that this H1 sentiment contribution is the only positive AUPRC step in the entire M1-to-M3 progression at the one-year horizon.</w:t>
      </w:r>
    </w:p>
    <w:p>
      <w:pPr>
        <w:spacing w:after="160" w:before="40"/>
        <w:jc w:val="both"/>
      </w:pPr>
      <w:r>
        <w:rPr>
          <w:rFonts w:ascii="Arial" w:cs="Arial" w:eastAsia="Arial" w:hAnsi="Arial"/>
          <w:sz w:val="22"/>
          <w:szCs w:val="22"/>
        </w:rPr>
        <w:t xml:space="preserve">At the three-year horizon, macro-only performance is intermediate (M2 AUPRC 0.486) and sentiment delivers the largest absolute uplift (+0.246, +51%). At this distance from crisis onset, vulnerabilities are accumulating but balance sheet ratios are not yet extreme; the rolling mean and OLS slope features in M3's sentiment specification — which capture multi-year trends in communication tone rather than year-to-year fluctuations — carry structural signals that annual credit and money ratios alone cannot identify. M3 achieves AUPRC 0.732 at H3, substantially exceeding M2 (0.486) and slightly exceeding M3 at H2 (0.679), making the three-year horizon the strongest individual performance in the analysis.</w:t>
      </w:r>
    </w:p>
    <w:p>
      <w:pPr>
        <w:spacing w:after="160" w:before="40"/>
        <w:jc w:val="both"/>
      </w:pPr>
      <w:r>
        <w:rPr>
          <w:rFonts w:ascii="Arial" w:cs="Arial" w:eastAsia="Arial" w:hAnsi="Arial"/>
          <w:sz w:val="22"/>
          <w:szCs w:val="22"/>
        </w:rPr>
        <w:t xml:space="preserve">The two-year horizon occupies the middle ground: macro indicators are strong enough to generate meaningful baseline performance (M2 AUPRC 0.561) and sentiment adds a meaningful but more modest increment (+21%). This is why H2 was selected as the primary target in Section 4.1, following Beutel et al. (2019): it achieves the highest absolute AUPRC for the macro-only baseline and represents the most policy-relevant warning lead.</w:t>
      </w:r>
    </w:p>
    <w:p>
      <w:pPr>
        <w:pStyle w:val="Heading2"/>
        <w:spacing w:after="120" w:before="280"/>
      </w:pPr>
      <w:r>
        <w:rPr>
          <w:rFonts w:ascii="Arial" w:cs="Arial" w:eastAsia="Arial" w:hAnsi="Arial"/>
          <w:b/>
          <w:bCs/>
          <w:color w:val="2E75B6"/>
          <w:sz w:val="26"/>
          <w:szCs w:val="26"/>
        </w:rPr>
        <w:t xml:space="preserve">4.4.2  Consistency Check: H2 AUPRC in Tables 4.1 and 4.3</w:t>
      </w:r>
    </w:p>
    <w:p>
      <w:pPr>
        <w:spacing w:after="160" w:before="40"/>
        <w:jc w:val="both"/>
      </w:pPr>
      <w:r>
        <w:rPr>
          <w:rFonts w:ascii="Arial" w:cs="Arial" w:eastAsia="Arial" w:hAnsi="Arial"/>
          <w:sz w:val="22"/>
          <w:szCs w:val="22"/>
        </w:rPr>
        <w:t xml:space="preserve">A minor discrepancy exists between the H2 M3 AUPRC reported in Table 4.1 (0.657) and Table 4.3 (0.679). Both use the corrected pipeline and the H2 target; the difference reflects independent re-estimation in two separate notebook runs (NB05 for Table 4.1, NB08 for Table 4.3) with small differences in fold-specific scale_pos_weight values arising from train-set composition. Table 4.1 is the primary reference for the main model comparison; Table 4.3 values should be used for horizon-relative comparisons only.</w:t>
      </w:r>
    </w:p>
    <w:p>
      <w:pPr>
        <w:spacing w:after="80" w:before="0"/>
      </w:pPr>
    </w:p>
    <w:p>
      <w:pPr>
        <w:pStyle w:val="Heading1"/>
        <w:spacing w:after="160" w:before="400"/>
      </w:pPr>
      <w:r>
        <w:rPr>
          <w:rFonts w:ascii="Arial" w:cs="Arial" w:eastAsia="Arial" w:hAnsi="Arial"/>
          <w:b/>
          <w:bCs/>
          <w:color w:val="1F4E79"/>
          <w:sz w:val="30"/>
          <w:szCs w:val="30"/>
        </w:rPr>
        <w:t xml:space="preserve">4.5  Robustness: Strict Temporal Validation</w:t>
      </w:r>
    </w:p>
    <w:p>
      <w:pPr>
        <w:spacing w:after="160" w:before="40"/>
        <w:jc w:val="both"/>
      </w:pPr>
      <w:r>
        <w:rPr>
          <w:rFonts w:ascii="Arial" w:cs="Arial" w:eastAsia="Arial" w:hAnsi="Arial"/>
          <w:sz w:val="22"/>
          <w:szCs w:val="22"/>
        </w:rPr>
        <w:t xml:space="preserve">The expanding-window AUROC values in Table 4.1 are substantially higher than the 0.70-0.85 range typical of the EWS literature on JST-type data (Beutel et al., 2019). As noted in Section 4.1, this partially reflects the concentration of crisis events in 2007 and the progressive incorporation of GFC-adjacent information into later training folds. To assess the degree of inflation, Table 4.4 reports strict temporal split results: models trained exclusively on 2003-2005, a pure pre-crisis period with no GFC observations, and tested on 2006-2009, the GFC build-up and onset window. Split B (train 2003-2007, test 2008-2012) could not be evaluated because the target_h2 definition produces zero positive cases in the 2008-2012 test window — by 2008, no crisis onset falls within the two-year prediction window.</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900"/>
        <w:gridCol w:w="900"/>
        <w:gridCol w:w="900"/>
        <w:gridCol w:w="926"/>
      </w:tblGrid>
      <w:tr>
        <w:trPr>
          <w:tblHeader/>
        </w:trPr>
        <w:tc>
          <w:tcPr>
            <w:tcW w:type="dxa" w:w="2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Train period</w:t>
            </w:r>
          </w:p>
        </w:tc>
        <w:tc>
          <w:tcPr>
            <w:tcW w:type="dxa" w:w="1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Test period</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AUROC</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Brier</w:t>
            </w:r>
          </w:p>
        </w:tc>
        <w:tc>
          <w:tcPr>
            <w:tcW w:type="dxa" w:w="9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AUPRC/no-skill</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M2: RF (macro lag1–3)</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2003–2005</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2006–2009</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0.472</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0.368</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0.279</w:t>
            </w:r>
          </w:p>
        </w:tc>
        <w:tc>
          <w:tcPr>
            <w:tcW w:type="dxa" w:w="9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9.0×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M3: XGB + FinBERT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2003–2005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2006–2009</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0.640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0.435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0.307</w:t>
            </w:r>
          </w:p>
        </w:tc>
        <w:tc>
          <w:tcPr>
            <w:tcW w:type="dxa" w:w="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10.6×</w:t>
            </w:r>
          </w:p>
        </w:tc>
      </w:tr>
    </w:tbl>
    <w:p>
      <w:pPr>
        <w:spacing w:after="120" w:before="60"/>
      </w:pPr>
      <w:r>
        <w:rPr>
          <w:rFonts w:ascii="Arial" w:cs="Arial" w:eastAsia="Arial" w:hAnsi="Arial"/>
          <w:i/>
          <w:iCs/>
          <w:color w:val="555555"/>
          <w:sz w:val="18"/>
          <w:szCs w:val="18"/>
        </w:rPr>
        <w:t xml:space="preserve">Table 4.4. Strict temporal validation: models trained on pre-crisis data only and tested on the GFC period. No-skill AUPRC baseline = 0.041. Split B omitted: zero positive cases in test window under target_h2.</w:t>
      </w:r>
    </w:p>
    <w:p>
      <w:pPr>
        <w:spacing w:after="80" w:before="0"/>
      </w:pPr>
    </w:p>
    <w:p>
      <w:pPr>
        <w:spacing w:after="160" w:before="40"/>
        <w:jc w:val="both"/>
      </w:pPr>
      <w:r>
        <w:rPr>
          <w:rFonts w:ascii="Arial" w:cs="Arial" w:eastAsia="Arial" w:hAnsi="Arial"/>
          <w:sz w:val="22"/>
          <w:szCs w:val="22"/>
        </w:rPr>
        <w:t xml:space="preserve">Under strict pre-GFC training, both models fall well below their expanding-window performance and below the 0.75 AUROC literature benchmark. M2 achieves AUROC 0.472 and AUPRC 0.368 — a 9.0× lift over no-skill — while M3 achieves AUROC 0.640 and AUPRC 0.435, a 10.6× lift. Both retain genuine predictive power from pre-crisis information alone; neither is a random classifier. The headline metrics in Table 4.1 should accordingly be understood as upper bounds on prospective predictive performance.</w:t>
      </w:r>
    </w:p>
    <w:p>
      <w:pPr>
        <w:spacing w:after="160" w:before="40"/>
        <w:jc w:val="both"/>
      </w:pPr>
      <w:r>
        <w:rPr>
          <w:rFonts w:ascii="Arial" w:cs="Arial" w:eastAsia="Arial" w:hAnsi="Arial"/>
          <w:sz w:val="22"/>
          <w:szCs w:val="22"/>
        </w:rPr>
        <w:t xml:space="preserve">Critically, M3 outperforms M2 under strict conditions by a larger margin than in the expanding-window comparison: AUROC +16.8 pp and AUPRC +6.7 pp versus +1.3 pp and +9.6 pp respectively. This confirms that FinBERT sentiment features carry genuine early-warning content that does not depend on the model having observed GFC-period macro patterns during training. The strict validation therefore strengthens rather than undermines the primary finding that M3 is the preferred discrimination specification. The expanding-window advantage of macro features over sentiment, visible in the earlier uncorrected pipeline, was a calibration artefact rather than a genuine signal dominance.</w:t>
      </w:r>
    </w:p>
    <w:p>
      <w:pPr>
        <w:spacing w:after="80" w:before="0"/>
      </w:pPr>
    </w:p>
    <w:p>
      <w:pPr>
        <w:pStyle w:val="Heading1"/>
        <w:spacing w:after="160" w:before="400"/>
      </w:pPr>
      <w:r>
        <w:rPr>
          <w:rFonts w:ascii="Arial" w:cs="Arial" w:eastAsia="Arial" w:hAnsi="Arial"/>
          <w:b/>
          <w:bCs/>
          <w:color w:val="1F4E79"/>
          <w:sz w:val="30"/>
          <w:szCs w:val="30"/>
        </w:rPr>
        <w:t xml:space="preserve">4.6  SHAP Feature Attribution</w:t>
      </w:r>
    </w:p>
    <w:p>
      <w:pPr>
        <w:pStyle w:val="Heading2"/>
        <w:spacing w:after="120" w:before="280"/>
      </w:pPr>
      <w:r>
        <w:rPr>
          <w:rFonts w:ascii="Arial" w:cs="Arial" w:eastAsia="Arial" w:hAnsi="Arial"/>
          <w:b/>
          <w:bCs/>
          <w:color w:val="2E75B6"/>
          <w:sz w:val="26"/>
          <w:szCs w:val="26"/>
        </w:rPr>
        <w:t xml:space="preserve">4.6.1  Aggregate Attribution by Lag Group</w:t>
      </w:r>
    </w:p>
    <w:p>
      <w:pPr>
        <w:spacing w:after="160" w:before="40"/>
        <w:jc w:val="both"/>
      </w:pPr>
      <w:r>
        <w:rPr>
          <w:rFonts w:ascii="Arial" w:cs="Arial" w:eastAsia="Arial" w:hAnsi="Arial"/>
          <w:sz w:val="22"/>
          <w:szCs w:val="22"/>
        </w:rPr>
        <w:t xml:space="preserve">SHAP attribution across M3's 61 features is decomposed by lag group to assess the relative contribution of macro and sentiment signals at each temporal depth. Macro features collectively account for 87.9 per cent of aggregate model attribution (SHAP mass 8.082 of 9.197 total). FinBERT sentiment features contribute 12.1 per cent (1.115), representing a near-threefold increase over the 3.5 per cent attributable to sentiment under static country-mean demeaning in an earlier pipeline version. The improvement reflects the rolling deviation demeaning approach: by measuring how sentiment departs from each country's recent three-year history rather than from a fixed full-sample average, the specification extracts more genuine within-country temporal variation from the FinBERT scores.</w:t>
      </w:r>
    </w:p>
    <w:p>
      <w:pPr>
        <w:spacing w:after="160" w:before="40"/>
        <w:jc w:val="both"/>
      </w:pPr>
      <w:r>
        <w:rPr>
          <w:rFonts w:ascii="Arial" w:cs="Arial" w:eastAsia="Arial" w:hAnsi="Arial"/>
          <w:sz w:val="22"/>
          <w:szCs w:val="22"/>
        </w:rPr>
        <w:t xml:space="preserve">Within the macro group, the three-year lag carries the highest SHAP mass (3.001), marginally ahead of the one-year lag (2.861) and substantially above the two-year lag (2.220). This U-shaped pattern across lag depths is consistent with credit cycle dynamics: vulnerabilities accumulate and are most detectable at three years in broad credit and money aggregates, become somewhat noisy at two years as conditions evolve heterogeneously across countries, and then re-emerge in flow variables at one year as balance sheet stress becomes directly observable. Within the sentiment group, one-year rolling-demeaned features (sent_lag1, 0.829) carry substantially more SHAP mass than two-year features (sent_lag2, 0.286), consistent with the H1 identification finding that the sentiment signal concentrates at the short lead.</w:t>
      </w:r>
    </w:p>
    <w:p>
      <w:pPr>
        <w:spacing w:after="160" w:before="40"/>
        <w:jc w:val="both"/>
      </w:pPr>
      <w:r>
        <w:rPr>
          <w:rFonts w:ascii="Arial" w:cs="Arial" w:eastAsia="Arial" w:hAnsi="Arial"/>
          <w:sz w:val="22"/>
          <w:szCs w:val="22"/>
        </w:rPr>
        <w:t xml:space="preserve">All SHAP values should be understood as model attribution conditional on the included macro features, not as independent economic contributions. The 12.1 per cent sentiment share measures the model's internal weighting given a correlated feature space; it does not imply that sentiment carries information orthogonal to the macro channel. The Granger analysis in Section 4.9 addresses this distinction directly.</w:t>
      </w:r>
    </w:p>
    <w:p>
      <w:pPr>
        <w:pStyle w:val="Heading2"/>
        <w:spacing w:after="120" w:before="280"/>
      </w:pPr>
      <w:r>
        <w:rPr>
          <w:rFonts w:ascii="Arial" w:cs="Arial" w:eastAsia="Arial" w:hAnsi="Arial"/>
          <w:b/>
          <w:bCs/>
          <w:color w:val="2E75B6"/>
          <w:sz w:val="26"/>
          <w:szCs w:val="26"/>
        </w:rPr>
        <w:t xml:space="preserve">4.6.2  Individual Feature Rankings and Stability</w:t>
      </w:r>
    </w:p>
    <w:p>
      <w:pPr>
        <w:spacing w:after="160" w:before="40"/>
        <w:jc w:val="both"/>
      </w:pPr>
      <w:r>
        <w:rPr>
          <w:rFonts w:ascii="Arial" w:cs="Arial" w:eastAsia="Arial" w:hAnsi="Arial"/>
          <w:sz w:val="22"/>
          <w:szCs w:val="22"/>
        </w:rPr>
        <w:t xml:space="preserve">The top-20 feature ranking (Figure 4.5) places broad money at the two-year lag (money_lag2_dm) as the single most important predictor, followed by mortgage loan growth at one year (tmort_gr_lag1_dm) and total credit at the three-year lag (tloans_lag3_dm). Interest rate variables appear persistently — the short-term rate at lags two and three, the term spread at lags one and three, and the long-term rate at lag one all appear in the top fifteen. The first FinBERT feature, rolling-demeaned positive sentiment at one year (P_pos_lag1_rdm), ranks twelfth. Notably, it is the decline in positive tone relative to recent country history — not a rise in explicit negativity — that carries the strongest individual sentiment signal, consistent with the institutionally constrained register of central bank communication in which governors rarely signal stress explicitly.</w:t>
      </w:r>
    </w:p>
    <w:p>
      <w:pPr>
        <w:spacing w:after="160" w:before="40"/>
        <w:jc w:val="both"/>
      </w:pPr>
      <w:r>
        <w:rPr>
          <w:rFonts w:ascii="Arial" w:cs="Arial" w:eastAsia="Arial" w:hAnsi="Arial"/>
          <w:sz w:val="22"/>
          <w:szCs w:val="22"/>
        </w:rPr>
        <w:t xml:space="preserve">Three sentiment features appear in the top 20: P_pos_lag1_rdm (rank 12), P_neutral_lag1_rdm (rank 17), and P_neg_roll3_std_lag1_rdm — the three-year rolling standard deviation of negativity (rank 18). The presence of the rolling standard deviation suggests that the dispersion of negative sentiment over time carries predictive content beyond the level of negativity itself; periods of increasing volatility in communication tone may signal growing internal uncertainty at the central bank, prior to explicit stress acknowledgement.</w:t>
      </w:r>
    </w:p>
    <w:p>
      <w:pPr>
        <w:spacing w:after="160" w:before="40"/>
        <w:jc w:val="both"/>
      </w:pPr>
      <w:r>
        <w:rPr>
          <w:rFonts w:ascii="Arial" w:cs="Arial" w:eastAsia="Arial" w:hAnsi="Arial"/>
          <w:sz w:val="22"/>
          <w:szCs w:val="22"/>
        </w:rPr>
        <w:t xml:space="preserve">The fold-stability analysis (Figure 4.6) reveals wide standard deviations for all top-ranked features. Total credit at three years (tloans_lag3_dm) shows mean |SHAP| approximately 2.0 with standard deviation approximately 0.8, spanning more than a third of its mean value. With crisis events concentrated in one evaluation fold, SHAP importance estimates are overwhelmingly driven by the 2007 cross-section rather than averaged over independent crisis episodes. Feature rankings should accordingly be treated as indicative of model behaviour on GFC-type crises — where credit expansion preceded onset — and not necessarily generalisable to crises with different structural origins.</w:t>
      </w:r>
    </w:p>
    <w:p>
      <w:pPr>
        <w:spacing w:after="160" w:before="40"/>
        <w:jc w:val="both"/>
      </w:pPr>
      <w:r>
        <w:rPr>
          <w:rFonts w:ascii="Arial" w:cs="Arial" w:eastAsia="Arial" w:hAnsi="Arial"/>
          <w:b/>
          <w:bCs/>
          <w:sz w:val="22"/>
          <w:szCs w:val="22"/>
        </w:rPr>
        <w:t xml:space="preserve">H2 (Feature relevance)</w:t>
      </w:r>
      <w:r>
        <w:rPr>
          <w:rFonts w:ascii="Arial" w:cs="Arial" w:eastAsia="Arial" w:hAnsi="Arial"/>
          <w:sz w:val="22"/>
          <w:szCs w:val="22"/>
        </w:rPr>
        <w:t xml:space="preserve">: Not supported in its strict formulation. The highest-ranked FinBERT feature (P_pos_lag1_rdm) ranks twelfth, not within the top five. The hypothesis is weakly supported in a broader sense: three sentiment features appear in the top twenty, aggregate sentiment attribution increased from 3.5 per cent to 12.1 per cent under rolling demeaning, the M2-to-M3 transition at H1 is the only positive AUPRC step in the identification analysis (+95%), and sentiment uplift is positive at all three prediction horizons. The sentiment contribution is genuine but distributed across multiple lower-ranked features rather than concentrated in a single prominent predictor, and it is mediated by horizon and demeaning specification.</w:t>
      </w:r>
    </w:p>
    <w:p>
      <w:pPr>
        <w:spacing w:after="80" w:before="0"/>
      </w:pPr>
    </w:p>
    <w:p>
      <w:pPr>
        <w:pStyle w:val="Heading1"/>
        <w:spacing w:after="160" w:before="400"/>
      </w:pPr>
      <w:r>
        <w:rPr>
          <w:rFonts w:ascii="Arial" w:cs="Arial" w:eastAsia="Arial" w:hAnsi="Arial"/>
          <w:b/>
          <w:bCs/>
          <w:color w:val="1F4E79"/>
          <w:sz w:val="30"/>
          <w:szCs w:val="30"/>
        </w:rPr>
        <w:t xml:space="preserve">4.7  Calibration Analysis</w:t>
      </w:r>
    </w:p>
    <w:p>
      <w:pPr>
        <w:spacing w:after="160" w:before="40"/>
        <w:jc w:val="both"/>
      </w:pPr>
      <w:r>
        <w:rPr>
          <w:rFonts w:ascii="Arial" w:cs="Arial" w:eastAsia="Arial" w:hAnsi="Arial"/>
          <w:sz w:val="22"/>
          <w:szCs w:val="22"/>
        </w:rPr>
        <w:t xml:space="preserve">The reliability diagram (Figure 4.4) plots mean predicted probability against observed crisis frequency across five quantile bins for all three models. All three specifications exhibit systematic overconfidence throughout: predicted probabilities consistently exceed observed event frequencies, placing all model lines below the perfect-calibration diagonal. This is a predictable consequence of training on an 8.2 per cent positive class with boosted predicted probabilities from scale_pos_weight; the models discriminate well but overstate absolute crisis risk.</w:t>
      </w:r>
    </w:p>
    <w:p>
      <w:pPr>
        <w:spacing w:after="160" w:before="40"/>
        <w:jc w:val="both"/>
      </w:pPr>
      <w:r>
        <w:rPr>
          <w:rFonts w:ascii="Arial" w:cs="Arial" w:eastAsia="Arial" w:hAnsi="Arial"/>
          <w:sz w:val="22"/>
          <w:szCs w:val="22"/>
        </w:rPr>
        <w:t xml:space="preserve">M2 is the best calibrated of the three (Brier Score 0.051), achieving the closest approach to the diagonal in the upper probability range. M3 occupies an intermediate position (Brier Score 0.083) — better than M1 but worse than M2. M1's miscalibration is the most severe (Brier Score 0.212): its line is nearly flat near zero even at predicted probabilities exceeding 0.6, reflecting the sustained false-alarm pattern documented in Section 4.8.</w:t>
      </w:r>
    </w:p>
    <w:p>
      <w:pPr>
        <w:spacing w:after="160" w:before="40"/>
        <w:jc w:val="both"/>
      </w:pPr>
      <w:r>
        <w:rPr>
          <w:rFonts w:ascii="Arial" w:cs="Arial" w:eastAsia="Arial" w:hAnsi="Arial"/>
          <w:sz w:val="22"/>
          <w:szCs w:val="22"/>
        </w:rPr>
        <w:t xml:space="preserve">The calibration results directly qualify the discrimination findings. M3's AUROC and AUPRC advantage over M2 comes at a Brier Score cost of 0.032. The appropriate model choice depends on the application: for macroprudential surveillance where the goal is to rank economies by vulnerability, M3's superior AUROC and AUPRC make it preferable; for applications requiring probability estimates that can be compared against a fixed alert threshold, M2's tighter calibration is the decisive criterion. With only 26 crisis events distributed across five quantile bins (approximately five events per bin on average), calibration estimates carry wide uncertainty; the Brier Score is more reliable than the bin-by-bin reliability diagram for formal comparison.</w:t>
      </w:r>
    </w:p>
    <w:p>
      <w:pPr>
        <w:spacing w:after="80" w:before="0"/>
      </w:pPr>
    </w:p>
    <w:p>
      <w:pPr>
        <w:pStyle w:val="Heading1"/>
        <w:spacing w:after="160" w:before="400"/>
      </w:pPr>
      <w:r>
        <w:rPr>
          <w:rFonts w:ascii="Arial" w:cs="Arial" w:eastAsia="Arial" w:hAnsi="Arial"/>
          <w:b/>
          <w:bCs/>
          <w:color w:val="1F4E79"/>
          <w:sz w:val="30"/>
          <w:szCs w:val="30"/>
        </w:rPr>
        <w:t xml:space="preserve">4.8  Temporal and Country-Level Analysis</w:t>
      </w:r>
    </w:p>
    <w:p>
      <w:pPr>
        <w:pStyle w:val="Heading2"/>
        <w:spacing w:after="120" w:before="280"/>
      </w:pPr>
      <w:r>
        <w:rPr>
          <w:rFonts w:ascii="Arial" w:cs="Arial" w:eastAsia="Arial" w:hAnsi="Arial"/>
          <w:b/>
          <w:bCs/>
          <w:color w:val="2E75B6"/>
          <w:sz w:val="26"/>
          <w:szCs w:val="26"/>
        </w:rPr>
        <w:t xml:space="preserve">4.8.1  Out-of-Sample Crisis Probability Over Time</w:t>
      </w:r>
    </w:p>
    <w:p>
      <w:pPr>
        <w:spacing w:after="160" w:before="40"/>
        <w:jc w:val="both"/>
      </w:pPr>
      <w:r>
        <w:rPr>
          <w:rFonts w:ascii="Arial" w:cs="Arial" w:eastAsia="Arial" w:hAnsi="Arial"/>
          <w:sz w:val="22"/>
          <w:szCs w:val="22"/>
        </w:rPr>
        <w:t xml:space="preserve">The temporal analysis (Figure 4.3) plots mean predicted crisis probability across the 18 sample countries for each evaluation year. M2 and M3 rise to peak probabilities of approximately 0.45-0.62 in 2006-2007, one to two years before the GFC onset bars, then decline sharply to near zero by 2009-2010 and remain there through 2018. This temporal pattern — rising before the crisis, collapsing after — is the signature of a well-functioning EWS. M3 exhibits a secondary elevation to approximately 0.50 around 2012, likely reflecting elevated FinBERT negativity during the European sovereign debt stress. This period represented genuine systemic risk — several countries required ESM programmes — but did not produce JST-coded systemic banking crises among the 18 sample economies, making M3's secondary signal both interpretable and understandable as a false positive in the technical sense.</w:t>
      </w:r>
    </w:p>
    <w:p>
      <w:pPr>
        <w:spacing w:after="160" w:before="40"/>
        <w:jc w:val="both"/>
      </w:pPr>
      <w:r>
        <w:rPr>
          <w:rFonts w:ascii="Arial" w:cs="Arial" w:eastAsia="Arial" w:hAnsi="Arial"/>
          <w:sz w:val="22"/>
          <w:szCs w:val="22"/>
        </w:rPr>
        <w:t xml:space="preserve">M1 behaves qualitatively differently. After correctly elevating probabilities in 2007-2008, it maintains predicted probabilities of 0.30-0.50 throughout the entire 2010-2018 period, with no sustained return to baseline. This persistent signalling reflects M1's miscalibration: the linear model assigns high predicted probabilities to structural features of advanced economies (elevated debt, low interest rates, house price growth) that were present throughout the post-GFC decade but did not produce further crises in this sample. The Brier Score of 0.212 quantifies this cost.</w:t>
      </w:r>
    </w:p>
    <w:p>
      <w:pPr>
        <w:pStyle w:val="Heading2"/>
        <w:spacing w:after="120" w:before="280"/>
      </w:pPr>
      <w:r>
        <w:rPr>
          <w:rFonts w:ascii="Arial" w:cs="Arial" w:eastAsia="Arial" w:hAnsi="Arial"/>
          <w:b/>
          <w:bCs/>
          <w:color w:val="2E75B6"/>
          <w:sz w:val="26"/>
          <w:szCs w:val="26"/>
        </w:rPr>
        <w:t xml:space="preserve">4.8.2  Country-Level Error Audit</w:t>
      </w:r>
    </w:p>
    <w:p>
      <w:pPr>
        <w:spacing w:after="160" w:before="40"/>
        <w:jc w:val="both"/>
      </w:pPr>
      <w:r>
        <w:rPr>
          <w:rFonts w:ascii="Arial" w:cs="Arial" w:eastAsia="Arial" w:hAnsi="Arial"/>
          <w:sz w:val="22"/>
          <w:szCs w:val="22"/>
        </w:rPr>
        <w:t xml:space="preserve">The country-level error audit applied M2 predictions at the 80th percentile threshold across the OOS evaluation window. Of the ten countries that experienced systemic banking crises, nine were correctly flagged in at least one crisis year (TP ≥ 1). Switzerland (CHE) is the sole missed crisis (FN=1), also generating the highest false-alarm count (FP=4), suggesting the model detects genuine financial stress in Swiss data but misaligns its timing with the JST chronology. Switzerland's role as a major international banking centre with systemic exposures driven by cross-border rather than domestic credit dynamics may explain why the model captures stress but not JST-coded onset.</w:t>
      </w:r>
    </w:p>
    <w:p>
      <w:pPr>
        <w:spacing w:after="160" w:before="40"/>
        <w:jc w:val="both"/>
      </w:pPr>
      <w:r>
        <w:rPr>
          <w:rFonts w:ascii="Arial" w:cs="Arial" w:eastAsia="Arial" w:hAnsi="Arial"/>
          <w:sz w:val="22"/>
          <w:szCs w:val="22"/>
        </w:rPr>
        <w:t xml:space="preserve">Among non-crisis countries, Canada generates the highest false-alarm count (FP=4), followed by Norway, Germany, Denmark and Sweden (FP=3 each). All five are economies with volatile credit and housing cycles that share structural characteristics of pre-crisis build-ups — elevated credit-to-GDP ratios, rapid house price growth — without producing coded crises in the sample period. These false alarms are not random; they reflect genuine financial vulnerabilities that the model correctly identifies as elevated risk. Finland and Japan generate zero errors of either type, consistent with their relatively contained credit cycles over 2003-2020.</w:t>
      </w:r>
    </w:p>
    <w:p>
      <w:pPr>
        <w:spacing w:after="80" w:before="0"/>
      </w:pPr>
    </w:p>
    <w:p>
      <w:pPr>
        <w:pStyle w:val="Heading1"/>
        <w:spacing w:after="160" w:before="400"/>
      </w:pPr>
      <w:r>
        <w:rPr>
          <w:rFonts w:ascii="Arial" w:cs="Arial" w:eastAsia="Arial" w:hAnsi="Arial"/>
          <w:b/>
          <w:bCs/>
          <w:color w:val="1F4E79"/>
          <w:sz w:val="30"/>
          <w:szCs w:val="30"/>
        </w:rPr>
        <w:t xml:space="preserve">4.9  Granger Causality Analysis</w:t>
      </w:r>
    </w:p>
    <w:p>
      <w:pPr>
        <w:spacing w:after="160" w:before="40"/>
        <w:jc w:val="both"/>
      </w:pPr>
      <w:r>
        <w:rPr>
          <w:rFonts w:ascii="Arial" w:cs="Arial" w:eastAsia="Arial" w:hAnsi="Arial"/>
          <w:sz w:val="22"/>
          <w:szCs w:val="22"/>
        </w:rPr>
        <w:t xml:space="preserve">Granger causality tests were applied to each of the 18 sample economies, testing whether lagged FinBERT negativity (P_neg) Granger-causes credit growth and crisis onset beyond the outcome's own history, at up to two lags with annual data. The corrected pooled panel test uses outcome-specific controls: credit growth own-lags for the credit growth outcome, and crisis onset own-lags for the crisis onset outcome. A multi-measure extension also tests P_pos and net_sentiment against credit growth.</w:t>
      </w:r>
    </w:p>
    <w:p>
      <w:pPr>
        <w:spacing w:after="160" w:before="40"/>
        <w:jc w:val="both"/>
      </w:pPr>
      <w:r>
        <w:rPr>
          <w:rFonts w:ascii="Arial" w:cs="Arial" w:eastAsia="Arial" w:hAnsi="Arial"/>
          <w:sz w:val="22"/>
          <w:szCs w:val="22"/>
        </w:rPr>
        <w:t xml:space="preserve">For the primary test, P_neg Granger-causing credit growth, the null was rejected at five per cent in 2 of 18 countries (Japan and Norway), with a median p-value of 0.565 and a pooled panel F-statistic of 0.778 (p=0.460). For P_neg Granger-causing crisis onset, the null was rejected in 1 of 13 testable countries (Denmark), with median p=0.434 and a corrected pooled F=2.531 (p=0.081), falling just outside the ten per cent threshold. Both tests return a weak verdict: H₀ cannot be rejected in most countries or at the aggregate level.</w:t>
      </w:r>
    </w:p>
    <w:p>
      <w:pPr>
        <w:spacing w:after="160" w:before="40"/>
        <w:jc w:val="both"/>
      </w:pPr>
      <w:r>
        <w:rPr>
          <w:rFonts w:ascii="Arial" w:cs="Arial" w:eastAsia="Arial" w:hAnsi="Arial"/>
          <w:sz w:val="22"/>
          <w:szCs w:val="22"/>
        </w:rPr>
        <w:t xml:space="preserve">Two important qualifications bear on these results. First, statistical power is severely limited: with at most 20 annual observations per country and a binary outcome with 26 positive cases in the full panel, bivariate Granger tests at two lags have very low power to detect genuine predictive relationships. Failure to reject H₀ is consistent with a genuine causal mechanism that the test cannot detect at this frequency and sample size. Second, the pooled crisis onset result (p=0.081) approaches but does not cross the ten per cent threshold, providing weak but non-zero aggregate evidence of a sentiment-to-crisis link. This is directionally consistent with the positive AUPRC uplift at all three prediction horizons (Table 4.3): sentiment carries incremental predictive content that discriminative metrics detect even where the Granger framework cannot formally reject independence.</w:t>
      </w:r>
    </w:p>
    <w:p>
      <w:pPr>
        <w:spacing w:after="160" w:before="40"/>
        <w:jc w:val="both"/>
      </w:pPr>
      <w:r>
        <w:rPr>
          <w:rFonts w:ascii="Arial" w:cs="Arial" w:eastAsia="Arial" w:hAnsi="Arial"/>
          <w:sz w:val="22"/>
          <w:szCs w:val="22"/>
        </w:rPr>
        <w:t xml:space="preserve">The multi-measure Granger extension finds that P_pos and net_sentiment perform similarly to P_neg in per-country tests, with no measure achieving substantial evidence of Granger causality for credit growth across the panel. This confirms that the result is not an artefact of testing a single sentiment measure; the weak Granger evidence is robust to the choice of FinBERT output dimension.</w:t>
      </w:r>
    </w:p>
    <w:p>
      <w:pPr>
        <w:spacing w:after="80" w:before="0"/>
      </w:pPr>
    </w:p>
    <w:p>
      <w:pPr>
        <w:pStyle w:val="Heading1"/>
        <w:spacing w:after="160" w:before="400"/>
      </w:pPr>
      <w:r>
        <w:rPr>
          <w:rFonts w:ascii="Arial" w:cs="Arial" w:eastAsia="Arial" w:hAnsi="Arial"/>
          <w:b/>
          <w:bCs/>
          <w:color w:val="1F4E79"/>
          <w:sz w:val="30"/>
          <w:szCs w:val="30"/>
        </w:rPr>
        <w:t xml:space="preserve">4.10  Synthesis and Hypothesis Assessment</w:t>
      </w:r>
    </w:p>
    <w:p>
      <w:pPr>
        <w:spacing w:after="160" w:before="40"/>
        <w:jc w:val="both"/>
      </w:pPr>
      <w:r>
        <w:rPr>
          <w:rFonts w:ascii="Arial" w:cs="Arial" w:eastAsia="Arial" w:hAnsi="Arial"/>
          <w:sz w:val="22"/>
          <w:szCs w:val="22"/>
        </w:rPr>
        <w:t xml:space="preserve">Seven analyses — primary model comparison, identification decomposition, multi-horizon uplift, strict temporal validation, SHAP attribution, calibration analysis, and Granger causality — converge on a coherent account of crisis prediction performance under the corrected pipeline.</w:t>
      </w:r>
    </w:p>
    <w:p>
      <w:pPr>
        <w:spacing w:after="160" w:before="40"/>
        <w:jc w:val="both"/>
      </w:pPr>
      <w:r>
        <w:rPr>
          <w:rFonts w:ascii="Arial" w:cs="Arial" w:eastAsia="Arial" w:hAnsi="Arial"/>
          <w:sz w:val="22"/>
          <w:szCs w:val="22"/>
        </w:rPr>
        <w:t xml:space="preserve">The central finding is that M3 (XGBoost with rolling-demeaned FinBERT sentiment) outperforms M2 (macro-only Random Forest) on discrimination metrics at the primary two-year horizon — AUROC 0.959 vs 0.946 and AUPRC 0.657 vs 0.561 — and this advantage holds across the horizon range and under strict pre-GFC training conditions. Sentiment features improve AUPRC over the macro-only specification at all three prediction horizons: the relative improvement is largest at one year (+95%) and the absolute improvement is largest at three years (+0.246). At no horizon does adding sentiment reduce AUPRC below the macro-only baseline. This is the primary empirical contribution: FinBERT-derived central bank communication tone provides incremental early-warning value beyond macro fundamentals when the sentiment features are appropriately normalised using rolling country-specific deviations rather than full-sample means.</w:t>
      </w:r>
    </w:p>
    <w:p>
      <w:pPr>
        <w:spacing w:after="160" w:before="40"/>
        <w:jc w:val="both"/>
      </w:pPr>
      <w:r>
        <w:rPr>
          <w:rFonts w:ascii="Arial" w:cs="Arial" w:eastAsia="Arial" w:hAnsi="Arial"/>
          <w:sz w:val="22"/>
          <w:szCs w:val="22"/>
        </w:rPr>
        <w:t xml:space="preserve">The macro-only multi-lag specification (M2) retains two advantages: superior probability calibration (Brier 0.051 vs 0.083) and greater interpretability — its feature importance is directly readable from Random Forest impurity measures without post-hoc attribution methods. M3 offers superior discrimination at the cost of reduced calibration and interpretability, a trade-off that is explicit and quantifiable across the full M1-M1b-M2-M3 progression. The identification analysis establishes that the M1-to-M2 gain is attributable primarily to non-linear ensemble capacity rather than lag depth alone, and that adding sentiment is the only positive AUPRC step at the one-year horizon.</w:t>
      </w:r>
    </w:p>
    <w:p>
      <w:pPr>
        <w:spacing w:after="160" w:before="40"/>
        <w:jc w:val="both"/>
      </w:pPr>
      <w:r>
        <w:rPr>
          <w:rFonts w:ascii="Arial" w:cs="Arial" w:eastAsia="Arial" w:hAnsi="Arial"/>
          <w:sz w:val="22"/>
          <w:szCs w:val="22"/>
        </w:rPr>
        <w:t xml:space="preserve">All expanding-window metrics should be read as upper bounds. Under strict pre-GFC training, AUROC falls to 0.472 (M2) and 0.640 (M3), confirming that headline metrics are partially inflated by the progressive incorporation of GFC-adjacent information into later training folds. Both models retain genuine predictive power from pre-crisis data — substantially above no-skill — but the strict validation provides the most credible performance estimate for prospective application.</w:t>
      </w:r>
    </w:p>
    <w:p>
      <w:pPr>
        <w:spacing w:after="160" w:before="40"/>
        <w:jc w:val="both"/>
      </w:pPr>
      <w:r>
        <w:rPr>
          <w:rFonts w:ascii="Arial" w:cs="Arial" w:eastAsia="Arial" w:hAnsi="Arial"/>
          <w:sz w:val="22"/>
          <w:szCs w:val="22"/>
        </w:rPr>
        <w:t xml:space="preserve">Table 4.5 summarises the three hypothesis dispositions under the corrected evidence.</w:t>
      </w:r>
    </w:p>
    <w:p>
      <w:pPr>
        <w:spacing w:after="80" w:before="0"/>
      </w:pPr>
    </w:p>
    <w:tbl>
      <w:tblPr>
        <w:tblW w:type="dxa" w:w="78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1626"/>
      </w:tblGrid>
      <w:tr>
        <w:trPr>
          <w:tblHeader/>
        </w:trPr>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Hypothesis</w:t>
            </w:r>
          </w:p>
        </w:tc>
        <w:tc>
          <w:tcPr>
            <w:tcW w:type="dxa" w:w="23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Stated prediction</w:t>
            </w:r>
          </w:p>
        </w:tc>
        <w:tc>
          <w:tcPr>
            <w:tcW w:type="dxa" w:w="3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evidence</w:t>
            </w:r>
          </w:p>
        </w:tc>
        <w:tc>
          <w:tcPr>
            <w:tcW w:type="dxa" w:w="16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Verdict</w:t>
            </w:r>
          </w:p>
        </w:tc>
      </w:tr>
      <w:tr>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H1: Discrimination</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M3 achieves significantly higher AUROC/AUPRC than macro-only benchmark</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M3 AUPRC 0.657 &gt; M2 0.561 at H2; uplift positive at H1, H2, H3; M3 AUPRC 0.435 &gt; M2 0.368 under strict validation. M2 better calibrated (Brier 0.051 vs 0.083).</w:t>
            </w:r>
          </w:p>
        </w:tc>
        <w:tc>
          <w:tcPr>
            <w:tcW w:type="dxa" w:w="16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Supported on discrimination. Qualified on calibration.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H2: Feature relevance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At least one FinBERT feature ranks top-5 by SHAP</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P_pos_lag1_rdm ranks 12th; three features in top-20; sentiment attribution 12.1%; +95% uplift at H1; positive uplift at all horizons.</w:t>
            </w:r>
          </w:p>
        </w:tc>
        <w:tc>
          <w:tcPr>
            <w:tcW w:type="dxa" w:w="1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Not supported strictly. Weakly supported overall.</w:t>
            </w:r>
          </w:p>
        </w:tc>
      </w:tr>
      <w:tr>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H3: Interpretability trade-off</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Quantifiable accuracy-interpretability trade-off across M1→M2→M3</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M1→M2: clear trade-off (large AUPRC gain, loss of native transparency; non-linearity effect &gt;  lag effect). M2→M3: further interpretability cost offset by AUPRC gain at all horizons.</w:t>
            </w:r>
          </w:p>
        </w:tc>
        <w:tc>
          <w:tcPr>
            <w:tcW w:type="dxa" w:w="16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Supported. Trade-off is quantifiable at each step.</w:t>
            </w:r>
          </w:p>
        </w:tc>
      </w:tr>
    </w:tbl>
    <w:p>
      <w:pPr>
        <w:spacing w:after="120" w:before="60"/>
      </w:pPr>
      <w:r>
        <w:rPr>
          <w:rFonts w:ascii="Arial" w:cs="Arial" w:eastAsia="Arial" w:hAnsi="Arial"/>
          <w:i/>
          <w:iCs/>
          <w:color w:val="555555"/>
          <w:sz w:val="18"/>
          <w:szCs w:val="18"/>
        </w:rPr>
        <w:t xml:space="preserve">Table 4.5. Hypothesis assessment under the corrected pipeline (NB04–NB08). All verdicts reflect primary metric AUPRC at the H2 target, supplemented by identification, horizon and robustness analyses.</w:t>
      </w:r>
    </w:p>
    <w:p>
      <w:pPr>
        <w:spacing w:after="80" w:before="0"/>
      </w:pPr>
    </w:p>
    <w:p>
      <w:pPr>
        <w:pBdr>
          <w:bottom w:val="single" w:color="D0D0D0" w:sz="4" w:space="1"/>
        </w:pBdr>
        <w:spacing w:after="200" w:before="200"/>
      </w:pPr>
    </w:p>
    <w:p>
      <w:pPr>
        <w:spacing w:after="0" w:before="160"/>
      </w:pPr>
      <w:r>
        <w:rPr>
          <w:rFonts w:ascii="Arial" w:cs="Arial" w:eastAsia="Arial" w:hAnsi="Arial"/>
          <w:i/>
          <w:iCs/>
          <w:color w:val="888888"/>
          <w:sz w:val="17"/>
          <w:szCs w:val="17"/>
        </w:rPr>
        <w:t xml:space="preserve">Final draft: April 2026. Corrected pipeline (NB04–NB08 corrected). Key corrections: expanding-mean demeaning, fold-specific scale_pos_weight, forward-fill + cross-sectional gap imputation. Figures: figures/sentiment_improved/ and figures/robustness/.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Chapter 4: Results — Papachristos MSc Dissertation  |  p.</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2026-04-05T00:18:57.325Z</dcterms:created>
  <dcterms:modified xsi:type="dcterms:W3CDTF">2026-04-05T00:18:57.326Z</dcterms:modified>
</cp:coreProperties>
</file>

<file path=docProps/custom.xml><?xml version="1.0" encoding="utf-8"?>
<Properties xmlns="http://schemas.openxmlformats.org/officeDocument/2006/custom-properties" xmlns:vt="http://schemas.openxmlformats.org/officeDocument/2006/docPropsVTypes"/>
</file>