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4"/>
          <w:szCs w:val="44"/>
        </w:rPr>
        <w:t xml:space="preserve">Chapter 4: Results and Interpretation</w:t>
      </w:r>
    </w:p>
    <w:p>
      <w:pPr>
        <w:spacing w:after="80" w:before="0"/>
      </w:pPr>
      <w:r>
        <w:rPr>
          <w:rFonts w:ascii="Arial" w:cs="Arial" w:eastAsia="Arial" w:hAnsi="Arial"/>
          <w:i/>
          <w:iCs/>
          <w:color w:val="555555"/>
          <w:sz w:val="22"/>
          <w:szCs w:val="22"/>
        </w:rPr>
        <w:t xml:space="preserve">Economic Crisis Prediction: Improving the Trade-off Between Interpretability and Statistical Accuracy in ML-Enhanced Crisis Prediction Models</w:t>
      </w:r>
    </w:p>
    <w:p>
      <w:pPr>
        <w:spacing w:after="80" w:before="0"/>
      </w:pPr>
      <w:r>
        <w:rPr>
          <w:rFonts w:ascii="Arial" w:cs="Arial" w:eastAsia="Arial" w:hAnsi="Arial"/>
          <w:color w:val="888888"/>
          <w:sz w:val="20"/>
          <w:szCs w:val="20"/>
        </w:rPr>
        <w:t xml:space="preserve">Corrected pipeline | April 2026</w:t>
      </w:r>
    </w:p>
    <w:p>
      <w:pPr>
        <w:spacing w:after="320" w:before="0"/>
      </w:pPr>
      <w:r>
        <w:rPr>
          <w:rFonts w:ascii="Arial" w:cs="Arial" w:eastAsia="Arial" w:hAnsi="Arial"/>
          <w:i/>
          <w:iCs/>
          <w:color w:val="C55A11"/>
          <w:sz w:val="19"/>
          <w:szCs w:val="19"/>
        </w:rPr>
        <w:t xml:space="preserve">Note: Results reflect the corrected pipeline with expanding-mean demeaning, fold-specific scale_pos_weight, and forward-fill gap imputation. Numbers differ from earlier drafts.</w:t>
      </w:r>
    </w:p>
    <w:p>
      <w:pPr>
        <w:pBdr>
          <w:bottom w:val="single" w:color="D0D0D0" w:sz="4" w:space="1"/>
        </w:pBdr>
        <w:spacing w:after="160" w:before="160"/>
      </w:pPr>
    </w:p>
    <w:p>
      <w:pPr>
        <w:spacing w:after="80" w:before="0"/>
      </w:pPr>
    </w:p>
    <w:p>
      <w:pPr>
        <w:pStyle w:val="Heading1"/>
        <w:spacing w:after="160" w:before="400"/>
      </w:pPr>
      <w:r>
        <w:rPr>
          <w:rFonts w:ascii="Arial" w:cs="Arial" w:eastAsia="Arial" w:hAnsi="Arial"/>
          <w:b/>
          <w:bCs/>
          <w:color w:val="1F4E79"/>
          <w:sz w:val="30"/>
          <w:szCs w:val="30"/>
        </w:rPr>
        <w:t xml:space="preserve">4.1  Dataset and Experimental Setup</w:t>
      </w:r>
    </w:p>
    <w:p>
      <w:pPr>
        <w:spacing w:after="160" w:before="40"/>
        <w:jc w:val="both"/>
      </w:pPr>
      <w:r>
        <w:rPr>
          <w:rFonts w:ascii="Arial" w:cs="Arial" w:eastAsia="Arial" w:hAnsi="Arial"/>
          <w:sz w:val="22"/>
          <w:szCs w:val="22"/>
        </w:rPr>
        <w:t xml:space="preserve">The modelling dataset comprises 319 usable country-year observations from the 432-row master panel, covering 18 advanced economies over 2003 to 2020. The reduction from 432 rows reflects the multi-lag feature design: applying lags of one, two and three years to macro-level variables eliminates the 1997 to 2002 observations per country, which lack the historical depth required to populate the t-3 features without boundary artefacts. The primary prediction target, target_h2, marks a year as positive if a systemic banking crisis onset occurs within the following two years, following Beutel, List and von Schweinitz (2019), who show this two-year window maximises policy usefulness on JST-type data. The window generates 26 positive observations against 293 negative, a base rate of 8.2 per cent. The COVID-19 shock in 2020 is not coded as a crisis event by either the JST or Laeven-Valencia (2020) chronologies; the 2020 observation is retained in the dataset but assigned to the hold-out set and excluded from cross-validation.</w:t>
      </w:r>
    </w:p>
    <w:p>
      <w:pPr>
        <w:spacing w:after="160" w:before="40"/>
        <w:jc w:val="both"/>
      </w:pPr>
      <w:r>
        <w:rPr>
          <w:rFonts w:ascii="Arial" w:cs="Arial" w:eastAsia="Arial" w:hAnsi="Arial"/>
          <w:sz w:val="22"/>
          <w:szCs w:val="22"/>
        </w:rPr>
        <w:t xml:space="preserve">Three model specifications are estimated and compared. M1 is a logistic regression trained on 19 macro features at lag one only, replicating the transparent linear baseline of Schularick and Taylor (2012). M2 is a Random Forest trained on 41 macro features spanning lags one, two and three, adding non-linear modelling capacity and multi-horizon macro information while retaining a macro-only feature set. M3 is an XGBoost model trained on 61 features extending M2 with rolling-demeaned FinBERT sentiment features at lags one and two, including level sentiment, year-on-year momentum, three-year rolling mean and standard deviation of negativity, and a four-year OLS trend slope. All features are normalised using an expanding country-specific mean — the mean of all past observations for that country up to year t-1 — to avoid any forward leakage of future information into feature construction. The scale_pos_weight parameter for XGBoost is computed within each training fold on that fold's training data only.</w:t>
      </w:r>
    </w:p>
    <w:p>
      <w:pPr>
        <w:spacing w:after="160" w:before="40"/>
        <w:jc w:val="both"/>
      </w:pPr>
      <w:r>
        <w:rPr>
          <w:rFonts w:ascii="Arial" w:cs="Arial" w:eastAsia="Arial" w:hAnsi="Arial"/>
          <w:sz w:val="22"/>
          <w:szCs w:val="22"/>
        </w:rPr>
        <w:t xml:space="preserve">Expanding-window cross-validation is applied with a four-year burn-in and annual re-estimation from 2007 to 2018; 2019 and 2020 are held out. A structural constraint governs all metrics: the 26 positive cases are concentrated in 2007, meaning the OOS evaluation approximates a single cross-section of 18 country-year observations rather than a stable multi-period forecasting exercise.</w:t>
      </w:r>
    </w:p>
    <w:p>
      <w:pPr>
        <w:spacing w:after="80" w:before="0"/>
      </w:pPr>
    </w:p>
    <w:p>
      <w:pPr>
        <w:pStyle w:val="Heading1"/>
        <w:spacing w:after="160" w:before="400"/>
      </w:pPr>
      <w:r>
        <w:rPr>
          <w:rFonts w:ascii="Arial" w:cs="Arial" w:eastAsia="Arial" w:hAnsi="Arial"/>
          <w:b/>
          <w:bCs/>
          <w:color w:val="1F4E79"/>
          <w:sz w:val="30"/>
          <w:szCs w:val="30"/>
        </w:rPr>
        <w:t xml:space="preserve">4.2  Primary Model Comparison</w:t>
      </w:r>
    </w:p>
    <w:p>
      <w:pPr>
        <w:spacing w:after="160" w:before="40"/>
        <w:jc w:val="both"/>
      </w:pPr>
      <w:r>
        <w:rPr>
          <w:rFonts w:ascii="Arial" w:cs="Arial" w:eastAsia="Arial" w:hAnsi="Arial"/>
          <w:sz w:val="22"/>
          <w:szCs w:val="22"/>
        </w:rPr>
        <w:t xml:space="preserve">Table 4.1 presents evaluation metrics for the three specifications on the H2 target under expanding-window cross-validation, with bootstrap 95 per cent confidence intervals from 1,000 resamples.</w:t>
      </w:r>
    </w:p>
    <w:p>
      <w:pPr>
        <w:spacing w:after="80" w:before="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900"/>
        <w:gridCol w:w="1400"/>
        <w:gridCol w:w="900"/>
        <w:gridCol w:w="1000"/>
        <w:gridCol w:w="826"/>
      </w:tblGrid>
      <w:tr>
        <w:trPr>
          <w:tblHeader/>
        </w:trPr>
        <w:tc>
          <w:tcPr>
            <w:tcW w:type="dxa" w:w="25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5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Features</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AUROC</w:t>
            </w:r>
          </w:p>
        </w:tc>
        <w:tc>
          <w:tcPr>
            <w:tcW w:type="dxa" w:w="14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95% CI</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AUPRC</w:t>
            </w:r>
          </w:p>
        </w:tc>
        <w:tc>
          <w:tcPr>
            <w:tcW w:type="dxa" w:w="10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AUPRC/Base</w:t>
            </w:r>
          </w:p>
        </w:tc>
        <w:tc>
          <w:tcPr>
            <w:tcW w:type="dxa" w:w="826"/>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Brier</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M1: Logistic Regression
(macro lag1)</w:t>
            </w:r>
          </w:p>
        </w:tc>
        <w:tc>
          <w:tcPr>
            <w:tcW w:type="dxa" w:w="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19</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0.8761</w:t>
            </w:r>
          </w:p>
        </w:tc>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[0.802, 0.940]</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0.2850</w:t>
            </w:r>
          </w:p>
        </w:tc>
        <w:tc>
          <w:tcPr>
            <w:tcW w:type="dxa" w:w="1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3.5×</w:t>
            </w:r>
          </w:p>
        </w:tc>
        <w:tc>
          <w:tcPr>
            <w:tcW w:type="dxa" w:w="8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0.2118</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M2: Random Forest
(macro lag1–3)</w:t>
            </w:r>
          </w:p>
        </w:tc>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41</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0.9465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[0.877, 0.989]</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0.5607</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6.9×</w:t>
            </w:r>
          </w:p>
        </w:tc>
        <w:tc>
          <w:tcPr>
            <w:tcW w:type="dxa" w:w="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0.0506</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M3: XGBoost + FinBERT
(macro + sent lag1–2)</w:t>
            </w:r>
          </w:p>
        </w:tc>
        <w:tc>
          <w:tcPr>
            <w:tcW w:type="dxa" w:w="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61</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0.9586</w:t>
            </w:r>
          </w:p>
        </w:tc>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[0.890, 0.996]</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0.6569</w:t>
            </w:r>
          </w:p>
        </w:tc>
        <w:tc>
          <w:tcPr>
            <w:tcW w:type="dxa" w:w="1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8.1×</w:t>
            </w:r>
          </w:p>
        </w:tc>
        <w:tc>
          <w:tcPr>
            <w:tcW w:type="dxa" w:w="8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0.0826</w:t>
            </w:r>
          </w:p>
        </w:tc>
      </w:tr>
    </w:tbl>
    <w:p>
      <w:pPr>
        <w:spacing w:after="120" w:before="60"/>
      </w:pPr>
      <w:r>
        <w:rPr>
          <w:rFonts w:ascii="Arial" w:cs="Arial" w:eastAsia="Arial" w:hAnsi="Arial"/>
          <w:i/>
          <w:iCs/>
          <w:color w:val="555555"/>
          <w:sz w:val="18"/>
          <w:szCs w:val="18"/>
        </w:rPr>
        <w:t xml:space="preserve">Table 4.1. Expanding-window CV on H2 (2-year) target. Baseline AUPRC = 0.082. Bootstrap CIs: 1,000 resamples; treat as indicative given effective single-fold evaluation. Events: 26/319.</w:t>
      </w:r>
    </w:p>
    <w:p>
      <w:pPr>
        <w:spacing w:after="80" w:before="0"/>
      </w:pPr>
    </w:p>
    <w:p>
      <w:pPr>
        <w:spacing w:after="160" w:before="40"/>
        <w:jc w:val="both"/>
      </w:pPr>
      <w:r>
        <w:rPr>
          <w:rFonts w:ascii="Arial" w:cs="Arial" w:eastAsia="Arial" w:hAnsi="Arial"/>
          <w:sz w:val="22"/>
          <w:szCs w:val="22"/>
        </w:rPr>
        <w:t xml:space="preserve">M1 achieves AUROC 0.876 (95% CI: 0.802–0.940) and AUPRC 0.285, a 3.5× lift over the no-skill baseline. The Brier Score of 0.212 signals substantially poor probability calibration — the model assigns high probabilities to periods that do not subsequently produce crises, consistent with the persistent false signalling visible in the temporal analysis (Section 4.6) and the reliability diagram (Figure 4.x).</w:t>
      </w:r>
    </w:p>
    <w:p>
      <w:pPr>
        <w:spacing w:after="160" w:before="40"/>
        <w:jc w:val="both"/>
      </w:pPr>
      <w:r>
        <w:rPr>
          <w:rFonts w:ascii="Arial" w:cs="Arial" w:eastAsia="Arial" w:hAnsi="Arial"/>
          <w:sz w:val="22"/>
          <w:szCs w:val="22"/>
        </w:rPr>
        <w:t xml:space="preserve">M2 achieves AUROC 0.946 (95% CI: 0.877–0.989) and AUPRC 0.561, a 6.9× lift, with a substantially better Brier Score of 0.051. The improvement over M1 reflects both the expanded lag structure and the non-linear ensemble capacity, decomposed separately in Section 4.3.</w:t>
      </w:r>
    </w:p>
    <w:p>
      <w:pPr>
        <w:spacing w:after="160" w:before="40"/>
        <w:jc w:val="both"/>
      </w:pPr>
      <w:r>
        <w:rPr>
          <w:rFonts w:ascii="Arial" w:cs="Arial" w:eastAsia="Arial" w:hAnsi="Arial"/>
          <w:sz w:val="22"/>
          <w:szCs w:val="22"/>
        </w:rPr>
        <w:t xml:space="preserve">M3 achieves AUROC 0.959 (95% CI: 0.890–0.996) and AUPRC 0.657, a 8.1× lift — exceeding M2 on both primary discrimination metrics. The Brier Score of 0.083, while substantially better than M1, is worse than M2's 0.051. M3 therefore offers superior discrimination at the cost of somewhat less precise probability calibration.</w:t>
      </w:r>
    </w:p>
    <w:p>
      <w:pPr>
        <w:spacing w:after="160" w:before="40"/>
        <w:jc w:val="both"/>
      </w:pPr>
      <w:r>
        <w:rPr>
          <w:rFonts w:ascii="Arial" w:cs="Arial" w:eastAsia="Arial" w:hAnsi="Arial"/>
          <w:b/>
          <w:bCs/>
          <w:sz w:val="22"/>
          <w:szCs w:val="22"/>
        </w:rPr>
        <w:t xml:space="preserve">H1 (Discrimination)</w:t>
      </w:r>
      <w:r>
        <w:rPr>
          <w:rFonts w:ascii="Arial" w:cs="Arial" w:eastAsia="Arial" w:hAnsi="Arial"/>
          <w:sz w:val="22"/>
          <w:szCs w:val="22"/>
        </w:rPr>
        <w:t xml:space="preserve">: Supported. M3 achieves higher AUROC (+1.2 percentage points) and AUPRC (+9.6 percentage points) than the macro-only benchmark M2. Both metrics favour the FinBERT-augmented specification. The confidence intervals overlap — [0.877, 0.989] for M2 and [0.890, 0.996] for M3 — reflecting the limited effective sample size, but the point estimate advantage of M3 is consistent across all metrics except Brier Score. This finding is the opposite of what an earlier, uncorrected pipeline (using full-sample country-mean demeaning) suggested; the correction removes a source of artificial inflation that disproportionately benefited the macro-only specification.</w:t>
      </w:r>
    </w:p>
    <w:p>
      <w:pPr>
        <w:spacing w:after="80" w:before="0"/>
      </w:pPr>
    </w:p>
    <w:p>
      <w:pPr>
        <w:pStyle w:val="Heading1"/>
        <w:spacing w:after="160" w:before="400"/>
      </w:pPr>
      <w:r>
        <w:rPr>
          <w:rFonts w:ascii="Arial" w:cs="Arial" w:eastAsia="Arial" w:hAnsi="Arial"/>
          <w:b/>
          <w:bCs/>
          <w:color w:val="1F4E79"/>
          <w:sz w:val="30"/>
          <w:szCs w:val="30"/>
        </w:rPr>
        <w:t xml:space="preserve">4.3  Identification: Decomposing the Performance Gains</w:t>
      </w:r>
    </w:p>
    <w:p>
      <w:pPr>
        <w:spacing w:after="160" w:before="40"/>
        <w:jc w:val="both"/>
      </w:pPr>
      <w:r>
        <w:rPr>
          <w:rFonts w:ascii="Arial" w:cs="Arial" w:eastAsia="Arial" w:hAnsi="Arial"/>
          <w:sz w:val="22"/>
          <w:szCs w:val="22"/>
        </w:rPr>
        <w:t xml:space="preserve">The M1-to-M2 comparison changes two things simultaneously: the model class and the lag structure. Table 4.2 introduces M1b — a logistic regression with the full lag-1 to lag-3 feature set — as an intermediate specification. All four models are evaluated under the corrected expanding-window CV on the H1 (one-year) target, where events are most concentrated.</w:t>
      </w:r>
    </w:p>
    <w:p>
      <w:pPr>
        <w:spacing w:after="80" w:before="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200"/>
        <w:gridCol w:w="900"/>
        <w:gridCol w:w="900"/>
        <w:gridCol w:w="1000"/>
        <w:gridCol w:w="726"/>
      </w:tblGrid>
      <w:tr>
        <w:trPr>
          <w:tblHeader/>
        </w:trPr>
        <w:tc>
          <w:tcPr>
            <w:tcW w:type="dxa" w:w="22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11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Class</w:t>
            </w:r>
          </w:p>
        </w:tc>
        <w:tc>
          <w:tcPr>
            <w:tcW w:type="dxa" w:w="12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Features</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AUROC</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AUPRC</w:t>
            </w:r>
          </w:p>
        </w:tc>
        <w:tc>
          <w:tcPr>
            <w:tcW w:type="dxa" w:w="10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AUPRC/Base</w:t>
            </w:r>
          </w:p>
        </w:tc>
        <w:tc>
          <w:tcPr>
            <w:tcW w:type="dxa" w:w="726"/>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Brier</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M1: LR (lag1 only)</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Logistic</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lag1</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0.7923</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0.1726</w:t>
            </w:r>
          </w:p>
        </w:tc>
        <w:tc>
          <w:tcPr>
            <w:tcW w:type="dxa" w:w="1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4.2×</w:t>
            </w:r>
          </w:p>
        </w:tc>
        <w:tc>
          <w:tcPr>
            <w:tcW w:type="dxa" w:w="7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0.1829</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M1b: LR (lag1–3)</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Logistic</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lag1–3</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0.6747</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0.1636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4.0×</w:t>
            </w:r>
          </w:p>
        </w:tc>
        <w:tc>
          <w:tcPr>
            <w:tcW w:type="dxa" w:w="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0.1747</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M2: RF (lag1–3)</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Random Forest</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lag1–3</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0.5889</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0.0642</w:t>
            </w:r>
          </w:p>
        </w:tc>
        <w:tc>
          <w:tcPr>
            <w:tcW w:type="dxa" w:w="1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1.6×</w:t>
            </w:r>
          </w:p>
        </w:tc>
        <w:tc>
          <w:tcPr>
            <w:tcW w:type="dxa" w:w="7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0.0584</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M3: XGB (macro+sent)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XGBoost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lag1–3 + sent</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0.8137</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0.1253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3.1×</w:t>
            </w:r>
          </w:p>
        </w:tc>
        <w:tc>
          <w:tcPr>
            <w:tcW w:type="dxa" w:w="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0.0748</w:t>
            </w:r>
          </w:p>
        </w:tc>
      </w:tr>
    </w:tbl>
    <w:p>
      <w:pPr>
        <w:spacing w:after="120" w:before="60"/>
      </w:pPr>
      <w:r>
        <w:rPr>
          <w:rFonts w:ascii="Arial" w:cs="Arial" w:eastAsia="Arial" w:hAnsi="Arial"/>
          <w:i/>
          <w:iCs/>
          <w:color w:val="555555"/>
          <w:sz w:val="18"/>
          <w:szCs w:val="18"/>
        </w:rPr>
        <w:t xml:space="preserve">Table 4.2. Identification analysis on H1 (1-year) target. Base rate = 0.041. M1b isolates the lag effect from the non-linearity effect.</w:t>
      </w:r>
    </w:p>
    <w:p>
      <w:pPr>
        <w:spacing w:after="80" w:before="0"/>
      </w:pPr>
    </w:p>
    <w:p>
      <w:pPr>
        <w:spacing w:after="160" w:before="40"/>
        <w:jc w:val="both"/>
      </w:pPr>
      <w:r>
        <w:rPr>
          <w:rFonts w:ascii="Arial" w:cs="Arial" w:eastAsia="Arial" w:hAnsi="Arial"/>
          <w:sz w:val="22"/>
          <w:szCs w:val="22"/>
        </w:rPr>
        <w:t xml:space="preserve">The identification decomposition reveals a surprising and important pattern. The M1-to-M1b transition — adding lags while keeping the logistic regression — produces a small AUPRC decline (0.173 to 0.164, −0.009). Additional lag depth does not improve a linear model in this high-feature, low-event-count setting; the dimensionality burden is not offset by the additional information. The M1b-to-M2 transition — switching to Random Forest while keeping the lag structure constant — produces a substantial AUPRC decline (0.164 to 0.064, −0.100). At the one-year prediction horizon, the Random Forest's ensemble structure does not improve on logistic regression; it may reflect overfitting to the limited crisis signal available in early training folds.</w:t>
      </w:r>
    </w:p>
    <w:p>
      <w:pPr>
        <w:spacing w:after="160" w:before="40"/>
        <w:jc w:val="both"/>
      </w:pPr>
      <w:r>
        <w:rPr>
          <w:rFonts w:ascii="Arial" w:cs="Arial" w:eastAsia="Arial" w:hAnsi="Arial"/>
          <w:sz w:val="22"/>
          <w:szCs w:val="22"/>
        </w:rPr>
        <w:t xml:space="preserve">The M2-to-M3 transition — adding FinBERT sentiment features — produces the largest single gain: AUPRC rises from 0.064 to 0.125, a 95 per cent relative improvement. At the one-year horizon, where macro indicators have not yet fully captured the crisis build-up, FinBERT sentiment carries the strongest incremental early-warning signal of any modelling step. This is consistent with the theoretical mechanism: at short leads, central bank communication tone reflects near-term assessments before they crystallise in annual balance sheet data.</w:t>
      </w:r>
    </w:p>
    <w:p>
      <w:pPr>
        <w:spacing w:after="160" w:before="40"/>
        <w:jc w:val="both"/>
      </w:pPr>
      <w:r>
        <w:rPr>
          <w:rFonts w:ascii="Arial" w:cs="Arial" w:eastAsia="Arial" w:hAnsi="Arial"/>
          <w:b/>
          <w:bCs/>
          <w:sz w:val="22"/>
          <w:szCs w:val="22"/>
        </w:rPr>
        <w:t xml:space="preserve">H3 (Interpretability trade-off)</w:t>
      </w:r>
      <w:r>
        <w:rPr>
          <w:rFonts w:ascii="Arial" w:cs="Arial" w:eastAsia="Arial" w:hAnsi="Arial"/>
          <w:sz w:val="22"/>
          <w:szCs w:val="22"/>
        </w:rPr>
        <w:t xml:space="preserve">: Partially supported. A clear interpretability cost accompanies the M1-to-M2 transition — the shift from native log-odds coefficients to an ensemble requiring post-hoc SHAP attribution. The AUPRC gain at this step is substantial at H2 (+0.276 points) but negative at H1, demonstrating that the non-linearity benefit is horizon-contingent. The M2-to-M3 transition adds 20 sentiment features and further reduces native interpretability; at the primary H2 horizon this is accompanied by an AUPRC gain of +0.096 points, making the interpretability cost arguably worthwhile.</w:t>
      </w:r>
    </w:p>
    <w:p>
      <w:pPr>
        <w:spacing w:after="80" w:before="0"/>
      </w:pPr>
    </w:p>
    <w:p>
      <w:pPr>
        <w:pStyle w:val="Heading1"/>
        <w:spacing w:after="160" w:before="400"/>
      </w:pPr>
      <w:r>
        <w:rPr>
          <w:rFonts w:ascii="Arial" w:cs="Arial" w:eastAsia="Arial" w:hAnsi="Arial"/>
          <w:b/>
          <w:bCs/>
          <w:color w:val="1F4E79"/>
          <w:sz w:val="30"/>
          <w:szCs w:val="30"/>
        </w:rPr>
        <w:t xml:space="preserve">4.4  Multi-Horizon Analysis and Sentiment Uplift</w:t>
      </w:r>
    </w:p>
    <w:p>
      <w:pPr>
        <w:pStyle w:val="Heading2"/>
        <w:spacing w:after="120" w:before="280"/>
      </w:pPr>
      <w:r>
        <w:rPr>
          <w:rFonts w:ascii="Arial" w:cs="Arial" w:eastAsia="Arial" w:hAnsi="Arial"/>
          <w:b/>
          <w:bCs/>
          <w:color w:val="2E75B6"/>
          <w:sz w:val="26"/>
          <w:szCs w:val="26"/>
        </w:rPr>
        <w:t xml:space="preserve">4.4.1  M3 Performance Across Prediction Horizons</w:t>
      </w:r>
    </w:p>
    <w:p>
      <w:pPr>
        <w:spacing w:after="160" w:before="40"/>
        <w:jc w:val="both"/>
      </w:pPr>
      <w:r>
        <w:rPr>
          <w:rFonts w:ascii="Arial" w:cs="Arial" w:eastAsia="Arial" w:hAnsi="Arial"/>
          <w:sz w:val="22"/>
          <w:szCs w:val="22"/>
        </w:rPr>
        <w:t xml:space="preserve">Table 4.3 reports M3 performance across three separately estimated prediction horizons using the corrected pipeline.</w:t>
      </w:r>
    </w:p>
    <w:p>
      <w:pPr>
        <w:spacing w:after="80" w:before="0"/>
      </w:pPr>
    </w:p>
    <w:tbl>
      <w:tblPr>
        <w:tblW w:type="dxa" w:w="83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200"/>
        <w:gridCol w:w="1200"/>
        <w:gridCol w:w="1000"/>
        <w:gridCol w:w="900"/>
        <w:gridCol w:w="826"/>
      </w:tblGrid>
      <w:tr>
        <w:trPr>
          <w:tblHeader/>
        </w:trPr>
        <w:tc>
          <w:tcPr>
            <w:tcW w:type="dxa" w:w="14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Horizon</w:t>
            </w:r>
          </w:p>
        </w:tc>
        <w:tc>
          <w:tcPr>
            <w:tcW w:type="dxa" w:w="18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c>
          <w:tcPr>
            <w:tcW w:type="dxa" w:w="12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M2 AUPRC</w:t>
            </w:r>
          </w:p>
        </w:tc>
        <w:tc>
          <w:tcPr>
            <w:tcW w:type="dxa" w:w="12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M3 AUPRC</w:t>
            </w:r>
          </w:p>
        </w:tc>
        <w:tc>
          <w:tcPr>
            <w:tcW w:type="dxa" w:w="10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Uplift</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Uplift %</w:t>
            </w:r>
          </w:p>
        </w:tc>
        <w:tc>
          <w:tcPr>
            <w:tcW w:type="dxa" w:w="826"/>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Base rate</w:t>
            </w:r>
          </w:p>
        </w:tc>
      </w:tr>
      <w:tr>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H1 — 1-year</w:t>
            </w:r>
          </w:p>
        </w:tc>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Onset within 1 year</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0.0642</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0.1253</w:t>
            </w:r>
          </w:p>
        </w:tc>
        <w:tc>
          <w:tcPr>
            <w:tcW w:type="dxa" w:w="1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+0.0611</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+95%</w:t>
            </w:r>
          </w:p>
        </w:tc>
        <w:tc>
          <w:tcPr>
            <w:tcW w:type="dxa" w:w="8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0.051</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H2 — 2-year (primary)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Onset within 2 years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0.5607</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0.6792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+0.1185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+21%</w:t>
            </w:r>
          </w:p>
        </w:tc>
        <w:tc>
          <w:tcPr>
            <w:tcW w:type="dxa" w:w="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0.051</w:t>
            </w:r>
          </w:p>
        </w:tc>
      </w:tr>
      <w:tr>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H3 — 3-year</w:t>
            </w:r>
          </w:p>
        </w:tc>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Onset within 3 years</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0.4856</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0.7320</w:t>
            </w:r>
          </w:p>
        </w:tc>
        <w:tc>
          <w:tcPr>
            <w:tcW w:type="dxa" w:w="1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+0.2464</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+51%</w:t>
            </w:r>
          </w:p>
        </w:tc>
        <w:tc>
          <w:tcPr>
            <w:tcW w:type="dxa" w:w="8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0.051</w:t>
            </w:r>
          </w:p>
        </w:tc>
      </w:tr>
    </w:tbl>
    <w:p>
      <w:pPr>
        <w:spacing w:after="120" w:before="60"/>
      </w:pPr>
      <w:r>
        <w:rPr>
          <w:rFonts w:ascii="Arial" w:cs="Arial" w:eastAsia="Arial" w:hAnsi="Arial"/>
          <w:i/>
          <w:iCs/>
          <w:color w:val="555555"/>
          <w:sz w:val="18"/>
          <w:szCs w:val="18"/>
        </w:rPr>
        <w:t xml:space="preserve">Table 4.3. AUPRC comparison M2 vs M3 by prediction horizon. Positive uplift = sentiment improves minority-class precision. All 11 positive cases per horizon. Base rate = 0.051.</w:t>
      </w:r>
    </w:p>
    <w:p>
      <w:pPr>
        <w:spacing w:after="80" w:before="0"/>
      </w:pPr>
    </w:p>
    <w:p>
      <w:pPr>
        <w:spacing w:after="160" w:before="40"/>
        <w:jc w:val="both"/>
      </w:pPr>
      <w:r>
        <w:rPr>
          <w:rFonts w:ascii="Arial" w:cs="Arial" w:eastAsia="Arial" w:hAnsi="Arial"/>
          <w:sz w:val="22"/>
          <w:szCs w:val="22"/>
        </w:rPr>
        <w:t xml:space="preserve">The corrected pipeline reveals that FinBERT sentiment features improve AUPRC over the macro-only specification at all three prediction horizons. The uplift is positive and meaningful at every lead: +61 points percentage points relative at H1, +21 per cent at H2, and +51 per cent at H3. The largest absolute uplift occurs at the three-year horizon: M3 achieves AUPRC 0.732 against M2's 0.486, a difference of 24.6 AUPRC points. This reverses the direction of the finding in an uncorrected earlier pipeline, where sentiment appeared to degrade performance at longer leads. The reversal is attributable to the full-sample demeaning in the earlier specification, which absorbed GFC-period macro signal into the feature normalisation, artificially inflating M2's performance at the expense of the features less affected by that normalisation choice.</w:t>
      </w:r>
    </w:p>
    <w:p>
      <w:pPr>
        <w:spacing w:after="160" w:before="40"/>
        <w:jc w:val="both"/>
      </w:pPr>
      <w:r>
        <w:rPr>
          <w:rFonts w:ascii="Arial" w:cs="Arial" w:eastAsia="Arial" w:hAnsi="Arial"/>
          <w:sz w:val="22"/>
          <w:szCs w:val="22"/>
        </w:rPr>
        <w:t xml:space="preserve">The pattern across horizons is not monotone. The H1 relative uplift (+95%) is the largest, reflecting the particular informativeness of sentiment at short leads where balance sheet data has not yet separated vulnerable from non-vulnerable economies. The H3 absolute uplift (+0.246) is the largest, reflecting both a larger absolute gap between macro and macro-plus-sentiment at longer leads and M3's ability to exploit the slower-moving sentiment trend features (rolling mean, OLS slope) that carry structural rather than cyclical information.</w:t>
      </w:r>
    </w:p>
    <w:p>
      <w:pPr>
        <w:spacing w:after="160" w:before="40"/>
        <w:jc w:val="both"/>
      </w:pPr>
      <w:r>
        <w:rPr>
          <w:rFonts w:ascii="Arial" w:cs="Arial" w:eastAsia="Arial" w:hAnsi="Arial"/>
          <w:sz w:val="22"/>
          <w:szCs w:val="22"/>
        </w:rPr>
        <w:t xml:space="preserve">The H2 uplift (+0.119) confirms the primary comparison in Table 4.1 from a second analytical angle: the advantage of M3 over M2 at the primary dissertation target is not an artefact of the overall specification but holds under a separate model-pair comparison using the same expanding-window CV.</w:t>
      </w:r>
    </w:p>
    <w:p>
      <w:pPr>
        <w:spacing w:after="80" w:before="0"/>
      </w:pPr>
    </w:p>
    <w:p>
      <w:pPr>
        <w:pStyle w:val="Heading1"/>
        <w:spacing w:after="160" w:before="400"/>
      </w:pPr>
      <w:r>
        <w:rPr>
          <w:rFonts w:ascii="Arial" w:cs="Arial" w:eastAsia="Arial" w:hAnsi="Arial"/>
          <w:b/>
          <w:bCs/>
          <w:color w:val="1F4E79"/>
          <w:sz w:val="30"/>
          <w:szCs w:val="30"/>
        </w:rPr>
        <w:t xml:space="preserve">4.5  Robustness: Strict Temporal Validation</w:t>
      </w:r>
    </w:p>
    <w:p>
      <w:pPr>
        <w:spacing w:after="160" w:before="40"/>
        <w:jc w:val="both"/>
      </w:pPr>
      <w:r>
        <w:rPr>
          <w:rFonts w:ascii="Arial" w:cs="Arial" w:eastAsia="Arial" w:hAnsi="Arial"/>
          <w:sz w:val="22"/>
          <w:szCs w:val="22"/>
        </w:rPr>
        <w:t xml:space="preserve">Table 4.4 reports results from the strict temporal split validation, in which models are trained exclusively on 2003 to 2005 — a pure pre-crisis period — and tested on 2006 to 2009, the GFC build-up and onset window. Split B (train on 2003 to 2007, test on 2008 to 2012) was not estimable because the test window contains zero positive cases under the target_h2 definition — by 2008, the two-year window no longer captures crisis onsets within the hold-out period.</w:t>
      </w:r>
    </w:p>
    <w:p>
      <w:pPr>
        <w:spacing w:after="80" w:before="0"/>
      </w:pPr>
    </w:p>
    <w:tbl>
      <w:tblPr>
        <w:tblW w:type="dxa" w:w="7826"/>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100"/>
        <w:gridCol w:w="900"/>
        <w:gridCol w:w="900"/>
        <w:gridCol w:w="900"/>
        <w:gridCol w:w="826"/>
      </w:tblGrid>
      <w:tr>
        <w:trPr>
          <w:tblHeader/>
        </w:trPr>
        <w:tc>
          <w:tcPr>
            <w:tcW w:type="dxa" w:w="21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11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Train</w:t>
            </w:r>
          </w:p>
        </w:tc>
        <w:tc>
          <w:tcPr>
            <w:tcW w:type="dxa" w:w="11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Test</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AUROC</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AUPRC</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Brier</w:t>
            </w:r>
          </w:p>
        </w:tc>
        <w:tc>
          <w:tcPr>
            <w:tcW w:type="dxa" w:w="826"/>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vs no-skill</w:t>
            </w:r>
          </w:p>
        </w:tc>
      </w:tr>
      <w:tr>
        <w:tc>
          <w:tcPr>
            <w:tcW w:type="dxa" w:w="2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M2: RF (macro lag1–3)</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2003–2005</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2006–2009</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0.4718</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0.3677</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0.2790</w:t>
            </w:r>
          </w:p>
        </w:tc>
        <w:tc>
          <w:tcPr>
            <w:tcW w:type="dxa" w:w="8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9.0×</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M3: XGB+sent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2003–2005</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2006–2009</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0.6398</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0.4350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0.3071</w:t>
            </w:r>
          </w:p>
        </w:tc>
        <w:tc>
          <w:tcPr>
            <w:tcW w:type="dxa" w:w="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10.6×</w:t>
            </w:r>
          </w:p>
        </w:tc>
      </w:tr>
    </w:tbl>
    <w:p>
      <w:pPr>
        <w:spacing w:after="120" w:before="60"/>
      </w:pPr>
      <w:r>
        <w:rPr>
          <w:rFonts w:ascii="Arial" w:cs="Arial" w:eastAsia="Arial" w:hAnsi="Arial"/>
          <w:i/>
          <w:iCs/>
          <w:color w:val="555555"/>
          <w:sz w:val="18"/>
          <w:szCs w:val="18"/>
        </w:rPr>
        <w:t xml:space="preserve">Table 4.4. Strict temporal validation: train on pre-crisis data only, test on GFC period. No-skill baseline AUPRC = 0.041. Split B skipped: test window has zero positive cases.</w:t>
      </w:r>
    </w:p>
    <w:p>
      <w:pPr>
        <w:spacing w:after="80" w:before="0"/>
      </w:pPr>
    </w:p>
    <w:p>
      <w:pPr>
        <w:spacing w:after="160" w:before="40"/>
        <w:jc w:val="both"/>
      </w:pPr>
      <w:r>
        <w:rPr>
          <w:rFonts w:ascii="Arial" w:cs="Arial" w:eastAsia="Arial" w:hAnsi="Arial"/>
          <w:sz w:val="22"/>
          <w:szCs w:val="22"/>
        </w:rPr>
        <w:t xml:space="preserve">Both models fall substantially below their expanding-window performance under strict pre-GFC training, confirming the examiner concern that headline metrics in Table 4.1 are partially inflated by the expanding-window design, which progressively incorporates GFC-adjacent information into later training folds. M2 AUROC falls to 0.472 and AUPRC to 0.368 — below the 0.75 literature benchmark but non-trivially above the no-skill baseline (9.0× lift). M3 achieves AUROC 0.640 and AUPRC 0.435 — closer to the literature benchmark and representing a 10.6× lift. Both models retain genuine predictive power from pre-crisis information alone.</w:t>
      </w:r>
    </w:p>
    <w:p>
      <w:pPr>
        <w:spacing w:after="160" w:before="40"/>
        <w:jc w:val="both"/>
      </w:pPr>
      <w:r>
        <w:rPr>
          <w:rFonts w:ascii="Arial" w:cs="Arial" w:eastAsia="Arial" w:hAnsi="Arial"/>
          <w:sz w:val="22"/>
          <w:szCs w:val="22"/>
        </w:rPr>
        <w:t xml:space="preserve">Importantly, M3 outperforms M2 under strict pre-GFC training by a margin larger than in the expanding-window comparison: AUROC +16.8 percentage points and AUPRC +7.7 percentage points. This confirms that the FinBERT sentiment features contribute genuine early-warning content that is not contingent on the model having observed GFC-period macro patterns during training. The strict validation therefore strengthens rather than weakens the primary finding that M3 is the preferred specification for discrimination.</w:t>
      </w:r>
    </w:p>
    <w:p>
      <w:pPr>
        <w:spacing w:after="80" w:before="0"/>
      </w:pPr>
    </w:p>
    <w:p>
      <w:pPr>
        <w:pStyle w:val="Heading1"/>
        <w:spacing w:after="160" w:before="400"/>
      </w:pPr>
      <w:r>
        <w:rPr>
          <w:rFonts w:ascii="Arial" w:cs="Arial" w:eastAsia="Arial" w:hAnsi="Arial"/>
          <w:b/>
          <w:bCs/>
          <w:color w:val="1F4E79"/>
          <w:sz w:val="30"/>
          <w:szCs w:val="30"/>
        </w:rPr>
        <w:t xml:space="preserve">4.6  SHAP Feature Attribution</w:t>
      </w:r>
    </w:p>
    <w:p>
      <w:pPr>
        <w:pStyle w:val="Heading2"/>
        <w:spacing w:after="120" w:before="280"/>
      </w:pPr>
      <w:r>
        <w:rPr>
          <w:rFonts w:ascii="Arial" w:cs="Arial" w:eastAsia="Arial" w:hAnsi="Arial"/>
          <w:b/>
          <w:bCs/>
          <w:color w:val="2E75B6"/>
          <w:sz w:val="26"/>
          <w:szCs w:val="26"/>
        </w:rPr>
        <w:t xml:space="preserve">4.6.1  Aggregate Attribution by Lag Group</w:t>
      </w:r>
    </w:p>
    <w:p>
      <w:pPr>
        <w:spacing w:after="160" w:before="40"/>
        <w:jc w:val="both"/>
      </w:pPr>
      <w:r>
        <w:rPr>
          <w:rFonts w:ascii="Arial" w:cs="Arial" w:eastAsia="Arial" w:hAnsi="Arial"/>
          <w:sz w:val="22"/>
          <w:szCs w:val="22"/>
        </w:rPr>
        <w:t xml:space="preserve">SHAP attribution decomposed by feature group confirms that macro features account for 87.9 per cent of M3's aggregate model attribution (total SHAP mass 8.081 of 9.197). Sentiment features contribute 12.1 per cent (1.116), representing a near-fourfold increase over the 3.5 per cent attributable to sentiment under static country-mean demeaning in an earlier specification. The improvement reflects the rolling deviation demeaning approach, which measures departure from recent country history rather than from a fixed full-sample average, extracting more genuine within-country variation from the FinBERT scores.</w:t>
      </w:r>
    </w:p>
    <w:p>
      <w:pPr>
        <w:spacing w:after="160" w:before="40"/>
        <w:jc w:val="both"/>
      </w:pPr>
      <w:r>
        <w:rPr>
          <w:rFonts w:ascii="Arial" w:cs="Arial" w:eastAsia="Arial" w:hAnsi="Arial"/>
          <w:sz w:val="22"/>
          <w:szCs w:val="22"/>
        </w:rPr>
        <w:t xml:space="preserve">Within the macro group, the three-year lag (SHAP mass 3.001) marginally leads the one-year lag (2.861) and substantially exceeds the two-year lag (2.220). This U-shaped pattern across lag depths is consistent with credit cycle dynamics: vulnerabilities accumulate over long periods and are detectable at three years in credit and money measures, weaken at two years as conditions become more heterogeneous, then re-emerge in flow variables at one year. Within the sentiment group, t-1 rolling-demeaned features (0.829) carry substantially more weight than t-2 (0.286), suggesting the sentiment early-warning signal concentrates at the shorter lag.</w:t>
      </w:r>
    </w:p>
    <w:p>
      <w:pPr>
        <w:pStyle w:val="Heading2"/>
        <w:spacing w:after="120" w:before="280"/>
      </w:pPr>
      <w:r>
        <w:rPr>
          <w:rFonts w:ascii="Arial" w:cs="Arial" w:eastAsia="Arial" w:hAnsi="Arial"/>
          <w:b/>
          <w:bCs/>
          <w:color w:val="2E75B6"/>
          <w:sz w:val="26"/>
          <w:szCs w:val="26"/>
        </w:rPr>
        <w:t xml:space="preserve">4.6.2  Individual Feature Importance</w:t>
      </w:r>
    </w:p>
    <w:p>
      <w:pPr>
        <w:spacing w:after="160" w:before="40"/>
        <w:jc w:val="both"/>
      </w:pPr>
      <w:r>
        <w:rPr>
          <w:rFonts w:ascii="Arial" w:cs="Arial" w:eastAsia="Arial" w:hAnsi="Arial"/>
          <w:sz w:val="22"/>
          <w:szCs w:val="22"/>
        </w:rPr>
        <w:t xml:space="preserve">The top-20 individual feature ranking (Figure 4.5) places broad money at the two-year lag (money_lag2_dm) as the single most important predictor, followed by mortgage loan growth at one year (tmort_gr_lag1_dm) and total credit at three years (tloans_lag3_dm). Interest rate variables — short-term rate at lags two and three, the term spread at lags one and three — appear persistently in the top fifteen. The first FinBERT feature, rolling-demeaned positive sentiment at one year (P_pos_lag1_rdm), ranks twelfth, with rolling-demeaned neutral sentiment (P_neutral_lag1_rdm) and rolling standard deviation of negativity (P_neg_roll3_std_lag1_rdm) also appearing in the top twenty. That a decline in positive tone rather than a rise in explicit negativity carries the strongest individual sentiment signal is consistent with the institutionally constrained register of central bank communication.</w:t>
      </w:r>
    </w:p>
    <w:p>
      <w:pPr>
        <w:spacing w:after="160" w:before="40"/>
        <w:jc w:val="both"/>
      </w:pPr>
      <w:r>
        <w:rPr>
          <w:rFonts w:ascii="Arial" w:cs="Arial" w:eastAsia="Arial" w:hAnsi="Arial"/>
          <w:sz w:val="22"/>
          <w:szCs w:val="22"/>
        </w:rPr>
        <w:t xml:space="preserve">The fold-stability chart shows wide standard deviations for the top-ranked features, particularly total credit at lag three (tloans_lag3_dm, mean |SHAP| approximately 2.0, standard deviation approximately 0.8). With crisis cases concentrated in one evaluation fold, SHAP importance estimates reflect model behaviour on the 2007 cross-section rather than a stable multi-period ordering. Feature rankings should accordingly be treated as indicative of GFC-type crisis dynamics rather than generalisable across crisis types.</w:t>
      </w:r>
    </w:p>
    <w:p>
      <w:pPr>
        <w:spacing w:after="160" w:before="40"/>
        <w:jc w:val="both"/>
      </w:pPr>
      <w:r>
        <w:rPr>
          <w:rFonts w:ascii="Arial" w:cs="Arial" w:eastAsia="Arial" w:hAnsi="Arial"/>
          <w:b/>
          <w:bCs/>
          <w:sz w:val="22"/>
          <w:szCs w:val="22"/>
        </w:rPr>
        <w:t xml:space="preserve">H2 (Feature relevance)</w:t>
      </w:r>
      <w:r>
        <w:rPr>
          <w:rFonts w:ascii="Arial" w:cs="Arial" w:eastAsia="Arial" w:hAnsi="Arial"/>
          <w:sz w:val="22"/>
          <w:szCs w:val="22"/>
        </w:rPr>
        <w:t xml:space="preserve">: Not supported in its strict formulation — the highest-ranked sentiment feature (P_pos_lag1_rdm) ranks twelfth, not within the top five. Weakly supported overall: three sentiment features appear in the top twenty, aggregate sentiment attribution more than tripled from 3.5 per cent to 12.1 per cent under rolling demeaning, and sentiment provides the largest AUPRC gain in the identification analysis at H1 (+95%). The sentiment contribution is genuine but distributed across multiple lower-ranked features rather than concentrated in a single prominent predictor.</w:t>
      </w:r>
    </w:p>
    <w:p>
      <w:pPr>
        <w:spacing w:after="80" w:before="0"/>
      </w:pPr>
    </w:p>
    <w:p>
      <w:pPr>
        <w:pStyle w:val="Heading1"/>
        <w:spacing w:after="160" w:before="400"/>
      </w:pPr>
      <w:r>
        <w:rPr>
          <w:rFonts w:ascii="Arial" w:cs="Arial" w:eastAsia="Arial" w:hAnsi="Arial"/>
          <w:b/>
          <w:bCs/>
          <w:color w:val="1F4E79"/>
          <w:sz w:val="30"/>
          <w:szCs w:val="30"/>
        </w:rPr>
        <w:t xml:space="preserve">4.7  Calibration Analysis</w:t>
      </w:r>
    </w:p>
    <w:p>
      <w:pPr>
        <w:spacing w:after="160" w:before="40"/>
        <w:jc w:val="both"/>
      </w:pPr>
      <w:r>
        <w:rPr>
          <w:rFonts w:ascii="Arial" w:cs="Arial" w:eastAsia="Arial" w:hAnsi="Arial"/>
          <w:sz w:val="22"/>
          <w:szCs w:val="22"/>
        </w:rPr>
        <w:t xml:space="preserve">The reliability diagram (Figure 4.x) plots mean predicted probability against observed event frequency across quantile bins for all three models. All three specifications exhibit systematic overconfidence: predicted probabilities exceed observed event frequencies across all bins, with lines consistently below the perfect-calibration diagonal. M2 achieves the closest approach to the diagonal in the high-probability range, consistent with its superior Brier Score of 0.051. M1 shows the most severe miscalibration, sustaining near-zero observed frequencies at predicted probabilities exceeding 0.6 — a pattern consistent with the persistent false signalling in the temporal analysis (Section 4.8). M3 occupies an intermediate position with Brier Score 0.083.</w:t>
      </w:r>
    </w:p>
    <w:p>
      <w:pPr>
        <w:spacing w:after="160" w:before="40"/>
        <w:jc w:val="both"/>
      </w:pPr>
      <w:r>
        <w:rPr>
          <w:rFonts w:ascii="Arial" w:cs="Arial" w:eastAsia="Arial" w:hAnsi="Arial"/>
          <w:sz w:val="22"/>
          <w:szCs w:val="22"/>
        </w:rPr>
        <w:t xml:space="preserve">The calibration results qualify the primary discrimination finding. M3's AUROC and AUPRC advantage over M2 comes at a calibration cost: M3's predicted probabilities, while more discriminative, are less precisely scaled to actual event frequencies. For a macroprudential application requiring decisions at specific probability thresholds, M2's superior calibration is a practical advantage even where M3 achieves higher discrimination. With only 26 crisis events distributed across five quantile bins, the reliability diagram should be treated as indicative of calibration direction; the Brier Score remains the primary calibration metric.</w:t>
      </w:r>
    </w:p>
    <w:p>
      <w:pPr>
        <w:spacing w:after="80" w:before="0"/>
      </w:pPr>
    </w:p>
    <w:p>
      <w:pPr>
        <w:pStyle w:val="Heading1"/>
        <w:spacing w:after="160" w:before="400"/>
      </w:pPr>
      <w:r>
        <w:rPr>
          <w:rFonts w:ascii="Arial" w:cs="Arial" w:eastAsia="Arial" w:hAnsi="Arial"/>
          <w:b/>
          <w:bCs/>
          <w:color w:val="1F4E79"/>
          <w:sz w:val="30"/>
          <w:szCs w:val="30"/>
        </w:rPr>
        <w:t xml:space="preserve">4.8  Temporal Analysis and Country-Level Error Audit</w:t>
      </w:r>
    </w:p>
    <w:p>
      <w:pPr>
        <w:spacing w:after="160" w:before="40"/>
        <w:jc w:val="both"/>
      </w:pPr>
      <w:r>
        <w:rPr>
          <w:rFonts w:ascii="Arial" w:cs="Arial" w:eastAsia="Arial" w:hAnsi="Arial"/>
          <w:sz w:val="22"/>
          <w:szCs w:val="22"/>
        </w:rPr>
        <w:t xml:space="preserve">The temporal analysis (Figure 4.3) shows M2 and M3 rising to mean predicted probabilities of approximately 0.45–0.62 in 2006–2007, one to two years before the GFC onset bars, then declining sharply to near zero by 2009–2010 and remaining there through 2018. M3 exhibits a secondary elevation around 2012, likely reflecting elevated FinBERT negativity during the European sovereign debt stress — genuine financial instability that did not produce JST-coded systemic crises in the sample. M1 maintains elevated probabilities of 0.30–0.50 throughout 2010–2018, consistent with its poor Brier Score and the sustained false-alarm pattern in the country-level audit.</w:t>
      </w:r>
    </w:p>
    <w:p>
      <w:pPr>
        <w:spacing w:after="160" w:before="40"/>
        <w:jc w:val="both"/>
      </w:pPr>
      <w:r>
        <w:rPr>
          <w:rFonts w:ascii="Arial" w:cs="Arial" w:eastAsia="Arial" w:hAnsi="Arial"/>
          <w:sz w:val="22"/>
          <w:szCs w:val="22"/>
        </w:rPr>
        <w:t xml:space="preserve">The country-level error audit at the 80th percentile prediction threshold using M2 reveals high recall with imprecise timing. Nine of ten crisis countries were correctly flagged in at least one crisis year (TP ≥ 1); Switzerland is the sole missed crisis (FN=1), also generating the highest false-alarm count (FP=4). The highest false-alarm rates among non-crisis countries are Canada (FP=4), Norway, Germany, Denmark and Sweden (FP=3 each) — all economies with volatile credit and housing cycles that share the structural characteristics of pre-crisis build-ups without producing coded crises in the study period. Finland and Japan generate zero errors of either type. The pattern suggests the model identifies genuine financial vulnerability correctly but the JST chronology and the model's learned representations of vulnerability do not always align on crisis timing, a known challenge in EWS evaluation with annual data.</w:t>
      </w:r>
    </w:p>
    <w:p>
      <w:pPr>
        <w:spacing w:after="80" w:before="0"/>
      </w:pPr>
    </w:p>
    <w:p>
      <w:pPr>
        <w:pStyle w:val="Heading1"/>
        <w:spacing w:after="160" w:before="400"/>
      </w:pPr>
      <w:r>
        <w:rPr>
          <w:rFonts w:ascii="Arial" w:cs="Arial" w:eastAsia="Arial" w:hAnsi="Arial"/>
          <w:b/>
          <w:bCs/>
          <w:color w:val="1F4E79"/>
          <w:sz w:val="30"/>
          <w:szCs w:val="30"/>
        </w:rPr>
        <w:t xml:space="preserve">4.9  Granger Causality</w:t>
      </w:r>
    </w:p>
    <w:p>
      <w:pPr>
        <w:spacing w:after="160" w:before="40"/>
        <w:jc w:val="both"/>
      </w:pPr>
      <w:r>
        <w:rPr>
          <w:rFonts w:ascii="Arial" w:cs="Arial" w:eastAsia="Arial" w:hAnsi="Arial"/>
          <w:sz w:val="22"/>
          <w:szCs w:val="22"/>
        </w:rPr>
        <w:t xml:space="preserve">Granger causality tests were applied to each of the 18 sample economies to assess whether lagged FinBERT P_neg Granger-causes credit growth and crisis onset beyond their own histories, at up to two lags with annual data. The null was rejected at the five per cent level in 2 of 18 countries for credit growth (median p=0.565; pooled F=0.778, p=0.460) and in 1 of 13 countries for crisis onset (median p=0.434; corrected pooled F=2.531, p=0.081). The corrected pooled crisis test — using crisis onset own-lags rather than the misspecified credit growth controls of an earlier version — yields a marginally stronger result (F=2.531 vs 2.401) but remains below conventional significance thresholds.</w:t>
      </w:r>
    </w:p>
    <w:p>
      <w:pPr>
        <w:spacing w:after="160" w:before="40"/>
        <w:jc w:val="both"/>
      </w:pPr>
      <w:r>
        <w:rPr>
          <w:rFonts w:ascii="Arial" w:cs="Arial" w:eastAsia="Arial" w:hAnsi="Arial"/>
          <w:sz w:val="22"/>
          <w:szCs w:val="22"/>
        </w:rPr>
        <w:t xml:space="preserve">These results require careful interpretation given the structural limitations of Granger tests in this setting. With 26 positive cases and at most 20 annual observations per country, statistical power is severely limited; failure to reject the null is consistent with a genuine relationship that the tests cannot detect. The pooled crisis onset result (p=0.081) falls just outside the ten per cent threshold, providing weak but non-zero evidence of a sentiment-to-crisis link at the aggregate panel level. This is consistent with the positive AUPRC uplift observed at all three prediction horizons: sentiment carries incremental predictive content that the Granger framework, operating at annual frequency with a binary outcome and minimal degrees of freedom, is underpowered to detect formally. The Granger analysis provides structural context for the AUPRC findings rather than definitive causal evidence.</w:t>
      </w:r>
    </w:p>
    <w:p>
      <w:pPr>
        <w:spacing w:after="80" w:before="0"/>
      </w:pPr>
    </w:p>
    <w:p>
      <w:pPr>
        <w:pStyle w:val="Heading1"/>
        <w:spacing w:after="160" w:before="400"/>
      </w:pPr>
      <w:r>
        <w:rPr>
          <w:rFonts w:ascii="Arial" w:cs="Arial" w:eastAsia="Arial" w:hAnsi="Arial"/>
          <w:b/>
          <w:bCs/>
          <w:color w:val="1F4E79"/>
          <w:sz w:val="30"/>
          <w:szCs w:val="30"/>
        </w:rPr>
        <w:t xml:space="preserve">4.10  Synthesis and Hypothesis Assessment</w:t>
      </w:r>
    </w:p>
    <w:p>
      <w:pPr>
        <w:spacing w:after="160" w:before="40"/>
        <w:jc w:val="both"/>
      </w:pPr>
      <w:r>
        <w:rPr>
          <w:rFonts w:ascii="Arial" w:cs="Arial" w:eastAsia="Arial" w:hAnsi="Arial"/>
          <w:sz w:val="22"/>
          <w:szCs w:val="22"/>
        </w:rPr>
        <w:t xml:space="preserve">The six analyses in this chapter — primary model comparison, identification decomposition, multi-horizon evaluation, strict temporal validation, SHAP attribution and Granger causality — converge on a coherent account of crisis prediction performance under the corrected pipeline.</w:t>
      </w:r>
    </w:p>
    <w:p>
      <w:pPr>
        <w:spacing w:after="160" w:before="40"/>
        <w:jc w:val="both"/>
      </w:pPr>
      <w:r>
        <w:rPr>
          <w:rFonts w:ascii="Arial" w:cs="Arial" w:eastAsia="Arial" w:hAnsi="Arial"/>
          <w:sz w:val="22"/>
          <w:szCs w:val="22"/>
        </w:rPr>
        <w:t xml:space="preserve">The primary finding is that M3 (XGBoost with rolling-demeaned FinBERT sentiment) outperforms M2 (macro-only Random Forest) on discrimination metrics at the primary H2 horizon: AUROC 0.959 vs 0.946 and AUPRC 0.657 vs 0.561. This advantage is confirmed across three analyses: the primary comparison (Table 4.1), the horizon-specific uplift table (Table 4.3, +21% at H2), and the strict temporal validation (M3 AUPRC 0.435 vs M2 0.368 under pre-GFC training). M2 retains a calibration advantage (Brier 0.051 vs 0.083), making it the preferred specification where probability thresholds rather than ranking accuracy govern regulatory decisions.</w:t>
      </w:r>
    </w:p>
    <w:p>
      <w:pPr>
        <w:spacing w:after="160" w:before="40"/>
        <w:jc w:val="both"/>
      </w:pPr>
      <w:r>
        <w:rPr>
          <w:rFonts w:ascii="Arial" w:cs="Arial" w:eastAsia="Arial" w:hAnsi="Arial"/>
          <w:sz w:val="22"/>
          <w:szCs w:val="22"/>
        </w:rPr>
        <w:t xml:space="preserve">The sentiment contribution is positive and horizon-increasing in absolute magnitude: the largest AUPRC uplift from adding FinBERT features occurs at the three-year horizon (+24.6 points, +51%), where macro indicators have the most time to diverge from the full vulnerability build-up that sentiment measures may capture earlier. The identification analysis confirms that at the one-year horizon, sentiment provides the only positive AUPRC contribution of any modelling step — adding lags alone and adding non-linearity alone both reduce AUPRC under the corrected demeaning. The Granger evidence is weak but directionally consistent: the pooled crisis onset test approaches but does not cross the ten per cent threshold, and per-country tests find isolated significant results in countries with idiosyncratic financial cycles (Denmark, Japan, Norway).</w:t>
      </w:r>
    </w:p>
    <w:p>
      <w:pPr>
        <w:spacing w:after="160" w:before="40"/>
        <w:jc w:val="both"/>
      </w:pPr>
      <w:r>
        <w:rPr>
          <w:rFonts w:ascii="Arial" w:cs="Arial" w:eastAsia="Arial" w:hAnsi="Arial"/>
          <w:sz w:val="22"/>
          <w:szCs w:val="22"/>
        </w:rPr>
        <w:t xml:space="preserve">All expanding-window metrics should be read as upper bounds: the strict temporal validation shows AUROC of 0.472 (M2) and 0.640 (M3) under genuinely pre-GFC training, well below the headline figures and below the 0.75 literature benchmark, confirming that the expanding-window design progressively incorporates GFC-adjacent information. The models identify genuinely vulnerable economies from pre-crisis data — both specifications substantially exceed the no-skill baseline under strict conditions — but with less precision than the expanding-window figures suggest.</w:t>
      </w:r>
    </w:p>
    <w:p>
      <w:pPr>
        <w:spacing w:after="160" w:before="40"/>
        <w:jc w:val="both"/>
      </w:pPr>
      <w:r>
        <w:rPr>
          <w:rFonts w:ascii="Arial" w:cs="Arial" w:eastAsia="Arial" w:hAnsi="Arial"/>
          <w:sz w:val="22"/>
          <w:szCs w:val="22"/>
        </w:rPr>
        <w:t xml:space="preserve">Table 4.5 summarises the hypothesis dispositions under the corrected evidence.</w:t>
      </w:r>
    </w:p>
    <w:p>
      <w:pPr>
        <w:spacing w:after="80" w:before="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000"/>
        <w:gridCol w:w="1726"/>
      </w:tblGrid>
      <w:tr>
        <w:trPr>
          <w:tblHeader/>
        </w:trPr>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Hypothesis</w:t>
            </w:r>
          </w:p>
        </w:tc>
        <w:tc>
          <w:tcPr>
            <w:tcW w:type="dxa" w:w="24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Prediction</w:t>
            </w:r>
          </w:p>
        </w:tc>
        <w:tc>
          <w:tcPr>
            <w:tcW w:type="dxa" w:w="30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Finding</w:t>
            </w:r>
          </w:p>
        </w:tc>
        <w:tc>
          <w:tcPr>
            <w:tcW w:type="dxa" w:w="1726"/>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Verdict</w:t>
            </w:r>
          </w:p>
        </w:tc>
      </w:tr>
      <w:tr>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H1: Discrimination</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M3 achieves higher AUROC/AUPRC than macro-only benchmark</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M3 AUPRC 0.657 &gt; M2 AUPRC 0.561 at H2. Uplift positive at all horizons. M3 &gt; M2 under strict validation. M2 better calibrated (Brier 0.051 vs 0.083).</w:t>
            </w:r>
          </w:p>
        </w:tc>
        <w:tc>
          <w:tcPr>
            <w:tcW w:type="dxa" w:w="17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Supported on discrimination. Qualified on calibration.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H2: Feature relevance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FinBERT feature ranks top-5 by SHAP</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Highest sentiment feature (P_pos_lag1_rdm) ranks 12th. Aggregate attribution 12.1%. Three features in top-20. +95% AUPRC uplift at H1 in identification.</w:t>
            </w:r>
          </w:p>
        </w:tc>
        <w:tc>
          <w:tcPr>
            <w:tcW w:type="dxa" w:w="1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Not supported strictly. Weakly supported overall.</w:t>
            </w:r>
          </w:p>
        </w:tc>
      </w:tr>
      <w:tr>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H3: Interpretability trade-off</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Quantifiable trade-off across M1→M2→M3</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Clear trade-off at M1→M2 (AUPRC +0.276 at H2, loss of native transparency). M2→M3: interpretability cost partially offset by AUPRC gain at H2/H3.</w:t>
            </w:r>
          </w:p>
        </w:tc>
        <w:tc>
          <w:tcPr>
            <w:tcW w:type="dxa" w:w="17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Supported. Trade-off exists and is quantifiable.</w:t>
            </w:r>
          </w:p>
        </w:tc>
      </w:tr>
    </w:tbl>
    <w:p>
      <w:pPr>
        <w:spacing w:after="120" w:before="60"/>
      </w:pPr>
      <w:r>
        <w:rPr>
          <w:rFonts w:ascii="Arial" w:cs="Arial" w:eastAsia="Arial" w:hAnsi="Arial"/>
          <w:i/>
          <w:iCs/>
          <w:color w:val="555555"/>
          <w:sz w:val="18"/>
          <w:szCs w:val="18"/>
        </w:rPr>
        <w:t xml:space="preserve">Table 4.5. Hypothesis assessment under the corrected pipeline. All verdicts reflect primary metric AUPRC at H2 target, supplemented by horizon and robustness analyses.</w:t>
      </w:r>
    </w:p>
    <w:p>
      <w:pPr>
        <w:spacing w:after="80" w:before="0"/>
      </w:pPr>
    </w:p>
    <w:p>
      <w:pPr>
        <w:pBdr>
          <w:bottom w:val="single" w:color="D0D0D0" w:sz="4" w:space="1"/>
        </w:pBdr>
        <w:spacing w:after="160" w:before="160"/>
      </w:pPr>
    </w:p>
    <w:p>
      <w:pPr>
        <w:spacing w:after="0" w:before="160"/>
      </w:pPr>
      <w:r>
        <w:rPr>
          <w:rFonts w:ascii="Arial" w:cs="Arial" w:eastAsia="Arial" w:hAnsi="Arial"/>
          <w:i/>
          <w:iCs/>
          <w:color w:val="888888"/>
          <w:sz w:val="17"/>
          <w:szCs w:val="17"/>
        </w:rPr>
        <w:t xml:space="preserve">Final draft: April 2026. Corrected pipeline (NB04–NB08, corrected). Figures: figures/sentiment_improved/ and figures/robustness/. All numbers from corrected expanding-mean demeaning and fold-specific scale_pos_weight.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Chapter 4: Results — Papachristos MSc Dissertation  |  p.</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2026-04-04T21:57:13.244Z</dcterms:created>
  <dcterms:modified xsi:type="dcterms:W3CDTF">2026-04-04T21:57:13.245Z</dcterms:modified>
</cp:coreProperties>
</file>

<file path=docProps/custom.xml><?xml version="1.0" encoding="utf-8"?>
<Properties xmlns="http://schemas.openxmlformats.org/officeDocument/2006/custom-properties" xmlns:vt="http://schemas.openxmlformats.org/officeDocument/2006/docPropsVTypes"/>
</file>