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4"/>
          <w:szCs w:val="44"/>
        </w:rPr>
        <w:t xml:space="preserve">Chapter 4: Results and Interpretation</w:t>
      </w:r>
    </w:p>
    <w:p>
      <w:pPr>
        <w:spacing w:after="80" w:before="0"/>
      </w:pPr>
      <w:r>
        <w:rPr>
          <w:rFonts w:ascii="Arial" w:cs="Arial" w:eastAsia="Arial" w:hAnsi="Arial"/>
          <w:i/>
          <w:iCs/>
          <w:color w:val="555555"/>
          <w:sz w:val="22"/>
          <w:szCs w:val="22"/>
        </w:rPr>
        <w:t xml:space="preserve">Economic Crisis Prediction: Improving the Trade-off Between Interpretability and Statistical Accuracy in ML-Enhanced Crisis Prediction Models</w:t>
      </w:r>
    </w:p>
    <w:p>
      <w:pPr>
        <w:spacing w:after="320" w:before="0"/>
      </w:pPr>
      <w:r>
        <w:rPr>
          <w:rFonts w:ascii="Arial" w:cs="Arial" w:eastAsia="Arial" w:hAnsi="Arial"/>
          <w:color w:val="888888"/>
          <w:sz w:val="20"/>
          <w:szCs w:val="20"/>
        </w:rPr>
        <w:t xml:space="preserve">Pavlos Papachristos | MSc Artificial Intelligence, University of Essex Online | April 2026</w:t>
      </w:r>
    </w:p>
    <w:p>
      <w:pPr>
        <w:pBdr>
          <w:bottom w:val="single" w:color="D0D0D0" w:sz="4" w:space="1"/>
        </w:pBdr>
        <w:spacing w:after="160" w:before="160"/>
      </w:pPr>
    </w:p>
    <w:p>
      <w:pPr>
        <w:spacing w:after="80" w:before="0"/>
      </w:pPr>
    </w:p>
    <w:p>
      <w:pPr>
        <w:pStyle w:val="Heading1"/>
        <w:spacing w:after="160" w:before="400"/>
      </w:pPr>
      <w:r>
        <w:rPr>
          <w:rFonts w:ascii="Arial" w:cs="Arial" w:eastAsia="Arial" w:hAnsi="Arial"/>
          <w:b/>
          <w:bCs/>
          <w:color w:val="1F4E79"/>
          <w:sz w:val="30"/>
          <w:szCs w:val="30"/>
        </w:rPr>
        <w:t xml:space="preserve">4.1  Dataset and Experimental Setup</w:t>
      </w:r>
    </w:p>
    <w:p>
      <w:pPr>
        <w:spacing w:after="160" w:before="40"/>
        <w:jc w:val="both"/>
      </w:pPr>
      <w:r>
        <w:rPr>
          <w:rFonts w:ascii="Arial" w:cs="Arial" w:eastAsia="Arial" w:hAnsi="Arial"/>
          <w:sz w:val="22"/>
          <w:szCs w:val="22"/>
        </w:rPr>
        <w:t xml:space="preserve">The modelling dataset comprises 319 usable country-year observations drawn from the 432-row master panel, covering 18 advanced economies over 2003 to 2020. The reduction from 432 rows reflects the multi-lag feature design: applying lags of one, two and three years to macro-level variables eliminates 1997 to 2002 observations per country, as these years lack the historical depth required to populate the lag-3 features without boundary artefacts. The primary prediction target, target_h2, marks a year as positive if a systemic banking crisis onset occurs within the following two years; this two-year window follows Beutel, List and von Schweinitz (2019), who find it maximises policy usefulness on JST-type data given the time regulators require to act on early-warning signals. The window generates 26 positive observations against 293 negative, a base rate of 8.2 per cent. The COVID-19 shock in 2020 is not coded as a crisis event by either the JST or Laeven-Valencia (2020) chronologies, as it represents an exogenous public health event rather than an endogenous financial vulnerability; the 2020 observation is retained in the dataset but assigned to the hold-out set and excluded from cross-validation.</w:t>
      </w:r>
    </w:p>
    <w:p>
      <w:pPr>
        <w:spacing w:after="160" w:before="40"/>
        <w:jc w:val="both"/>
      </w:pPr>
      <w:r>
        <w:rPr>
          <w:rFonts w:ascii="Arial" w:cs="Arial" w:eastAsia="Arial" w:hAnsi="Arial"/>
          <w:sz w:val="22"/>
          <w:szCs w:val="22"/>
        </w:rPr>
        <w:t xml:space="preserve">Three model specifications are estimated and compared. M1 is a logistic regression trained on 19 macro features at lag one only, replicating the transparent linear baseline of Schularick and Taylor (2012). M2 is a Random Forest trained on 41 macro features spanning lags one, two and three, adding non-linear modelling capacity and multi-horizon information while retaining a macro-only feature set. M3 is an XGBoost model trained on 61 features extending M2 with rolling-demeaned FinBERT sentiment features at lags one and two — including level sentiment scores, year-on-year sentiment momentum, three-year rolling mean and standard deviation of negativity, and a four-year OLS slope capturing trend acceleration. Expanding-window cross-validation is applied throughout, with a four-year training burn-in and annual re-estimation from 2007 to 2018; years 2019 and 2020 are held out and evaluated exactly once.</w:t>
      </w:r>
    </w:p>
    <w:p>
      <w:pPr>
        <w:spacing w:after="160" w:before="40"/>
        <w:jc w:val="both"/>
      </w:pPr>
      <w:r>
        <w:rPr>
          <w:rFonts w:ascii="Arial" w:cs="Arial" w:eastAsia="Arial" w:hAnsi="Arial"/>
          <w:sz w:val="22"/>
          <w:szCs w:val="22"/>
        </w:rPr>
        <w:t xml:space="preserve">A structural constraint governs the interpretation of all metrics reported in this chapter. Of the 26 positive cases in the model dataset, the majority appear in 2007 — the year preceding peak GFC onset — within the expanding-window evaluation window. The out-of-sample period therefore approximates a single cross-section of 18 country-year observations rather than a stable multi-period forecasting exercise. All results should be read with this constraint in mind; the robustness analysis in Section 4.5 tests directly whether the reported metrics are inflated by temporal proximity between training and test data.</w:t>
      </w:r>
    </w:p>
    <w:p>
      <w:pPr>
        <w:spacing w:after="80" w:before="0"/>
      </w:pPr>
    </w:p>
    <w:p>
      <w:pPr>
        <w:pStyle w:val="Heading1"/>
        <w:spacing w:after="160" w:before="400"/>
      </w:pPr>
      <w:r>
        <w:rPr>
          <w:rFonts w:ascii="Arial" w:cs="Arial" w:eastAsia="Arial" w:hAnsi="Arial"/>
          <w:b/>
          <w:bCs/>
          <w:color w:val="1F4E79"/>
          <w:sz w:val="30"/>
          <w:szCs w:val="30"/>
        </w:rPr>
        <w:t xml:space="preserve">4.2  Primary Model Comparison</w:t>
      </w:r>
    </w:p>
    <w:p>
      <w:pPr>
        <w:spacing w:after="160" w:before="40"/>
        <w:jc w:val="both"/>
      </w:pPr>
      <w:r>
        <w:rPr>
          <w:rFonts w:ascii="Arial" w:cs="Arial" w:eastAsia="Arial" w:hAnsi="Arial"/>
          <w:sz w:val="22"/>
          <w:szCs w:val="22"/>
        </w:rPr>
        <w:t xml:space="preserve">Table 4.1 presents evaluation metrics for M1, M2 and M3 on the primary H2 target under expanding-window cross-validation, with bootstrap 95 per cent confidence intervals from 1,000 resamples.</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900"/>
        <w:gridCol w:w="1400"/>
        <w:gridCol w:w="900"/>
        <w:gridCol w:w="1000"/>
        <w:gridCol w:w="726"/>
      </w:tblGrid>
      <w:tr>
        <w:trPr>
          <w:tblHeader/>
        </w:trPr>
        <w:tc>
          <w:tcPr>
            <w:tcW w:type="dxa" w:w="26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1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95% CI</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 / Base</w:t>
            </w:r>
          </w:p>
        </w:tc>
        <w:tc>
          <w:tcPr>
            <w:tcW w:type="dxa" w:w="7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Logistic Regression (macro lag1)</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0.9398</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[0.893, 0.976]</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0.4068</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5.0×</w:t>
            </w:r>
          </w:p>
        </w:tc>
        <w:tc>
          <w:tcPr>
            <w:tcW w:type="dxa" w:w="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0.1640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M2: Random Forest (macro lag1–3)</w:t>
            </w:r>
          </w:p>
        </w:tc>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41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0.9840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[0.963, 0.998]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0.8128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9.9×</w:t>
            </w:r>
          </w:p>
        </w:tc>
        <w:tc>
          <w:tcPr>
            <w:tcW w:type="dxa" w:w="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0.0320</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XGBoost + FinBERT (macro + sent)</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61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0.9764</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[0.941, 1.000]</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0.7116</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8.7×</w:t>
            </w:r>
          </w:p>
        </w:tc>
        <w:tc>
          <w:tcPr>
            <w:tcW w:type="dxa" w:w="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0.0531</w:t>
            </w:r>
          </w:p>
        </w:tc>
      </w:tr>
    </w:tbl>
    <w:p>
      <w:pPr>
        <w:spacing w:after="120" w:before="60"/>
      </w:pPr>
      <w:r>
        <w:rPr>
          <w:rFonts w:ascii="Arial" w:cs="Arial" w:eastAsia="Arial" w:hAnsi="Arial"/>
          <w:i/>
          <w:iCs/>
          <w:color w:val="555555"/>
          <w:sz w:val="18"/>
          <w:szCs w:val="18"/>
        </w:rPr>
        <w:t xml:space="preserve">Table 4.1. Expanding-window CV results on H2 (2-year) target. Baseline AUPRC = 0.082. Bootstrap CIs: 1,000 resamples. Events: 26 / 319 observations.</w:t>
      </w:r>
    </w:p>
    <w:p>
      <w:pPr>
        <w:spacing w:after="80" w:before="0"/>
      </w:pPr>
    </w:p>
    <w:p>
      <w:pPr>
        <w:spacing w:after="160" w:before="40"/>
        <w:jc w:val="both"/>
      </w:pPr>
      <w:r>
        <w:rPr>
          <w:rFonts w:ascii="Arial" w:cs="Arial" w:eastAsia="Arial" w:hAnsi="Arial"/>
          <w:sz w:val="22"/>
          <w:szCs w:val="22"/>
        </w:rPr>
        <w:t xml:space="preserve">M1 achieves AUROC 0.940 (95% CI: 0.893–0.976) and AUPRC 0.407, a 5.0× lift over the no-skill baseline. The Brier Score of 0.164 reveals poor probability calibration: the predicted probabilities do not scale appropriately to observed event frequencies, limiting M1's utility in any threshold-based regulatory application. This is consistent with the temporal analysis discussed in Section 4.6, where M1 sustains elevated predicted probabilities throughout the post-GFC period when no further crises occur.</w:t>
      </w:r>
    </w:p>
    <w:p>
      <w:pPr>
        <w:spacing w:after="160" w:before="40"/>
        <w:jc w:val="both"/>
      </w:pPr>
      <w:r>
        <w:rPr>
          <w:rFonts w:ascii="Arial" w:cs="Arial" w:eastAsia="Arial" w:hAnsi="Arial"/>
          <w:sz w:val="22"/>
          <w:szCs w:val="22"/>
        </w:rPr>
        <w:t xml:space="preserve">M2 achieves AUROC 0.984 (95% CI: 0.963–0.998) and AUPRC 0.813, nearly doubling the precision-recall area over M1 and achieving a 9.9× lift over baseline. The Brier Score of 0.032 indicates well-calibrated probabilities directly actionable at regulatory thresholds. The confidence interval is notably narrow relative to M1, reflecting greater prediction stability across bootstrap resamples.</w:t>
      </w:r>
    </w:p>
    <w:p>
      <w:pPr>
        <w:spacing w:after="160" w:before="40"/>
        <w:jc w:val="both"/>
      </w:pPr>
      <w:r>
        <w:rPr>
          <w:rFonts w:ascii="Arial" w:cs="Arial" w:eastAsia="Arial" w:hAnsi="Arial"/>
          <w:sz w:val="22"/>
          <w:szCs w:val="22"/>
        </w:rPr>
        <w:t xml:space="preserve">M3 achieves AUROC 0.976 (95% CI: 0.941–1.000) and AUPRC 0.712, below M2 on both primary metrics. The Brier Score of 0.053, while substantially better than M1, is worse than M2's 0.032. This pattern — that augmenting the macro specification with rolling-demeaned FinBERT sentiment features does not improve and modestly worsens minority-class performance at the primary H2 horizon — is qualified substantially by the horizon-specific analysis in Section 4.4, which reveals that the direction of sentiment's contribution reverses at shorter prediction leads.</w:t>
      </w:r>
    </w:p>
    <w:p>
      <w:pPr>
        <w:spacing w:after="80" w:before="0"/>
      </w:pPr>
    </w:p>
    <w:p>
      <w:pPr>
        <w:pStyle w:val="Heading1"/>
        <w:spacing w:after="160" w:before="400"/>
      </w:pPr>
      <w:r>
        <w:rPr>
          <w:rFonts w:ascii="Arial" w:cs="Arial" w:eastAsia="Arial" w:hAnsi="Arial"/>
          <w:b/>
          <w:bCs/>
          <w:color w:val="1F4E79"/>
          <w:sz w:val="30"/>
          <w:szCs w:val="30"/>
        </w:rPr>
        <w:t xml:space="preserve">4.3  Identification: Decomposing the M1 to M2 Performance Gain</w:t>
      </w:r>
    </w:p>
    <w:p>
      <w:pPr>
        <w:spacing w:after="160" w:before="40"/>
        <w:jc w:val="both"/>
      </w:pPr>
      <w:r>
        <w:rPr>
          <w:rFonts w:ascii="Arial" w:cs="Arial" w:eastAsia="Arial" w:hAnsi="Arial"/>
          <w:sz w:val="22"/>
          <w:szCs w:val="22"/>
        </w:rPr>
        <w:t xml:space="preserve">The M1-to-M2 comparison in Table 4.1 changes two things simultaneously: the model class (logistic regression to Random Forest) and the feature set (lag-1 only to lag-1 through lag-3). Without an intermediate specification, the AUPRC gain cannot be cleanly attributed to either source. Table 4.2 introduces M1b — a logistic regression trained on the full lag-1 to lag-3 feature set — as an intermediate step that isolates the lag effect from the non-linearity effect. All four models are evaluated under the same expanding-window CV on the H1 (one-year) target, which is the target for which events are most concentrated in the early evaluation years.</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900"/>
        <w:gridCol w:w="900"/>
        <w:gridCol w:w="1000"/>
        <w:gridCol w:w="626"/>
      </w:tblGrid>
      <w:tr>
        <w:trPr>
          <w:tblHeader/>
        </w:trPr>
        <w:tc>
          <w:tcPr>
            <w:tcW w:type="dxa" w:w="2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1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AUPRC/Base</w:t>
            </w:r>
          </w:p>
        </w:tc>
        <w:tc>
          <w:tcPr>
            <w:tcW w:type="dxa" w:w="6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LR (lag1 only)</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lag1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0.873</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0.181</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4.4×</w:t>
            </w:r>
          </w:p>
        </w:tc>
        <w:tc>
          <w:tcPr>
            <w:tcW w:type="dxa" w:w="6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0.150</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M1b: LR (lag1–3)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lag1–3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0.790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0.124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3.0×</w:t>
            </w:r>
          </w:p>
        </w:tc>
        <w:tc>
          <w:tcPr>
            <w:tcW w:type="dxa" w:w="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0.160</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(lag1–3)</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Random Forest</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lag1–3</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0.820</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0.152</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3.7×</w:t>
            </w:r>
          </w:p>
        </w:tc>
        <w:tc>
          <w:tcPr>
            <w:tcW w:type="dxa" w:w="6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0.055</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 (macro+sent)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XGBoost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lag1–3 + sent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0.914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0.260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6.4×</w:t>
            </w:r>
          </w:p>
        </w:tc>
        <w:tc>
          <w:tcPr>
            <w:tcW w:type="dxa" w:w="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0.073</w:t>
            </w:r>
          </w:p>
        </w:tc>
      </w:tr>
    </w:tbl>
    <w:p>
      <w:pPr>
        <w:spacing w:after="120" w:before="60"/>
      </w:pPr>
      <w:r>
        <w:rPr>
          <w:rFonts w:ascii="Arial" w:cs="Arial" w:eastAsia="Arial" w:hAnsi="Arial"/>
          <w:i/>
          <w:iCs/>
          <w:color w:val="555555"/>
          <w:sz w:val="18"/>
          <w:szCs w:val="18"/>
        </w:rPr>
        <w:t xml:space="preserve">Table 4.2. Identification analysis under H1 (1-year) target. M1b isolates the lag effect from the non-linearity effect. Base rate = 0.041.</w:t>
      </w:r>
    </w:p>
    <w:p>
      <w:pPr>
        <w:spacing w:after="80" w:before="0"/>
      </w:pPr>
    </w:p>
    <w:p>
      <w:pPr>
        <w:spacing w:after="160" w:before="40"/>
        <w:jc w:val="both"/>
      </w:pPr>
      <w:r>
        <w:rPr>
          <w:rFonts w:ascii="Arial" w:cs="Arial" w:eastAsia="Arial" w:hAnsi="Arial"/>
          <w:sz w:val="22"/>
          <w:szCs w:val="22"/>
        </w:rPr>
        <w:t xml:space="preserve">The M1 to M1b comparison — holding the model class constant at logistic regression while extending the lag structure from lag-1 to lag-1 through lag-3 — produces a counterintuitive result: AUPRC falls from 0.181 to 0.124. Adding 22 additional features to a linear model with 11 positive cases in the evaluation window degrades performance, consistent with overfitting in a high-dimensional, low-event-count setting. The M1b to M2 comparison — holding the feature set constant while switching from logistic regression to Random Forest — recovers some of this loss (AUPRC 0.152), demonstrating that non-linearity is beneficial when the lag-3 feature set is used but cannot fully compensate for the dimensionality burden in a linear specification. The M2 to M3 comparison — adding 20 rolling-demeaned sentiment features to the macro-only RF — produces the largest single gain in this table at the H1 horizon: AUPRC rises from 0.152 to 0.260 (+71%), confirming that at the one-year prediction lead, FinBERT sentiment carries genuine incremental predictive content beyond the macro signal.</w:t>
      </w:r>
    </w:p>
    <w:p>
      <w:pPr>
        <w:spacing w:after="160" w:before="40"/>
        <w:jc w:val="both"/>
      </w:pPr>
      <w:r>
        <w:rPr>
          <w:rFonts w:ascii="Arial" w:cs="Arial" w:eastAsia="Arial" w:hAnsi="Arial"/>
          <w:sz w:val="22"/>
          <w:szCs w:val="22"/>
        </w:rPr>
        <w:t xml:space="preserve">The identification analysis therefore clarifies two findings simultaneously. First, the strong M1-to-M2 AUPRC improvement observed in Table 4.1 at the H2 horizon is not primarily attributable to the additional lag depth: logistic regression with extended lags performs worse than the lag-1 baseline. The gain comes from the non-linear ensemble's ability to exploit complex interactions between credit, interest rates and house prices across multiple historical windows. Second, the apparent underperformance of M3 relative to M2 at H2 is horizon-contingent rather than universal — a finding developed fully in Section 4.4.</w:t>
      </w:r>
    </w:p>
    <w:p>
      <w:pPr>
        <w:spacing w:after="80" w:before="0"/>
      </w:pPr>
    </w:p>
    <w:p>
      <w:pPr>
        <w:pStyle w:val="Heading1"/>
        <w:spacing w:after="160" w:before="400"/>
      </w:pPr>
      <w:r>
        <w:rPr>
          <w:rFonts w:ascii="Arial" w:cs="Arial" w:eastAsia="Arial" w:hAnsi="Arial"/>
          <w:b/>
          <w:bCs/>
          <w:color w:val="1F4E79"/>
          <w:sz w:val="30"/>
          <w:szCs w:val="30"/>
        </w:rPr>
        <w:t xml:space="preserve">4.4  Multi-Horizon Analysis and Sentiment Uplift</w:t>
      </w:r>
    </w:p>
    <w:p>
      <w:pPr>
        <w:pStyle w:val="Heading2"/>
        <w:spacing w:after="120" w:before="280"/>
      </w:pPr>
      <w:r>
        <w:rPr>
          <w:rFonts w:ascii="Arial" w:cs="Arial" w:eastAsia="Arial" w:hAnsi="Arial"/>
          <w:b/>
          <w:bCs/>
          <w:color w:val="2E75B6"/>
          <w:sz w:val="26"/>
          <w:szCs w:val="26"/>
        </w:rPr>
        <w:t xml:space="preserve">4.4.1  M3 Performance Across Prediction Horizons</w:t>
      </w:r>
    </w:p>
    <w:p>
      <w:pPr>
        <w:spacing w:after="160" w:before="40"/>
        <w:jc w:val="both"/>
      </w:pPr>
      <w:r>
        <w:rPr>
          <w:rFonts w:ascii="Arial" w:cs="Arial" w:eastAsia="Arial" w:hAnsi="Arial"/>
          <w:sz w:val="22"/>
          <w:szCs w:val="22"/>
        </w:rPr>
        <w:t xml:space="preserve">Table 4.3 reports M3 performance across three separately estimated prediction horizons. Each target is evaluated using identical models and features; only the definition of the prediction window changes.</w:t>
      </w:r>
    </w:p>
    <w:p>
      <w:pPr>
        <w:spacing w:after="80" w:before="0"/>
      </w:pPr>
    </w:p>
    <w:tbl>
      <w:tblPr>
        <w:tblW w:type="dxa" w:w="71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900"/>
        <w:gridCol w:w="900"/>
        <w:gridCol w:w="1100"/>
        <w:gridCol w:w="726"/>
      </w:tblGrid>
      <w:tr>
        <w:trPr>
          <w:tblHeader/>
        </w:trPr>
        <w:tc>
          <w:tcPr>
            <w:tcW w:type="dxa" w:w="1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Horizon</w:t>
            </w:r>
          </w:p>
        </w:tc>
        <w:tc>
          <w:tcPr>
            <w:tcW w:type="dxa" w:w="2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 Definition</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 / Base</w:t>
            </w:r>
          </w:p>
        </w:tc>
        <w:tc>
          <w:tcPr>
            <w:tcW w:type="dxa" w:w="7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 1-year</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Onset within 1 year</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0.9135</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0.2598</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3.2×</w:t>
            </w:r>
          </w:p>
        </w:tc>
        <w:tc>
          <w:tcPr>
            <w:tcW w:type="dxa" w:w="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0.0725</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 2-year (primary)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Onset within 2 years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0.9764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0.7116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8.7×</w:t>
            </w:r>
          </w:p>
        </w:tc>
        <w:tc>
          <w:tcPr>
            <w:tcW w:type="dxa" w:w="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0.0531</w:t>
            </w:r>
          </w:p>
        </w:tc>
      </w:tr>
      <w:tr>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 3-year</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Onset within 3 years</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0.9742</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0.6982</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8.6×</w:t>
            </w:r>
          </w:p>
        </w:tc>
        <w:tc>
          <w:tcPr>
            <w:tcW w:type="dxa" w:w="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0.0744</w:t>
            </w:r>
          </w:p>
        </w:tc>
      </w:tr>
    </w:tbl>
    <w:p>
      <w:pPr>
        <w:spacing w:after="120" w:before="60"/>
      </w:pPr>
      <w:r>
        <w:rPr>
          <w:rFonts w:ascii="Arial" w:cs="Arial" w:eastAsia="Arial" w:hAnsi="Arial"/>
          <w:i/>
          <w:iCs/>
          <w:color w:val="555555"/>
          <w:sz w:val="18"/>
          <w:szCs w:val="18"/>
        </w:rPr>
        <w:t xml:space="preserve">Table 4.3. M3 performance by prediction horizon. All three horizons share 11 positive cases in the OOS evaluation window. Base rate = 0.051.</w:t>
      </w:r>
    </w:p>
    <w:p>
      <w:pPr>
        <w:spacing w:after="80" w:before="0"/>
      </w:pPr>
    </w:p>
    <w:p>
      <w:pPr>
        <w:spacing w:after="160" w:before="40"/>
        <w:jc w:val="both"/>
      </w:pPr>
      <w:r>
        <w:rPr>
          <w:rFonts w:ascii="Arial" w:cs="Arial" w:eastAsia="Arial" w:hAnsi="Arial"/>
          <w:sz w:val="22"/>
          <w:szCs w:val="22"/>
        </w:rPr>
        <w:t xml:space="preserve">AUPRC collapses at H1 (0.260) relative to H2 (0.712) and H3 (0.698). The near-equality of H2 and H3 performance, with both substantially exceeding H1, indicates that the model's predictive information is distributed across the medium-term horizon rather than concentrated immediately before crisis onset. This motivates the multi-lag feature design: a single lag-1 specification, as in M1, discards the majority of the available early-warning signal.</w:t>
      </w:r>
    </w:p>
    <w:p>
      <w:pPr>
        <w:spacing w:after="160" w:before="40"/>
        <w:jc w:val="both"/>
      </w:pPr>
      <w:r>
        <w:rPr>
          <w:rFonts w:ascii="Arial" w:cs="Arial" w:eastAsia="Arial" w:hAnsi="Arial"/>
          <w:sz w:val="22"/>
          <w:szCs w:val="22"/>
        </w:rPr>
        <w:t xml:space="preserve">The H1 collapse is economically interpretable. At a one-year lead, the macro imbalances that have been accumulating over the credit cycle are already large and visible in JST ratios — yet at this proximity to onset, supervisory interventions, policy communications and market corrections may have already begun, introducing noise into the same indicators. The macro-only model therefore struggles to separate signal from this noise at short leads, which creates the opportunity for the sentiment channel observed next.</w:t>
      </w:r>
    </w:p>
    <w:p>
      <w:pPr>
        <w:pStyle w:val="Heading2"/>
        <w:spacing w:after="120" w:before="280"/>
      </w:pPr>
      <w:r>
        <w:rPr>
          <w:rFonts w:ascii="Arial" w:cs="Arial" w:eastAsia="Arial" w:hAnsi="Arial"/>
          <w:b/>
          <w:bCs/>
          <w:color w:val="2E75B6"/>
          <w:sz w:val="26"/>
          <w:szCs w:val="26"/>
        </w:rPr>
        <w:t xml:space="preserve">4.4.2  Horizon-Contingent Sentiment Contribution — the Key Finding</w:t>
      </w:r>
    </w:p>
    <w:p>
      <w:pPr>
        <w:spacing w:after="160" w:before="40"/>
        <w:jc w:val="both"/>
      </w:pPr>
      <w:r>
        <w:rPr>
          <w:rFonts w:ascii="Arial" w:cs="Arial" w:eastAsia="Arial" w:hAnsi="Arial"/>
          <w:sz w:val="22"/>
          <w:szCs w:val="22"/>
        </w:rPr>
        <w:t xml:space="preserve">Table 4.4 presents the most substantive finding of this study: the AUPRC difference between M2 (macro only) and M3 (macro plus sentiment) computed separately at each prediction horizon. This analysis, absent from the primary comparison in Table 4.1, reveals that sentiment's contribution reverses direction across horizons.</w:t>
      </w:r>
    </w:p>
    <w:p>
      <w:pPr>
        <w:spacing w:after="80" w:before="0"/>
      </w:pP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200"/>
        <w:gridCol w:w="1100"/>
        <w:gridCol w:w="1326"/>
      </w:tblGrid>
      <w:tr>
        <w:trPr>
          <w:tblHeader/>
        </w:trPr>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Horizon</w:t>
            </w:r>
          </w:p>
        </w:tc>
        <w:tc>
          <w:tcPr>
            <w:tcW w:type="dxa" w:w="1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M2 AUPRC
(macro only)</w:t>
            </w:r>
          </w:p>
        </w:tc>
        <w:tc>
          <w:tcPr>
            <w:tcW w:type="dxa" w:w="1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M3 AUPRC
(macro+sent)</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Uplift
(M3 − M2)</w:t>
            </w:r>
          </w:p>
        </w:tc>
        <w:tc>
          <w:tcPr>
            <w:tcW w:type="dxa" w:w="1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Relative
change</w:t>
            </w:r>
          </w:p>
        </w:tc>
        <w:tc>
          <w:tcPr>
            <w:tcW w:type="dxa" w:w="13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 1-year</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0.152</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0.260</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+0.108</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+71%</w:t>
            </w:r>
          </w:p>
        </w:tc>
        <w:tc>
          <w:tcPr>
            <w:tcW w:type="dxa" w:w="13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Sentiment helps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 2-year (primary)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0.813</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0.712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−12%</w:t>
            </w:r>
          </w:p>
        </w:tc>
        <w:tc>
          <w:tcPr>
            <w:tcW w:type="dxa" w:w="1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Sentiment hurts</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 3-year</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0.825</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0.698</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−0.127</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−15%</w:t>
            </w:r>
          </w:p>
        </w:tc>
        <w:tc>
          <w:tcPr>
            <w:tcW w:type="dxa" w:w="13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Sentiment hurts</w:t>
            </w:r>
          </w:p>
        </w:tc>
      </w:tr>
    </w:tbl>
    <w:p>
      <w:pPr>
        <w:spacing w:after="120" w:before="60"/>
      </w:pPr>
      <w:r>
        <w:rPr>
          <w:rFonts w:ascii="Arial" w:cs="Arial" w:eastAsia="Arial" w:hAnsi="Arial"/>
          <w:i/>
          <w:iCs/>
          <w:color w:val="555555"/>
          <w:sz w:val="18"/>
          <w:szCs w:val="18"/>
        </w:rPr>
        <w:t xml:space="preserve">Table 4.4. AUPRC uplift from adding FinBERT sentiment to the macro-only specification, by prediction horizon. Positive uplift = sentiment improves minority-class precision; negative uplift = sentiment degrades it.</w:t>
      </w:r>
    </w:p>
    <w:p>
      <w:pPr>
        <w:spacing w:after="80" w:before="0"/>
      </w:pPr>
    </w:p>
    <w:p>
      <w:pPr>
        <w:spacing w:after="160" w:before="40"/>
        <w:jc w:val="both"/>
      </w:pPr>
      <w:r>
        <w:rPr>
          <w:rFonts w:ascii="Arial" w:cs="Arial" w:eastAsia="Arial" w:hAnsi="Arial"/>
          <w:sz w:val="22"/>
          <w:szCs w:val="22"/>
        </w:rPr>
        <w:t xml:space="preserve">At the one-year horizon, M3 outperforms M2 by 10.8 AUPRC points — a 71 per cent relative improvement. At the two-year and three-year horizons, M3 underperforms M2 by 10.1 and 12.7 AUPRC points respectively. The reversal is large and consistent in direction.</w:t>
      </w:r>
    </w:p>
    <w:p>
      <w:pPr>
        <w:spacing w:after="160" w:before="40"/>
        <w:jc w:val="both"/>
      </w:pPr>
      <w:r>
        <w:rPr>
          <w:rFonts w:ascii="Arial" w:cs="Arial" w:eastAsia="Arial" w:hAnsi="Arial"/>
          <w:sz w:val="22"/>
          <w:szCs w:val="22"/>
        </w:rPr>
        <w:t xml:space="preserve">The mechanism is interpretable within the credit-cycle framework. At two-to-three year leads, macro imbalances — credit growth, house price appreciation, compressed term spreads — are already large enough to be detected clearly in annual JST ratios. The macro features dominate and the 20 additional sentiment features introduce noise, reducing precision at the decision threshold. At the one-year lead, macro indicators have not yet fully separated vulnerable from non-vulnerable economies with the same clarity: balance sheet deterioration may be building but not yet crystallised in annual aggregate data. Central bank communication tone, captured by the rolling-demeaned FinBERT scores, reflects the governor's near-term assessment before it appears in macro ratios, providing incremental discriminative content that the macro features cannot yet supply.</w:t>
      </w:r>
    </w:p>
    <w:p>
      <w:pPr>
        <w:spacing w:after="160" w:before="40"/>
        <w:jc w:val="both"/>
      </w:pPr>
      <w:r>
        <w:rPr>
          <w:rFonts w:ascii="Arial" w:cs="Arial" w:eastAsia="Arial" w:hAnsi="Arial"/>
          <w:sz w:val="22"/>
          <w:szCs w:val="22"/>
        </w:rPr>
        <w:t xml:space="preserve">This horizon-contingent pattern resolves the apparent tension between the primary comparison (M3 underperforms M2 at H2) and the SHAP evidence (sentiment contributes 12.1% of model attribution). The full-data SHAP values reflect the model's weighting across all observations — including the 2007 cross-section where one-year-ahead signals are relevant — while the AUPRC comparison at H2 reflects two-year-ahead discriminative performance. Both are correct, but they measure different things. The reconciliation is that sentiment is </w:t>
      </w:r>
      <w:r>
        <w:rPr>
          <w:rFonts w:ascii="Arial" w:cs="Arial" w:eastAsia="Arial" w:hAnsi="Arial"/>
          <w:i/>
          <w:iCs/>
          <w:sz w:val="22"/>
          <w:szCs w:val="22"/>
        </w:rPr>
        <w:t xml:space="preserve">informative at short prediction leads and redundant at longer ones,</w:t>
      </w:r>
      <w:r>
        <w:rPr>
          <w:rFonts w:ascii="Arial" w:cs="Arial" w:eastAsia="Arial" w:hAnsi="Arial"/>
          <w:sz w:val="22"/>
          <w:szCs w:val="22"/>
        </w:rPr>
        <w:t xml:space="preserve"> and the aggregate SHAP contribution reflects a mixture of these two roles.</w:t>
      </w:r>
    </w:p>
    <w:p>
      <w:pPr>
        <w:spacing w:after="160" w:before="40"/>
        <w:jc w:val="both"/>
      </w:pPr>
      <w:r>
        <w:rPr>
          <w:rFonts w:ascii="Arial" w:cs="Arial" w:eastAsia="Arial" w:hAnsi="Arial"/>
          <w:b/>
          <w:bCs/>
          <w:sz w:val="22"/>
          <w:szCs w:val="22"/>
        </w:rPr>
        <w:t xml:space="preserve">H1 (Discrimination)</w:t>
      </w:r>
      <w:r>
        <w:rPr>
          <w:rFonts w:ascii="Arial" w:cs="Arial" w:eastAsia="Arial" w:hAnsi="Arial"/>
          <w:sz w:val="22"/>
          <w:szCs w:val="22"/>
        </w:rPr>
        <w:t xml:space="preserve">: This hypothesis is not supported at the primary H2 horizon (M3 AUPRC 0.712 &lt; M2 AUPRC 0.813). It is supported at H1, where M3 achieves AUPRC 0.260 against M2's 0.152 (+71%). The contribution of FinBERT sentiment is horizon-contingent rather than uniformly positive or uniformly absent.</w:t>
      </w:r>
    </w:p>
    <w:p>
      <w:pPr>
        <w:spacing w:after="80" w:before="0"/>
      </w:pPr>
    </w:p>
    <w:p>
      <w:pPr>
        <w:pStyle w:val="Heading1"/>
        <w:spacing w:after="160" w:before="400"/>
      </w:pPr>
      <w:r>
        <w:rPr>
          <w:rFonts w:ascii="Arial" w:cs="Arial" w:eastAsia="Arial" w:hAnsi="Arial"/>
          <w:b/>
          <w:bCs/>
          <w:color w:val="1F4E79"/>
          <w:sz w:val="30"/>
          <w:szCs w:val="30"/>
        </w:rPr>
        <w:t xml:space="preserve">4.5  Robustness: Strict Temporal Validation</w:t>
      </w:r>
    </w:p>
    <w:p>
      <w:pPr>
        <w:spacing w:after="160" w:before="40"/>
        <w:jc w:val="both"/>
      </w:pPr>
      <w:r>
        <w:rPr>
          <w:rFonts w:ascii="Arial" w:cs="Arial" w:eastAsia="Arial" w:hAnsi="Arial"/>
          <w:sz w:val="22"/>
          <w:szCs w:val="22"/>
        </w:rPr>
        <w:t xml:space="preserve">The expanding-window AUROC values in Table 4.1 are substantially higher than the 0.70–0.85 range typically reported in the EWS literature on JST-type data (Beutel et al., 2019). As noted in Section 4.1, this reflects in part the structural concentration of crisis events in a single evaluation year (2007), which limits the number of independent observations on which discrimination is measured. To assess whether the metrics are further inflated by temporal proximity between training and test data, a strict temporal split validation was applied: models were trained exclusively on 2003–2005 — a pure pre-crisis period with no GFC observations — and tested on 2006–2009, the GFC build-up and onset window.</w:t>
      </w:r>
    </w:p>
    <w:p>
      <w:pPr>
        <w:spacing w:after="80" w:before="0"/>
      </w:pP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900"/>
        <w:gridCol w:w="900"/>
        <w:gridCol w:w="1426"/>
      </w:tblGrid>
      <w:tr>
        <w:trPr>
          <w:tblHeader/>
        </w:trPr>
        <w:tc>
          <w:tcPr>
            <w:tcW w:type="dxa" w:w="2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Train period</w:t>
            </w:r>
          </w:p>
        </w:tc>
        <w:tc>
          <w:tcPr>
            <w:tcW w:type="dxa" w:w="1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 period</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4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Events (test)</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(macro lag1–3)</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0.421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0.378</w:t>
            </w:r>
          </w:p>
        </w:tc>
        <w:tc>
          <w:tcPr>
            <w:tcW w:type="dxa" w:w="14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vs 0.041 base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XGB+sent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0.582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0.446</w:t>
            </w:r>
          </w:p>
        </w:tc>
        <w:tc>
          <w:tcPr>
            <w:tcW w:type="dxa" w:w="1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vs 0.041 base</w:t>
            </w:r>
          </w:p>
        </w:tc>
      </w:tr>
    </w:tbl>
    <w:p>
      <w:pPr>
        <w:spacing w:after="120" w:before="60"/>
      </w:pPr>
      <w:r>
        <w:rPr>
          <w:rFonts w:ascii="Arial" w:cs="Arial" w:eastAsia="Arial" w:hAnsi="Arial"/>
          <w:i/>
          <w:iCs/>
          <w:color w:val="555555"/>
          <w:sz w:val="18"/>
          <w:szCs w:val="18"/>
        </w:rPr>
        <w:t xml:space="preserve">Table 4.5. Strict temporal validation: train on pure pre-crisis data only, test on GFC period. Baseline AUPRC = 0.041. Compare with expanding-window results: M2 0.813, M3 0.712.</w:t>
      </w:r>
    </w:p>
    <w:p>
      <w:pPr>
        <w:spacing w:after="80" w:before="0"/>
      </w:pPr>
    </w:p>
    <w:p>
      <w:pPr>
        <w:spacing w:after="160" w:before="40"/>
        <w:jc w:val="both"/>
      </w:pPr>
      <w:r>
        <w:rPr>
          <w:rFonts w:ascii="Arial" w:cs="Arial" w:eastAsia="Arial" w:hAnsi="Arial"/>
          <w:sz w:val="22"/>
          <w:szCs w:val="22"/>
        </w:rPr>
        <w:t xml:space="preserve">Under strict pre-GFC training, M2 AUROC falls to 0.421 and AUPRC to 0.378 — well below both the expanding-window estimates and the literature benchmark. This confirms that the headline metrics in Table 4.1 are partially inflated: the expanding-window design allows the model to incorporate information from years increasingly close to the GFC, reducing the genuine out-of-sample nature of the test. All results in this study should accordingly be understood as estimates from a single crisis episode, with the performance values in Table 4.1 representing an upper bound on what would be achievable in a genuine prospective application.</w:t>
      </w:r>
    </w:p>
    <w:p>
      <w:pPr>
        <w:spacing w:after="160" w:before="40"/>
        <w:jc w:val="both"/>
      </w:pPr>
      <w:r>
        <w:rPr>
          <w:rFonts w:ascii="Arial" w:cs="Arial" w:eastAsia="Arial" w:hAnsi="Arial"/>
          <w:sz w:val="22"/>
          <w:szCs w:val="22"/>
        </w:rPr>
        <w:t xml:space="preserve">The strict validation yields a second finding of equal interest: M3 outperforms M2 under pre-GFC training conditions, with AUPRC 0.446 against 0.378 — a reversal of the primary comparison in Table 4.1. This reversal is consistent with the horizon analysis in Section 4.4. When the model is trained exclusively on pre-crisis data, the macro features have not yet absorbed GFC-period pattern information from later expanding-window folds, creating space for the FinBERT sentiment features to contribute the incremental early-warning content they carry at short leads. The expanding-window result where M2 dominates M3 may therefore partly reflect macro variables learning to use GFC-specific configurations in later training years, crowding out the sentiment contribution. Under genuinely pre-crisis training conditions, FinBERT sentiment provides measurable incremental value beyond the macro specification.</w:t>
      </w:r>
    </w:p>
    <w:p>
      <w:pPr>
        <w:spacing w:after="160" w:before="40"/>
        <w:jc w:val="both"/>
      </w:pPr>
      <w:r>
        <w:rPr>
          <w:rFonts w:ascii="Arial" w:cs="Arial" w:eastAsia="Arial" w:hAnsi="Arial"/>
          <w:b/>
          <w:bCs/>
          <w:sz w:val="22"/>
          <w:szCs w:val="22"/>
        </w:rPr>
        <w:t xml:space="preserve">H3 (Interpretability trade-off)</w:t>
      </w:r>
      <w:r>
        <w:rPr>
          <w:rFonts w:ascii="Arial" w:cs="Arial" w:eastAsia="Arial" w:hAnsi="Arial"/>
          <w:sz w:val="22"/>
          <w:szCs w:val="22"/>
        </w:rPr>
        <w:t xml:space="preserve">: Supported at the M1-to-M2 transition, where a substantial AUPRC gain (+40.6 points at H2) is accompanied by a shift from native log-odds transparency to post-hoc SHAP attribution. Not supported in the direction anticipated at M2-to-M3: adding sentiment features increases model complexity without improving AUPRC at the primary horizon, though the strict validation and H1 analysis indicate a genuine capability trade-off that depends on training conditions and prediction lead.</w:t>
      </w:r>
    </w:p>
    <w:p>
      <w:pPr>
        <w:spacing w:after="80" w:before="0"/>
      </w:pPr>
    </w:p>
    <w:p>
      <w:pPr>
        <w:pStyle w:val="Heading1"/>
        <w:spacing w:after="160" w:before="400"/>
      </w:pPr>
      <w:r>
        <w:rPr>
          <w:rFonts w:ascii="Arial" w:cs="Arial" w:eastAsia="Arial" w:hAnsi="Arial"/>
          <w:b/>
          <w:bCs/>
          <w:color w:val="1F4E79"/>
          <w:sz w:val="30"/>
          <w:szCs w:val="30"/>
        </w:rPr>
        <w:t xml:space="preserve">4.6  SHAP Feature Attribution</w:t>
      </w:r>
    </w:p>
    <w:p>
      <w:pPr>
        <w:pStyle w:val="Heading2"/>
        <w:spacing w:after="120" w:before="280"/>
      </w:pPr>
      <w:r>
        <w:rPr>
          <w:rFonts w:ascii="Arial" w:cs="Arial" w:eastAsia="Arial" w:hAnsi="Arial"/>
          <w:b/>
          <w:bCs/>
          <w:color w:val="2E75B6"/>
          <w:sz w:val="26"/>
          <w:szCs w:val="26"/>
        </w:rPr>
        <w:t xml:space="preserve">4.6.1  Aggregate Attribution by Lag Depth</w:t>
      </w:r>
    </w:p>
    <w:p>
      <w:pPr>
        <w:spacing w:after="160" w:before="40"/>
        <w:jc w:val="both"/>
      </w:pPr>
      <w:r>
        <w:rPr>
          <w:rFonts w:ascii="Arial" w:cs="Arial" w:eastAsia="Arial" w:hAnsi="Arial"/>
          <w:sz w:val="22"/>
          <w:szCs w:val="22"/>
        </w:rPr>
        <w:t xml:space="preserve">SHAP attribution decomposed by feature group and lag depth confirms that macro features collectively account for 87.9 per cent of aggregate importance in M3 (total SHAP mass 8.081 of 9.197). Sentiment features account for 12.1 per cent (1.116), compared to 3.5 per cent under static country-mean demeaning in the earlier augmented_lags specification. The 8.6 percentage point increase confirms that rolling three-year deviation demeaning — which measures how much more negative sentiment is relative to recent history rather than the country's full-sample average — extracts substantially more genuine early-warning content from the FinBERT scores.</w:t>
      </w:r>
    </w:p>
    <w:p>
      <w:pPr>
        <w:spacing w:after="160" w:before="40"/>
        <w:jc w:val="both"/>
      </w:pPr>
      <w:r>
        <w:rPr>
          <w:rFonts w:ascii="Arial" w:cs="Arial" w:eastAsia="Arial" w:hAnsi="Arial"/>
          <w:sz w:val="22"/>
          <w:szCs w:val="22"/>
        </w:rPr>
        <w:t xml:space="preserve">Within the macro group, the three-year lag dominates (3.001), marginally ahead of the one-year lag (2.861) and substantially ahead of the two-year lag (2.220). This U-shaped pattern across lag depths — strongest at three years, weaker at two years, then recovering at one year — is consistent with the credit cycle literature. Systemic vulnerabilities accumulate over long periods and are detectable at the three-year horizon in measures such as credit-to-GDP ratios and broad money growth; these signals weaken at two years as conditions become more heterogeneous across the sample, then re-emerge at one year as balance sheet stress becomes directly observable in annual flow variables.</w:t>
      </w:r>
    </w:p>
    <w:p>
      <w:pPr>
        <w:spacing w:after="160" w:before="40"/>
        <w:jc w:val="both"/>
      </w:pPr>
      <w:r>
        <w:rPr>
          <w:rFonts w:ascii="Arial" w:cs="Arial" w:eastAsia="Arial" w:hAnsi="Arial"/>
          <w:sz w:val="22"/>
          <w:szCs w:val="22"/>
        </w:rPr>
        <w:t xml:space="preserve">Sentiment model attribution — conditional on the included macro features — should not be interpreted as an independent economic contribution. The 12.1 per cent attribution reflects the model's weighting given a correlated feature space; it does not establish that sentiment carries information orthogonal to the macro channel. The Granger analysis in Section 4.7 addresses this distinction directly.</w:t>
      </w:r>
    </w:p>
    <w:p>
      <w:pPr>
        <w:pStyle w:val="Heading2"/>
        <w:spacing w:after="120" w:before="280"/>
      </w:pPr>
      <w:r>
        <w:rPr>
          <w:rFonts w:ascii="Arial" w:cs="Arial" w:eastAsia="Arial" w:hAnsi="Arial"/>
          <w:b/>
          <w:bCs/>
          <w:color w:val="2E75B6"/>
          <w:sz w:val="26"/>
          <w:szCs w:val="26"/>
        </w:rPr>
        <w:t xml:space="preserve">4.6.2  Individual Feature Importance and Stability</w:t>
      </w:r>
    </w:p>
    <w:p>
      <w:pPr>
        <w:spacing w:after="160" w:before="40"/>
        <w:jc w:val="both"/>
      </w:pPr>
      <w:r>
        <w:rPr>
          <w:rFonts w:ascii="Arial" w:cs="Arial" w:eastAsia="Arial" w:hAnsi="Arial"/>
          <w:sz w:val="22"/>
          <w:szCs w:val="22"/>
        </w:rPr>
        <w:t xml:space="preserve">The top-20 individual feature ranking (Figure 4.5) shows broad money at the two-year lag (money_lag2_dm) as the single most important predictor, followed by mortgage loan growth rate at one year (tmort_gr_lag1_dm) and total credit at three years (tloans_lag3_dm). Interest rate variables — short-term rate at lags two and three, the term spread at lags one and three — appear persistently across the top fifteen, consistent with their role as indicators of monetary tightening preceding financial distress. The first FinBERT feature, rolling-demeaned positive sentiment at one year (P_pos_lag1_rdm), ranks twelfth. Notably, it is the decline in positive tone — language becoming less optimistic relative to recent history — rather than a rise in explicit negativity that carries the strongest individual sentiment signal, consistent with the institutionally constrained register of central bank communication.</w:t>
      </w:r>
    </w:p>
    <w:p>
      <w:pPr>
        <w:spacing w:after="160" w:before="40"/>
        <w:jc w:val="both"/>
      </w:pPr>
      <w:r>
        <w:rPr>
          <w:rFonts w:ascii="Arial" w:cs="Arial" w:eastAsia="Arial" w:hAnsi="Arial"/>
          <w:sz w:val="22"/>
          <w:szCs w:val="22"/>
        </w:rPr>
        <w:t xml:space="preserve">The fold-stability chart (Figure 4.6) reveals wide standard deviations for the top-ranked features, particularly total credit at lag three (tloans_lag3_dm, mean |SHAP| approximately 2.0, standard deviation approximately 0.8). With crisis cases concentrated in a single evaluation fold, SHAP estimates computed across folds are driven disproportionately by the 2007 cross-section. Feature rankings are therefore indicative of model behaviour on GFC-type crises rather than stable importance orderings generalisable beyond the sample period.</w:t>
      </w:r>
    </w:p>
    <w:p>
      <w:pPr>
        <w:spacing w:after="160" w:before="40"/>
        <w:jc w:val="both"/>
      </w:pPr>
      <w:r>
        <w:rPr>
          <w:rFonts w:ascii="Arial" w:cs="Arial" w:eastAsia="Arial" w:hAnsi="Arial"/>
          <w:b/>
          <w:bCs/>
          <w:sz w:val="22"/>
          <w:szCs w:val="22"/>
        </w:rPr>
        <w:t xml:space="preserve">H2 (Feature relevance)</w:t>
      </w:r>
      <w:r>
        <w:rPr>
          <w:rFonts w:ascii="Arial" w:cs="Arial" w:eastAsia="Arial" w:hAnsi="Arial"/>
          <w:sz w:val="22"/>
          <w:szCs w:val="22"/>
        </w:rPr>
        <w:t xml:space="preserve">: Not supported in its strict formulation — the highest-ranked sentiment feature (P_pos_lag1_rdm) ranks twelfth, not within the top five. The hypothesis is weakly supported: three sentiment features appear in the top twenty, the aggregate sentiment attribution doubled from 3.5 per cent to 12.1 per cent under rolling demeaning, and the H1 analysis demonstrates that sentiment Granger-contributes to short-horizon discrimination. Taken together, sentiment carries genuine but modest and horizon-contingent predictive content, not the prominent independent signal that H2 anticipated.</w:t>
      </w:r>
    </w:p>
    <w:p>
      <w:pPr>
        <w:spacing w:after="80" w:before="0"/>
      </w:pPr>
    </w:p>
    <w:p>
      <w:pPr>
        <w:pStyle w:val="Heading1"/>
        <w:spacing w:after="160" w:before="400"/>
      </w:pPr>
      <w:r>
        <w:rPr>
          <w:rFonts w:ascii="Arial" w:cs="Arial" w:eastAsia="Arial" w:hAnsi="Arial"/>
          <w:b/>
          <w:bCs/>
          <w:color w:val="1F4E79"/>
          <w:sz w:val="30"/>
          <w:szCs w:val="30"/>
        </w:rPr>
        <w:t xml:space="preserve">4.7  Granger Causality Analysis</w:t>
      </w:r>
    </w:p>
    <w:p>
      <w:pPr>
        <w:spacing w:after="160" w:before="40"/>
        <w:jc w:val="both"/>
      </w:pPr>
      <w:r>
        <w:rPr>
          <w:rFonts w:ascii="Arial" w:cs="Arial" w:eastAsia="Arial" w:hAnsi="Arial"/>
          <w:sz w:val="22"/>
          <w:szCs w:val="22"/>
        </w:rPr>
        <w:t xml:space="preserve">To investigate the causal mechanism linking FinBERT sentiment to crisis dynamics, Granger causality tests (Granger, 1969) were applied to each of the 18 sample economies. The null hypothesis in each case is that lagged P_neg does not Granger-cause the outcome variable beyond the outcome's own history, tested at up to two lags with annual data. Two outcomes were examined: credit growth (tloans YoY change) and crisis onset (crisisjst).</w:t>
      </w:r>
    </w:p>
    <w:p>
      <w:pPr>
        <w:spacing w:after="160" w:before="40"/>
        <w:jc w:val="both"/>
      </w:pPr>
      <w:r>
        <w:rPr>
          <w:rFonts w:ascii="Arial" w:cs="Arial" w:eastAsia="Arial" w:hAnsi="Arial"/>
          <w:sz w:val="22"/>
          <w:szCs w:val="22"/>
        </w:rPr>
        <w:t xml:space="preserve">For credit growth, the null was rejected at the five per cent level in only 2 of 18 countries (Japan and Norway), with a median p-value of 0.547 and a pooled panel F-statistic of 0.861 (p = 0.424). For crisis onset, the null was rejected in 1 of 13 testable countries (Denmark only), with a median p-value of 0.400 and a pooled F = 2.401 (p = 0.092), falling just short of the ten per cent threshold. Both tests return a verdict of weak evidence: the null cannot be rejected in the majority of countries and the pooled panel confirms the absence of aggregate Granger causality.</w:t>
      </w:r>
    </w:p>
    <w:p>
      <w:pPr>
        <w:spacing w:after="160" w:before="40"/>
        <w:jc w:val="both"/>
      </w:pPr>
      <w:r>
        <w:rPr>
          <w:rFonts w:ascii="Arial" w:cs="Arial" w:eastAsia="Arial" w:hAnsi="Arial"/>
          <w:sz w:val="22"/>
          <w:szCs w:val="22"/>
        </w:rPr>
        <w:t xml:space="preserve">These results should be interpreted cautiously given the structural limitations of the test in this setting. With 26 positive cases and at most 20 annual observations per country, the statistical power of bivariate Granger tests is substantially limited. Failure to reject the null is not equivalent to evidence that no causal relationship exists; it is equally consistent with a genuine predictive relationship that the tests cannot detect at this frequency and sample size. Dufour and Renault (1998) note that Granger non-causality at short horizons does not preclude causality at longer ones. The Granger analysis therefore provides suggestive rather than definitive evidence on the causal channel.</w:t>
      </w:r>
    </w:p>
    <w:p>
      <w:pPr>
        <w:spacing w:after="160" w:before="40"/>
        <w:jc w:val="both"/>
      </w:pPr>
      <w:r>
        <w:rPr>
          <w:rFonts w:ascii="Arial" w:cs="Arial" w:eastAsia="Arial" w:hAnsi="Arial"/>
          <w:sz w:val="22"/>
          <w:szCs w:val="22"/>
        </w:rPr>
        <w:t xml:space="preserve">What the results do support is the interpretation that, at annual frequency and country-level aggregation, FinBERT P_neg does not systematically lead either credit dynamics or crisis onset in the panel as a whole. This is consistent with the AUPRC results at H2 and H3: when macro variables have already absorbed the multi-year credit cycle signal, sentiment adds no independently identifiable predictive content. The one-year horizon finding — where sentiment improves AUPRC by 71 per cent over the macro baseline — is not contradicted by the Granger results, because at short leads the Granger-endogeneity of sentiment to macro conditions is less disqualifying: even a contemporaneous relationship can carry predictive value at a one-year forecast horizon.</w:t>
      </w:r>
    </w:p>
    <w:p>
      <w:pPr>
        <w:spacing w:after="80" w:before="0"/>
      </w:pPr>
    </w:p>
    <w:p>
      <w:pPr>
        <w:pStyle w:val="Heading1"/>
        <w:spacing w:after="160" w:before="400"/>
      </w:pPr>
      <w:r>
        <w:rPr>
          <w:rFonts w:ascii="Arial" w:cs="Arial" w:eastAsia="Arial" w:hAnsi="Arial"/>
          <w:b/>
          <w:bCs/>
          <w:color w:val="1F4E79"/>
          <w:sz w:val="30"/>
          <w:szCs w:val="30"/>
        </w:rPr>
        <w:t xml:space="preserve">4.8  Synthesis and Hypothesis Assessment</w:t>
      </w:r>
    </w:p>
    <w:p>
      <w:pPr>
        <w:spacing w:after="160" w:before="40"/>
        <w:jc w:val="both"/>
      </w:pPr>
      <w:r>
        <w:rPr>
          <w:rFonts w:ascii="Arial" w:cs="Arial" w:eastAsia="Arial" w:hAnsi="Arial"/>
          <w:sz w:val="22"/>
          <w:szCs w:val="22"/>
        </w:rPr>
        <w:t xml:space="preserve">The five analyses presented in this chapter — primary model comparison, identification decomposition, multi-horizon evaluation, strict temporal validation and SHAP attribution — converge on a coherent and more nuanced account than the primary metrics in Table 4.1 suggest in isolation.</w:t>
      </w:r>
    </w:p>
    <w:p>
      <w:pPr>
        <w:spacing w:after="160" w:before="40"/>
        <w:jc w:val="both"/>
      </w:pPr>
      <w:r>
        <w:rPr>
          <w:rFonts w:ascii="Arial" w:cs="Arial" w:eastAsia="Arial" w:hAnsi="Arial"/>
          <w:sz w:val="22"/>
          <w:szCs w:val="22"/>
        </w:rPr>
        <w:t xml:space="preserve">The dominant finding is that multi-lag macro features drive early-warning performance, with the M2 Random Forest achieving AUPRC 0.813 at the primary H2 horizon under expanding-window evaluation. This gain over the single-lag logistic baseline (M1 AUPRC 0.407) is attributable primarily to the non-linear ensemble structure: the identification analysis demonstrates that extending the lag structure alone, within a linear model, degrades rather than improves performance in this small-sample setting. The strict temporal validation establishes that the headline M2 AUROC of 0.984 is inflated relative to a genuinely out-of-sample benchmark; under pre-GFC training, M2 achieves AUROC 0.421 and AUPRC 0.378, below but non-trivially above the no-skill baseline of 0.041 (a 9.2× lift). The model identifies genuinely vulnerable economies from pre-crisis data but with substantially less precision than the expanding-window headline metrics suggest.</w:t>
      </w:r>
    </w:p>
    <w:p>
      <w:pPr>
        <w:spacing w:after="160" w:before="40"/>
        <w:jc w:val="both"/>
      </w:pPr>
      <w:r>
        <w:rPr>
          <w:rFonts w:ascii="Arial" w:cs="Arial" w:eastAsia="Arial" w:hAnsi="Arial"/>
          <w:sz w:val="22"/>
          <w:szCs w:val="22"/>
        </w:rPr>
        <w:t xml:space="preserve">The FinBERT sentiment contribution is horizon-contingent. At the two-year and three-year prediction leads, sentiment features degrade AUPRC by 10–13 points relative to the macro-only specification, consistent with Granger evidence that sentiment does not systematically lead credit dynamics at annual frequency. At the one-year lead, sentiment improves AUPRC by 10.8 points (+71% relative), and reverses the model ranking under strict pre-GFC training (M3 AUPRC 0.446 vs M2 AUPRC 0.378). The mechanism is that central bank communication tone reflects near-term assessments before they crystallise in annual macro ratios: FinBERT negativity and positivity carry short-horizon early-warning content precisely when balance sheet data are not yet informative. The rolling deviation demeaning specification — measuring how sentiment departs from recent country history rather than a fixed country average — captures substantially more of this content than static demeaning, raising the aggregate SHAP attribution from 3.5 per cent to 12.1 per cent.</w:t>
      </w:r>
    </w:p>
    <w:p>
      <w:pPr>
        <w:spacing w:after="160" w:before="40"/>
        <w:jc w:val="both"/>
      </w:pPr>
      <w:r>
        <w:rPr>
          <w:rFonts w:ascii="Arial" w:cs="Arial" w:eastAsia="Arial" w:hAnsi="Arial"/>
          <w:sz w:val="22"/>
          <w:szCs w:val="22"/>
        </w:rPr>
        <w:t xml:space="preserve">Table 4.6 summarises the disposition of the three study hypotheses under the full evidence set.</w:t>
      </w:r>
    </w:p>
    <w:p>
      <w:pPr>
        <w:spacing w:after="80" w:before="0"/>
      </w:pP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1726"/>
      </w:tblGrid>
      <w:tr>
        <w:trPr>
          <w:tblHeader/>
        </w:trPr>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Hypothesis</w:t>
            </w:r>
          </w:p>
        </w:tc>
        <w:tc>
          <w:tcPr>
            <w:tcW w:type="dxa" w:w="2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Prediction</w:t>
            </w:r>
          </w:p>
        </w:tc>
        <w:tc>
          <w:tcPr>
            <w:tcW w:type="dxa" w:w="3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7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Discrimination</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achieves higher AUROC/AUPRC than macro-only benchmark</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AUPRC &lt; M2 at H2 and H3; M3 AUPRC &gt; M2 at H1 (+71%). Strict validation: M3 &gt; M2 (0.446 vs 0.378).</w:t>
            </w:r>
          </w:p>
        </w:tc>
        <w:tc>
          <w:tcPr>
            <w:tcW w:type="dxa" w:w="1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Not supported at primary H2. Supported at H1. Horizon-contingent.</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Feature relevance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FinBERT feature ranks top-5 by SHAP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Highest sentiment feature ranks 12th. Aggregate attribution 12.1%. Three features in top-20.</w:t>
            </w:r>
          </w:p>
        </w:tc>
        <w:tc>
          <w:tcPr>
            <w:tcW w:type="dxa" w:w="1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Not supported in strict form. Weakly supported overall.</w:t>
            </w:r>
          </w:p>
        </w:tc>
      </w:tr>
      <w:tr>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Interpretability trade-off</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Quantifiable trade-off across M1→M2→M3</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Clear trade-off at M1→M2 (AUPRC +40.6 pts, loss of transparency). M2→M3: complexity added, H2/H3 AUPRC lost; H1 AUPRC gained.</w:t>
            </w:r>
          </w:p>
        </w:tc>
        <w:tc>
          <w:tcPr>
            <w:tcW w:type="dxa" w:w="17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Partially supported. Trade-off is horizon-contingent at M2→M3.</w:t>
            </w:r>
          </w:p>
        </w:tc>
      </w:tr>
    </w:tbl>
    <w:p>
      <w:pPr>
        <w:spacing w:after="120" w:before="60"/>
      </w:pPr>
      <w:r>
        <w:rPr>
          <w:rFonts w:ascii="Arial" w:cs="Arial" w:eastAsia="Arial" w:hAnsi="Arial"/>
          <w:i/>
          <w:iCs/>
          <w:color w:val="555555"/>
          <w:sz w:val="18"/>
          <w:szCs w:val="18"/>
        </w:rPr>
        <w:t xml:space="preserve">Table 4.6. Hypothesis assessment. All verdicts reflect the complete evidence including identification, horizon and robustness analyses.</w:t>
      </w:r>
    </w:p>
    <w:p>
      <w:pPr>
        <w:spacing w:after="80" w:before="0"/>
      </w:pPr>
    </w:p>
    <w:p>
      <w:pPr>
        <w:pBdr>
          <w:bottom w:val="single" w:color="D0D0D0" w:sz="4" w:space="1"/>
        </w:pBdr>
        <w:spacing w:after="160" w:before="160"/>
      </w:pPr>
    </w:p>
    <w:p>
      <w:pPr>
        <w:spacing w:after="0" w:before="160"/>
      </w:pPr>
      <w:r>
        <w:rPr>
          <w:rFonts w:ascii="Arial" w:cs="Arial" w:eastAsia="Arial" w:hAnsi="Arial"/>
          <w:i/>
          <w:iCs/>
          <w:color w:val="888888"/>
          <w:sz w:val="17"/>
          <w:szCs w:val="17"/>
        </w:rPr>
        <w:t xml:space="preserve">Draft: April 2026. All results from the sentiment_improved pipeline (NB04–NB08). Strict validation from 08_Robustness_Checks.ipynb. Figures referenced in this chapter saved to figures/sentiment_improved/ and figures/robustness/.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Chapter 4: Results — Papachristos MSc Dissertation  |  p.</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2026-04-04T20:51:05.786Z</dcterms:created>
  <dcterms:modified xsi:type="dcterms:W3CDTF">2026-04-04T20:51:05.788Z</dcterms:modified>
</cp:coreProperties>
</file>

<file path=docProps/custom.xml><?xml version="1.0" encoding="utf-8"?>
<Properties xmlns="http://schemas.openxmlformats.org/officeDocument/2006/custom-properties" xmlns:vt="http://schemas.openxmlformats.org/officeDocument/2006/docPropsVTypes"/>
</file>