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Cs/>
          <w:i/>
        </w:rPr>
        <w:t xml:space="preserve">Economic Crisis Prediction: Improving the Trade-off Between Interpretability and Statistical Accuracy in ML-Enhanced Crisis Prediction Models</w:t>
      </w:r>
    </w:p>
    <w:p>
      <w:pPr>
        <w:pStyle w:val="BodyText"/>
      </w:pPr>
      <w:r>
        <w:t xml:space="preserve">Pavlos Papachristos • PP24589 • MSc Artificial Intelligence, University of Essex Online • April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dissertation examines whether LLM-derived sentiment signals from central bank communications can measurably improve the statistical accuracy of machine learning-based economic crisis prediction models. The analysis employs a two-stage design applied to 18 advanced economies over an extended panel (1989–2020 for macro models; 2003–2020 for sentiment-augmented models), combining the JST Macrohistory Database R6 with FinBERT-derived sentiment scores from 16,622 BIS Central Bank Speeches. Three model specifications are estimated and compared: a Logistic Regression baseline (M1), a Random Forest macro model (M2), and an XGBoost hybrid augmented with FinBERT sentiment features (M3). A model averaging extension (M4) following Holopainen and Sarlin (2017) is introduced as an additional contribution.</w:t>
      </w:r>
    </w:p>
    <w:p>
      <w:pPr>
        <w:pStyle w:val="BodyText"/>
      </w:pPr>
      <w:r>
        <w:t xml:space="preserve">The central empirical finding is a negative one: extending macro training history across multiple pre-GFC crisis regimes does not resolve the early-warning system generalisation problem. M2 achieves AUROC 0.476 — below the random classifier threshold — in strict temporal validation, constituting systematic model failure under genuinely prospective evaluation. This result implies that the standard early-warning modelling framework, which assumes a single stable mapping between macro-financial indicators and crisis risk, is fundamentally misspecified in the presence of heterogeneous crisis-generating mechanisms.</w:t>
      </w:r>
    </w:p>
    <w:p>
      <w:pPr>
        <w:pStyle w:val="BodyText"/>
      </w:pPr>
      <w:r>
        <w:t xml:space="preserve">Within the Stage 2 cross-sectional evaluation — cross-sectional country ranking within the 2007 GFC episode rather than temporal forecasting — M3 achieves AUPRC 0.411 against M2-matched’s 0.343, a directional gain that is not statistically confirmed (bootstrap 95% CI spanning zero). M4 outperforms both components on all primary metrics (AUROC 0.943, AUPRC 0.440, Brier Score 0.057), with a disagreement analysis confirming that ensemble gains concentrate at crisis observations where individual model uncertainty is highest. A 2007 cross-sectional analysis identifies partial discrimination between fundamental credit-boom crises (mean M4 probability 0.599) and contagion-driven cases (0.281), providing qualified evidence of mechanism-specific signal. Three hypotheses are assessed: H1 (discrimination) is supported directionally but not statistically confirmed; H2 (feature relevance) is not supported in strict formulation; H3 (interpretability trade-off) is supported and quantified across the M1→M2→M3 progression.</w:t>
      </w:r>
    </w:p>
    <w:p>
      <w:pPr>
        <w:pStyle w:val="BodyText"/>
      </w:pPr>
      <w:r>
        <w:t xml:space="preserve">The dissertation contributes to the EWS literature by providing the first systematic FinBERT pipeline for the BIS speeches corpus, demonstrating empirically the regime heterogeneity problem in macro-financial crisis prediction, and introducing a model averaging extension with a quantified disagreement analysis. Future work directions include topic modelling approaches following Ho, Moench and Steeley (2022), full Bayesian Model Averaging, and incorporation of cross-country financial contagion network features.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early-warning systems, banking crises, FinBERT, central bank communication, Random Forest, XGBoost, SHAP, model averaging, regime heterogeneity, JST Macrohistory Database</w:t>
      </w:r>
    </w:p>
    <w:p>
      <w:r>
        <w:pict>
          <v:rect style="width:0;height:1.5pt" o:hralign="center" o:hrstd="t" o:hr="t"/>
        </w:pict>
      </w:r>
    </w:p>
    <w:bookmarkEnd w:id="20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styleId="Heading2" w:type="paragraph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E9E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2026-04-09T21:57:42Z</dcterms:created>
  <dcterms:modified xsi:type="dcterms:W3CDTF">2026-04-09T21:57:42Z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