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hapter-1-introduction"/>
    <w:p>
      <w:pPr>
        <w:pStyle w:val="Heading1"/>
      </w:pPr>
      <w:r>
        <w:t xml:space="preserve">Chapter 1: Introduction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background-and-motivation"/>
    <w:p>
      <w:pPr>
        <w:pStyle w:val="Heading2"/>
      </w:pPr>
      <w:r>
        <w:t xml:space="preserve">1.1 Background and Motivation</w:t>
      </w:r>
    </w:p>
    <w:p>
      <w:pPr>
        <w:pStyle w:val="FirstParagraph"/>
      </w:pPr>
      <w:r>
        <w:t xml:space="preserve">Systemic banking crises inflict severe and persistent damage on economies. Output losses from major crisis episodes typically reach ten to twenty per cent of gross domestic product, unemployment rises sharply, and public finances deteriorate through the combined pressures of bank recapitalisation costs and reduced tax revenues (Laeven and Valencia, 2020). The Global Financial Crisis of 2007–2009 alone is estimated to have permanently reduced output in affected economies by between five and ten per cent relative to pre-crisis trend (Reinhart and Rogoff, 2009). Given these costs, early warning of systemic stress is not a technical exercise but a macroprudential necessity: the ability to detect building financial vulnerabilities before they crystallise into crisis would allow policymakers to intervene, adjust countercyclical buffers, and mitigate the most severe economic consequences.</w:t>
      </w:r>
    </w:p>
    <w:p>
      <w:pPr>
        <w:pStyle w:val="BodyText"/>
      </w:pPr>
      <w:r>
        <w:t xml:space="preserve">Early-warning systems (EWS) for banking crises have been studied systematically since the late 1990s, with the dominant paradigm resting on the observation that credit expansions — rapid growth in lending relative to the productive capacity of the economy — reliably precede systemic stress (Kaminsky and Reinhart, 1999; Schularick and Taylor, 2012). The strength of this empirical regularity in historical data has motivated a generation of macro-indicator-based models and shaped the design of regulatory frameworks such as the Basel III countercyclical capital buffer. However, the empirical record of these models in genuinely prospective settings — trained on pre-crisis data and evaluated on subsequent crises they could not have observed — is considerably weaker than expanding-window or in-sample results suggest (Beutel, List and von Schweinitz, 2019).</w:t>
      </w:r>
    </w:p>
    <w:p>
      <w:pPr>
        <w:pStyle w:val="BodyText"/>
      </w:pPr>
      <w:r>
        <w:t xml:space="preserve">Two developments motivate the present study. The first is the availability of large language models capable of processing central bank communication at scale. Policymakers have long recognised that the cautious and hedged language of central bank governors reflects emerging financial stress before it appears in any macro ratio, but extracting this signal systematically from thousands of speeches was not computationally feasible until recently. The second development is the maturation of machine learning methods — Random Forests, gradient boosting, and SHAP-based interpretability tools — that offer the non-linear modelling capacity needed to detect complex interactions among financial vulnerability indicators while retaining sufficient transparency for regulatory application.</w:t>
      </w:r>
    </w:p>
    <w:p>
      <w:pPr>
        <w:pStyle w:val="BodyText"/>
      </w:pPr>
      <w:r>
        <w:t xml:space="preserve">The theoretical basis for expecting central bank sentiment to carry predictive content rests on the communication literature. Morris and Shin (2002) demonstrate that public signals from credible institutions disproportionately anchor private expectations, creating coordination effects that can amplify or dampen systemic risk independently of underlying fundamentals. Blinder et al. (2008) document that sustained shifts in the tone of central bank communication alter financial conditions through at least two channels: an expectations channel, where forward guidance shapes beliefs about future credit availability, and a risk-appetite channel, where language about systemic vulnerabilities influences investor positioning. The implied causal chain — communication tone to expectations to credit dynamics to crisis probability — is the channel this dissertation tests empirically.</w:t>
      </w:r>
    </w:p>
    <w:bookmarkEnd w:id="20"/>
    <w:bookmarkStart w:id="21" w:name="research-gap"/>
    <w:p>
      <w:pPr>
        <w:pStyle w:val="Heading2"/>
      </w:pPr>
      <w:r>
        <w:t xml:space="preserve">1.2 Research Gap</w:t>
      </w:r>
    </w:p>
    <w:p>
      <w:pPr>
        <w:pStyle w:val="FirstParagraph"/>
      </w:pPr>
      <w:r>
        <w:t xml:space="preserve">Whilst the integration of natural language processing with macro-financial modelling has attracted growing research interest, several gaps remain in the empirical literature. First, existing studies combining textual signals with structured macro data typically evaluate model performance under expanding-window or in-sample designs that may overstate prospective predictive power (Holopainen and Sarlin, 2017). The critical test — whether a model trained exclusively on pre-crisis data can identify the GFC in genuinely out-of-sample conditions — has rarely been applied rigorously. Second, studies that report discrimination gains from sentiment augmentation seldom examine whether those gains are stable across different crisis types or evaluation regimes, leaving unresolved whether observed improvements reflect genuine signal or sample-specific artefacts. Third, the interpretability-accuracy trade-off inherent in the progression from logistic regression through non-linear ensemble methods has not been systematically quantified in a sentiment-augmented EWS context.</w:t>
      </w:r>
    </w:p>
    <w:p>
      <w:pPr>
        <w:pStyle w:val="BodyText"/>
      </w:pPr>
      <w:r>
        <w:t xml:space="preserve">This study addresses all three gaps through a two-stage augmented analysis that extends existing macro-only EWS designs with FinBERT-derived central bank sentiment, applies strict temporal validation alongside standard expanding-window evaluation, and employs SHAP-based decomposition to attribute model predictions to macro and sentiment feature groups.</w:t>
      </w:r>
    </w:p>
    <w:bookmarkEnd w:id="21"/>
    <w:bookmarkStart w:id="22" w:name="research-questions-and-hypotheses"/>
    <w:p>
      <w:pPr>
        <w:pStyle w:val="Heading2"/>
      </w:pPr>
      <w:r>
        <w:t xml:space="preserve">1.3 Research Questions and Hypotheses</w:t>
      </w:r>
    </w:p>
    <w:p>
      <w:pPr>
        <w:pStyle w:val="FirstParagraph"/>
      </w:pPr>
      <w:r>
        <w:t xml:space="preserve">The main research question asks:</w:t>
      </w:r>
      <w:r>
        <w:t xml:space="preserve"> </w:t>
      </w:r>
      <w:r>
        <w:rPr>
          <w:iCs/>
          <w:i/>
        </w:rPr>
        <w:t xml:space="preserve">Can the integration of LLM-derived sentiment signals from central bank communications measurably improve the statistical accuracy of ML-based economic crisis prediction models, while preserving sufficient interpretability for risk management applications?</w:t>
      </w:r>
    </w:p>
    <w:p>
      <w:pPr>
        <w:pStyle w:val="BodyText"/>
      </w:pPr>
      <w:r>
        <w:t xml:space="preserve">Three subsidiary questions structure the empirical investigation:</w:t>
      </w:r>
    </w:p>
    <w:p>
      <w:pPr>
        <w:pStyle w:val="BodyText"/>
      </w:pPr>
      <w:r>
        <w:rPr>
          <w:bCs/>
          <w:b/>
        </w:rPr>
        <w:t xml:space="preserve">SQ1.</w:t>
      </w:r>
      <w:r>
        <w:t xml:space="preserve"> </w:t>
      </w:r>
      <w:r>
        <w:t xml:space="preserve">Does FinBERT-derived central bank sentiment provide statistically significant predictive power for systemic banking crises, over and above standard macro-financial indicators from the JST Macrohistory Database?</w:t>
      </w:r>
    </w:p>
    <w:p>
      <w:pPr>
        <w:pStyle w:val="BodyText"/>
      </w:pPr>
      <w:r>
        <w:rPr>
          <w:bCs/>
          <w:b/>
        </w:rPr>
        <w:t xml:space="preserve">SQ2.</w:t>
      </w:r>
      <w:r>
        <w:t xml:space="preserve"> </w:t>
      </w:r>
      <w:r>
        <w:t xml:space="preserve">What is the quantifiable trade-off between predictive accuracy and model interpretability when progressing from logistic regression through Random Forest to the gradient-boosted sentiment-augmented hybrid?</w:t>
      </w:r>
    </w:p>
    <w:p>
      <w:pPr>
        <w:pStyle w:val="BodyText"/>
      </w:pPr>
      <w:r>
        <w:rPr>
          <w:bCs/>
          <w:b/>
        </w:rPr>
        <w:t xml:space="preserve">SQ3.</w:t>
      </w:r>
      <w:r>
        <w:t xml:space="preserve"> </w:t>
      </w:r>
      <w:r>
        <w:t xml:space="preserve">Which macro-financial and sentiment features are most predictive in the one-to-two-year pre-crisis window, and do the SHAP-attributed drivers align with the financial vulnerability literature?</w:t>
      </w:r>
    </w:p>
    <w:p>
      <w:pPr>
        <w:pStyle w:val="BodyText"/>
      </w:pPr>
      <w:r>
        <w:t xml:space="preserve">Three corresponding hypotheses guide the analysis:</w:t>
      </w:r>
    </w:p>
    <w:p>
      <w:pPr>
        <w:pStyle w:val="BodyText"/>
      </w:pPr>
      <w:r>
        <w:rPr>
          <w:bCs/>
          <w:b/>
        </w:rPr>
        <w:t xml:space="preserve">H1 (Discrimination):</w:t>
      </w:r>
      <w:r>
        <w:t xml:space="preserve"> </w:t>
      </w:r>
      <w:r>
        <w:t xml:space="preserve">M3 will achieve higher discriminative performance than a macro-only model of equivalent complexity, indicating a genuine predictive contribution from FinBERT sentiment features beyond what macro-financial indicators capture alone.</w:t>
      </w:r>
    </w:p>
    <w:p>
      <w:pPr>
        <w:pStyle w:val="BodyText"/>
      </w:pPr>
      <w:r>
        <w:rPr>
          <w:bCs/>
          <w:b/>
        </w:rPr>
        <w:t xml:space="preserve">H2 (Feature relevance):</w:t>
      </w:r>
      <w:r>
        <w:t xml:space="preserve"> </w:t>
      </w:r>
      <w:r>
        <w:t xml:space="preserve">FinBERT sentiment features will contribute materially to M3’s predictions, appearing as substantive drivers of crisis probability in global feature attribution rather than being absorbed by macro covariates.</w:t>
      </w:r>
    </w:p>
    <w:p>
      <w:pPr>
        <w:pStyle w:val="BodyText"/>
      </w:pPr>
      <w:r>
        <w:rPr>
          <w:bCs/>
          <w:b/>
        </w:rPr>
        <w:t xml:space="preserve">H3 (Interpretability trade-off):</w:t>
      </w:r>
      <w:r>
        <w:t xml:space="preserve"> </w:t>
      </w:r>
      <w:r>
        <w:t xml:space="preserve">A quantifiable accuracy–interpretability trade-off will be observable across the M1→M2→M3 progression, with accuracy gains from non-linearity and sentiment augmentation accompanied by a reduction in native model transparency.</w:t>
      </w:r>
    </w:p>
    <w:bookmarkEnd w:id="22"/>
    <w:bookmarkStart w:id="23" w:name="study-design-overview"/>
    <w:p>
      <w:pPr>
        <w:pStyle w:val="Heading2"/>
      </w:pPr>
      <w:r>
        <w:t xml:space="preserve">1.4 Study Design Overview</w:t>
      </w:r>
    </w:p>
    <w:p>
      <w:pPr>
        <w:pStyle w:val="FirstParagraph"/>
      </w:pPr>
      <w:r>
        <w:t xml:space="preserve">The empirical analysis employs a two-stage design. Stage 1 estimates macro-only models (M1: Logistic Regression; M2: Random Forest) on an extended panel spanning 1989–2020, incorporating the JST Macrohistory Database R6 across 18 advanced economies. The extension beyond the original 2003–2020 window is motivated by a demonstrated generalisation failure: M2 trained exclusively on the 2003–2020 period achieves AUROC below random in strict temporal validation, and including pre-GFC crisis episodes (the Nordic cluster 1991, Japan 1997) provides additional training variation. Stage 2 estimates the sentiment-augmented model (M3: XGBoost with FinBERT features) and a matched macro baseline (M2-matched) on the 2003–2020 sentiment overlap window, enabling a controlled comparison that holds data composition constant while varying feature set. A model averaging extension (M4), inspired by Holopainen and Sarlin (2017), is introduced as an additional contribution: M4 is defined as the equal-weighted average of M2-matched and M3 out-of-sample predicted probabilities.</w:t>
      </w:r>
    </w:p>
    <w:p>
      <w:pPr>
        <w:pStyle w:val="BodyText"/>
      </w:pPr>
      <w:r>
        <w:t xml:space="preserve">Evaluation employs AUROC, AUPRC, Brier Score, and the Alessi-Detken (2018) Usefulness Score across expanding-window cross-validation folds, with strict temporal validation and leave-one-country-out robustness checks.</w:t>
      </w:r>
    </w:p>
    <w:bookmarkEnd w:id="23"/>
    <w:bookmarkStart w:id="24" w:name="contributions"/>
    <w:p>
      <w:pPr>
        <w:pStyle w:val="Heading2"/>
      </w:pPr>
      <w:r>
        <w:t xml:space="preserve">1.5 Contributions</w:t>
      </w:r>
    </w:p>
    <w:p>
      <w:pPr>
        <w:pStyle w:val="FirstParagraph"/>
      </w:pPr>
      <w:r>
        <w:t xml:space="preserve">This dissertation makes four interconnected contributions to the EWS literature. First, it provides empirical evidence that extending macro training history across multiple crisis regimes does not resolve the EWS generalisation problem, demonstrating that the standard single-model EWS framework is fundamentally misspecified in the presence of regime heterogeneity. Second, it delivers the first systematic integration of FinBERT-derived central bank sentiment from 16,622 BIS speeches with JST macro data across 18 advanced economies, a pipeline constructed independently for this study. Third, it introduces a model averaging extension grounded in Holopainen and Sarlin (2017) that outperforms component models on all primary metrics within the evaluation window, with a disagreement analysis quantifying where ensemble averaging adds most value. Fourth, it provides a 2007 cross-sectional analysis that identifies partial discrimination between fundamental and contagion-driven crisis types — a dimension absent from standard EWS evaluation designs.</w:t>
      </w:r>
    </w:p>
    <w:bookmarkEnd w:id="24"/>
    <w:bookmarkStart w:id="25" w:name="chapter-outline"/>
    <w:p>
      <w:pPr>
        <w:pStyle w:val="Heading2"/>
      </w:pPr>
      <w:r>
        <w:t xml:space="preserve">1.6 Chapter Outline</w:t>
      </w:r>
    </w:p>
    <w:p>
      <w:pPr>
        <w:pStyle w:val="FirstParagraph"/>
      </w:pPr>
      <w:r>
        <w:t xml:space="preserve">Chapter 2 reviews the theoretical and empirical literature on early-warning systems, machine learning in macro-financial forecasting, and central bank communication. Chapter 3 describes the data sources, model specifications, feature engineering procedures, and evaluation framework. Chapter 4 presents the empirical results across both stages, including robustness checks, SHAP attribution, and the ensemble extension. Chapter 5 discusses the results in the context of the EWS literature and their implications for model design and regulatory application. Chapter 6 concludes with a statement of contributions, acknowledged limitations, and directions for future research.</w:t>
      </w:r>
    </w:p>
    <w:p>
      <w:r>
        <w:pict>
          <v:rect style="width:0;height:1.5pt" o:hralign="center" o:hrstd="t" o:hr="t"/>
        </w:pict>
      </w:r>
    </w:p>
    <w:p>
      <w:pPr>
        <w:pStyle w:val="FirstParagraph"/>
      </w:pPr>
      <w:r>
        <w:rPr>
          <w:iCs/>
          <w:i/>
        </w:rPr>
        <w:t xml:space="preserve">Chapter 1 drafted: April 2026</w:t>
      </w:r>
    </w:p>
    <w:bookmarkEnd w:id="25"/>
    <w:bookmarkEnd w:id="26"/>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2026-04-09T21:57:43Z</dcterms:created>
  <dcterms:modified xsi:type="dcterms:W3CDTF">2026-04-09T21:57:43Z</dcterms:modified>
</cp:coreProperties>
</file>

<file path=docProps/custom.xml><?xml version="1.0" encoding="utf-8"?>
<Properties xmlns="http://schemas.openxmlformats.org/officeDocument/2006/custom-properties" xmlns:vt="http://schemas.openxmlformats.org/officeDocument/2006/docPropsVTypes"/>
</file>