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apter-2-literature-review"/>
    <w:p>
      <w:pPr>
        <w:pStyle w:val="Heading1"/>
      </w:pPr>
      <w:r>
        <w:t xml:space="preserve">Chapter 2: Literature Review</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
    <w:p>
      <w:pPr>
        <w:pStyle w:val="Heading2"/>
      </w:pPr>
      <w:r>
        <w:t xml:space="preserve">2.1 Overview</w:t>
      </w:r>
    </w:p>
    <w:p>
      <w:pPr>
        <w:pStyle w:val="FirstParagraph"/>
      </w:pPr>
      <w:r>
        <w:t xml:space="preserve">This chapter reviews the theoretical and empirical foundations of the present study across four areas: the macro-financial EWS literature; the application of machine learning to crisis prediction; the central bank communication and text analysis literature; and interpretability methods for non-linear financial models. The review is selective rather than exhaustive, focusing on contributions that directly motivate the design choices and evaluation criteria of the empirical analysis.</w:t>
      </w:r>
    </w:p>
    <w:bookmarkEnd w:id="20"/>
    <w:bookmarkStart w:id="21" w:name="macro-financial-early-warning-systems"/>
    <w:p>
      <w:pPr>
        <w:pStyle w:val="Heading2"/>
      </w:pPr>
      <w:r>
        <w:t xml:space="preserve">2.2 Macro-Financial Early-Warning Systems</w:t>
      </w:r>
    </w:p>
    <w:p>
      <w:pPr>
        <w:pStyle w:val="FirstParagraph"/>
      </w:pPr>
      <w:r>
        <w:t xml:space="preserve">The systematic study of leading indicators for banking crises dates to Kaminsky and Reinhart (1999), who construct a signal-extraction framework based on the behaviour of macro and financial variables in the run-up to crisis episodes across 20 countries. Their central finding — that credit and asset price variables breach threshold levels predictably before systemic stress materialises — has shaped the subsequent EWS literature and the design of macroprudential instruments.</w:t>
      </w:r>
    </w:p>
    <w:p>
      <w:pPr>
        <w:pStyle w:val="BodyText"/>
      </w:pPr>
      <w:r>
        <w:t xml:space="preserve">Schularick and Taylor (2012) provide the most influential macro-financial dataset for EWS research, assembling a historical panel spanning 14 advanced economies from 1870 to 2008 and documenting that credit growth is the single most reliable leading indicator of banking crises over a one-to-five-year horizon. Their logistic regression framework, which regresses crisis onset on lagged credit growth, achieves modest but consistent out-of-sample discrimination and serves as the standard linear benchmark in subsequent work. The JST Macrohistory Database, updated to Release 6 (Jordà, Schularick and Taylor, 2017), provides the macro panel used in the present study.</w:t>
      </w:r>
    </w:p>
    <w:p>
      <w:pPr>
        <w:pStyle w:val="BodyText"/>
      </w:pPr>
      <w:r>
        <w:t xml:space="preserve">Beutel, List and von Schweinitz (2019) provide a systematic comparison of macro-indicator-based EWS models, including logistic regression, Random Forests, and gradient-boosted trees, on a panel of 15 EU countries. Their findings are methodologically important for the present study in two respects. First, they demonstrate that Random Forests consistently improve upon logistic regression on AUROC and PR-AUC in out-of-sample evaluation, but that the magnitude of improvement varies substantially across evaluation designs. Second, they introduce the expanding-window cross-validation protocol — where the training window grows annually as each evaluation year is processed — that has become the standard design for temporal EWS validation and that the present study adopts throughout.</w:t>
      </w:r>
    </w:p>
    <w:p>
      <w:pPr>
        <w:pStyle w:val="BodyText"/>
      </w:pPr>
      <w:r>
        <w:t xml:space="preserve">Alessi and Detken (2018) propose the policy usefulness score U(θ), which translates model discrimination into decision-theoretic terms by explicitly modelling the asymmetric loss function of a macroprudential regulator who weights missed crises more heavily than false alarms. This metric bridges the gap between statistical performance and practical policy application, and is employed alongside AUROC and AUPRC in the present evaluation framework.</w:t>
      </w:r>
    </w:p>
    <w:bookmarkEnd w:id="21"/>
    <w:bookmarkStart w:id="22" w:name="X64404035bac59627025761a1e9e736f4f32fea2"/>
    <w:p>
      <w:pPr>
        <w:pStyle w:val="Heading2"/>
      </w:pPr>
      <w:r>
        <w:t xml:space="preserve">2.3 Regime Heterogeneity and the Limits of the Standard EWS Framework</w:t>
      </w:r>
    </w:p>
    <w:p>
      <w:pPr>
        <w:pStyle w:val="FirstParagraph"/>
      </w:pPr>
      <w:r>
        <w:t xml:space="preserve">A less-discussed but empirically significant strand of the EWS literature concerns the stability of predictive relationships across crisis types and historical regimes. Reinhart and Rogoff (2009) document that different historical crisis episodes — Nordic banking crises of the early 1990s, the Japanese asset-deflation crisis, the Asian financial crisis of 1997–1998, and the Global Financial Crisis — exhibit structurally different precursor dynamics. Nordic crises were preceded by financial deregulation and credit booms in an environment of fixed exchange rates; the Japanese crisis reflected protracted asset price deflation and bank balance sheet impairment following an equity and property bubble; the GFC involved complex securitisation chains, wholesale funding dependence, and cross-border contagion that macro credit indicators captured only partially in advance.</w:t>
      </w:r>
    </w:p>
    <w:p>
      <w:pPr>
        <w:pStyle w:val="BodyText"/>
      </w:pPr>
      <w:r>
        <w:t xml:space="preserve">This heterogeneity has direct implications for EWS model design. A model trained on one crisis type may be effectively misspecified when applied to another: the relationship between macro-financial indicators and crisis risk differs across regimes, violating the implicit stationarity assumption of a single stable mapping between predictors and outcomes. Holopainen and Sarlin (2017) acknowledge this issue in their comprehensive model comparison study, noting that model rankings are sensitive to the composition of the evaluation sample and that no single specification dominates across all crisis configurations. The present study provides direct empirical evidence of this problem through its strict temporal validation design.</w:t>
      </w:r>
    </w:p>
    <w:p>
      <w:pPr>
        <w:pStyle w:val="BodyText"/>
      </w:pPr>
      <w:r>
        <w:t xml:space="preserve">Obstfeld (1996) provides a theoretical account of speculative attack crises — the second-generation currency crisis model — that illustrates a fundamentally different causal mechanism from the credit-boom framework. In Obstfeld’s model, crises can be self-fulfilling: a fixed exchange rate peg can be abandoned even when domestic fundamentals are sound, if market participants coordinate on the expectation that devaluation is imminent. This mechanism implies that macro-financial indicators carry limited predictive power for speculative attack episodes, a prediction consistent with the poor performance of macro-based EWS models on the ERM crisis of 1992 and with the model failure on contagion-driven cases documented in the present study’s cross-sectional analysis.</w:t>
      </w:r>
    </w:p>
    <w:bookmarkEnd w:id="22"/>
    <w:bookmarkStart w:id="23" w:name="machine-learning-in-crisis-prediction"/>
    <w:p>
      <w:pPr>
        <w:pStyle w:val="Heading2"/>
      </w:pPr>
      <w:r>
        <w:t xml:space="preserve">2.4 Machine Learning in Crisis Prediction</w:t>
      </w:r>
    </w:p>
    <w:p>
      <w:pPr>
        <w:pStyle w:val="FirstParagraph"/>
      </w:pPr>
      <w:r>
        <w:t xml:space="preserve">The application of machine learning methods to EWS modelling has accelerated since Beutel et al. (2019), driven by the availability of larger historical datasets and the development of accessible tree-based ensemble libraries. Three themes are relevant to the present study.</w:t>
      </w:r>
    </w:p>
    <w:p>
      <w:pPr>
        <w:pStyle w:val="BodyText"/>
      </w:pPr>
      <w:r>
        <w:t xml:space="preserve">The first concerns the discrimination-calibration distinction. Non-linear ensemble methods — Random Forests and gradient-boosted trees — consistently outperform logistic regression on AUROC in out-of-sample evaluation but do not uniformly produce better-calibrated probability estimates (Brier Score). This is because ensemble methods are optimised for discrimination, not for probabilistic accuracy across all threshold levels. Calibration is practically important in a macroprudential context because policy interventions are triggered at specific probability thresholds: a model that ranks crisis countries correctly but assigns poorly scaled probabilities may mislead the timing of intervention. The present study addresses this through isotonic calibration of M3 within each expanding-window fold, using scikit-learn’s CalibratedClassifierCV.</w:t>
      </w:r>
    </w:p>
    <w:p>
      <w:pPr>
        <w:pStyle w:val="BodyText"/>
      </w:pPr>
      <w:r>
        <w:t xml:space="preserve">The second theme concerns class imbalance. Systemic banking crises are rare events — typically five to fifteen per cent of country-year observations in advanced economy panels — and standard learning objectives do not produce well-calibrated classifiers under this degree of imbalance. The appropriate mitigation strategy — inverse-frequency weighting, oversampling, or threshold optimisation — has been debated in the applied EWS literature. The present study employs expanding-window class weighting, where the positive class weight in each training fold is computed from the fold-specific crisis frequency, adapting to the changing proportion of positive observations as the training window extends.</w:t>
      </w:r>
    </w:p>
    <w:p>
      <w:pPr>
        <w:pStyle w:val="BodyText"/>
      </w:pPr>
      <w:r>
        <w:t xml:space="preserve">The third theme is the model averaging approach introduced by Holopainen and Sarlin (2017), who demonstrate across multiple EWS datasets that equal-weighted averaging of predicted probabilities from individually trained classifiers consistently produces more stable and robust forecasts than selecting a single best performer. Their theoretical motivation is Bayesian: no individual model can be assumed to represent the true data-generating process in small-sample, crisis-concentrated settings, and averaging across models with different architectures and feature sets reduces sensitivity to specification uncertainty. The present study implements this approach as the M4 ensemble, extending the Holopainen and Sarlin framework to a sentiment-augmented setting.</w:t>
      </w:r>
    </w:p>
    <w:bookmarkEnd w:id="23"/>
    <w:bookmarkStart w:id="24" w:name="X509395919d960f807ab8a8acbca7edd58be39b7"/>
    <w:p>
      <w:pPr>
        <w:pStyle w:val="Heading2"/>
      </w:pPr>
      <w:r>
        <w:t xml:space="preserve">2.5 Central Bank Communication and Financial Markets</w:t>
      </w:r>
    </w:p>
    <w:p>
      <w:pPr>
        <w:pStyle w:val="FirstParagraph"/>
      </w:pPr>
      <w:r>
        <w:t xml:space="preserve">The theoretical basis for central bank sentiment as a crisis predictor rests on two related bodies of literature: the information economics literature on public signals and coordination, and the empirical central bank communication literature.</w:t>
      </w:r>
    </w:p>
    <w:p>
      <w:pPr>
        <w:pStyle w:val="BodyText"/>
      </w:pPr>
      <w:r>
        <w:t xml:space="preserve">Morris and Shin (2002) demonstrate formally that public announcements from credible institutions — a category that includes central bank statements — disproportionately influence expectations relative to private information of equivalent precision. Their model implies that sustained shifts in the tone of central bank communication can alter financial conditions and risk-taking behaviour through coordination effects that operate independently of the underlying state of fundamentals. This creates a channel through which communication tone can influence crisis probability, distinct from the channel through which it reflects existing stress.</w:t>
      </w:r>
    </w:p>
    <w:p>
      <w:pPr>
        <w:pStyle w:val="BodyText"/>
      </w:pPr>
      <w:r>
        <w:t xml:space="preserve">Blinder et al. (2008) survey the empirical central bank communication literature and identify two transmission channels. The expectations channel operates through forward guidance: statements about future policy paths alter beliefs about future credit conditions, which feed into current lending and asset pricing decisions. The risk-appetite channel operates through signalling about systemic vulnerabilities: language about financial stability risks influences investor positioning, potentially amplifying or moderating asset price dynamics. Both channels create a lagged predictive relationship between communication tone and financial outcomes that is partially independent of contemporaneous macro indicators.</w:t>
      </w:r>
    </w:p>
    <w:p>
      <w:pPr>
        <w:pStyle w:val="BodyText"/>
      </w:pPr>
      <w:r>
        <w:t xml:space="preserve">More recent empirical work has applied NLP methods to central bank text at scale. Ferrara and Angino (2022) construct a clarity index for ECB communication and document its relationship to financial market conditions. Bekaert, Popov and Thaler (2023) apply transformer-based sentiment classification to central bank speeches from multiple economies and find that communication tone contains information about financial market stress beyond what macro indicators capture. The present study builds on this line of work by applying FinBERT to the full BIS Central Bank Speeches corpus across 18 economies, generating country-year sentiment time series that are merged with the JST macro panel.</w:t>
      </w:r>
    </w:p>
    <w:bookmarkEnd w:id="24"/>
    <w:bookmarkStart w:id="25" w:name="finbert-and-financial-nlp"/>
    <w:p>
      <w:pPr>
        <w:pStyle w:val="Heading2"/>
      </w:pPr>
      <w:r>
        <w:t xml:space="preserve">2.6 FinBERT and Financial NLP</w:t>
      </w:r>
    </w:p>
    <w:p>
      <w:pPr>
        <w:pStyle w:val="FirstParagraph"/>
      </w:pPr>
      <w:r>
        <w:t xml:space="preserve">FinBERT (Huang, Wang and Yang, 2023) is a domain-adapted version of the BERT transformer architecture (Devlin et al., 2019) that has been further pre-trained on financial text and fine-tuned for three-class sentiment classification: positive, negative, and neutral. Its principal advantage over rule-based tools such as the Loughran and McDonald (2011) financial sentiment dictionary is contextual reading: FinBERT correctly classifies phrases like</w:t>
      </w:r>
      <w:r>
        <w:t xml:space="preserve"> </w:t>
      </w:r>
      <w:r>
        <w:t xml:space="preserve">“</w:t>
      </w:r>
      <w:r>
        <w:t xml:space="preserve">significant downside risk</w:t>
      </w:r>
      <w:r>
        <w:t xml:space="preserve">”</w:t>
      </w:r>
      <w:r>
        <w:t xml:space="preserve"> </w:t>
      </w:r>
      <w:r>
        <w:t xml:space="preserve">or</w:t>
      </w:r>
      <w:r>
        <w:t xml:space="preserve"> </w:t>
      </w:r>
      <w:r>
        <w:t xml:space="preserve">“</w:t>
      </w:r>
      <w:r>
        <w:t xml:space="preserve">the committee remains vigilant</w:t>
      </w:r>
      <w:r>
        <w:t xml:space="preserve">”</w:t>
      </w:r>
      <w:r>
        <w:t xml:space="preserve"> </w:t>
      </w:r>
      <w:r>
        <w:t xml:space="preserve">as negative or neutral respectively, even when surface-level vocabulary does not contain standard negative-valence words. This property is essential for the characteristically hedged, indirect language of central bank communication, where explicit negative vocabulary is rare and sentiment is conveyed through modal verbs, qualifiers, and conditional constructions.</w:t>
      </w:r>
    </w:p>
    <w:p>
      <w:pPr>
        <w:pStyle w:val="BodyText"/>
      </w:pPr>
      <w:r>
        <w:t xml:space="preserve">The deployment of FinBERT for inference on 16,622 BIS central bank speeches — the full corpus matched to the 18 sample economies over 1997–2020 — constitutes a methodological contribution of this study, as no pre-computed dataset of this scope and format exists in the public domain. The inference pipeline, tokenisation strategy, and annual country-level aggregation procedure are documented in Chapter 3.</w:t>
      </w:r>
    </w:p>
    <w:p>
      <w:pPr>
        <w:pStyle w:val="BodyText"/>
      </w:pPr>
      <w:r>
        <w:t xml:space="preserve">An important limitation of domain-adapted sentiment models in this context is their training objective. FinBERT was fine-tuned on financial analyst reports and news text, not on central bank communication specifically. The characteristically institutional and policy-oriented language of central bank speeches may not always align with the financial news register on which FinBERT was trained, potentially introducing measurement noise in the sentiment scores. This limitation is acknowledged and motivates the treatment of FinBERT sentiment as a provisional signal requiring empirical validation rather than a theoretically grounded measure.</w:t>
      </w:r>
    </w:p>
    <w:bookmarkEnd w:id="25"/>
    <w:bookmarkStart w:id="26" w:name="shap-interpretability"/>
    <w:p>
      <w:pPr>
        <w:pStyle w:val="Heading2"/>
      </w:pPr>
      <w:r>
        <w:t xml:space="preserve">2.7 SHAP Interpretability</w:t>
      </w:r>
    </w:p>
    <w:p>
      <w:pPr>
        <w:pStyle w:val="FirstParagraph"/>
      </w:pPr>
      <w:r>
        <w:t xml:space="preserve">SHAP (SHapley Additive exPlanations; Lundberg and Lee, 2017) provides a theoretically grounded framework for post-hoc feature attribution based on cooperative game theory. The Shapley value of a feature, as applied to model predictions, measures the average marginal contribution of that feature across all possible subsets of the feature set, providing an additive decomposition of individual predictions that sums exactly to the model output minus the baseline.</w:t>
      </w:r>
    </w:p>
    <w:p>
      <w:pPr>
        <w:pStyle w:val="BodyText"/>
      </w:pPr>
      <w:r>
        <w:t xml:space="preserve">TreeExplainer (Lundberg et al., 2020) implements Shapley values efficiently for tree-based ensemble models — including both Random Forest (M2) and XGBoost (M3) — without requiring Monte Carlo sampling, enabling exact attribution at the country-year observation level. This allows the global feature importance analysis to be conducted on the full dataset rather than a sample, and local analysis to be applied to individual pre-crisis country-year observations.</w:t>
      </w:r>
    </w:p>
    <w:p>
      <w:pPr>
        <w:pStyle w:val="BodyText"/>
      </w:pPr>
      <w:r>
        <w:t xml:space="preserve">Three important qualifications govern SHAP interpretation throughout this study. First, SHAP values are model-conditional: they explain the model’s statistical behaviour, not the underlying causal structure of crises. A high SHAP value for a sentiment feature indicates that the model relied on that feature; it does not establish that the feature causes crises. Second, SHAP rankings in small-sample settings are sensitive to the composition of the evaluation data: the instability of rankings across the original and augmented analyses in this study confirms that SHAP importance reflects sample-specific correlation structures rather than stable economic relationships. Third, interaction effects between correlated features — which are present in any macro-financial dataset — are distributed across features by the Shapley decomposition in ways that may not correspond to intuitive economic attribution.</w:t>
      </w:r>
    </w:p>
    <w:bookmarkEnd w:id="26"/>
    <w:bookmarkStart w:id="27" w:name="summary-and-research-positioning"/>
    <w:p>
      <w:pPr>
        <w:pStyle w:val="Heading2"/>
      </w:pPr>
      <w:r>
        <w:t xml:space="preserve">2.8 Summary and Research Positioning</w:t>
      </w:r>
    </w:p>
    <w:p>
      <w:pPr>
        <w:pStyle w:val="FirstParagraph"/>
      </w:pPr>
      <w:r>
        <w:t xml:space="preserve">The review establishes four positioning points for the present study. First, the standard EWS framework assumes a stable mapping between macro-financial indicators and crisis risk — an assumption that the regime heterogeneity literature calls into question and that the present study tests empirically through strict temporal validation. Second, machine learning methods offer genuine discrimination improvements over logistic regression in expanding-window evaluation but have not been demonstrated to generalise prospectively across structurally different crisis regimes. Third, central bank sentiment contains theoretically motivated predictive content for financial stress, and FinBERT provides a scalable implementation that can process the full BIS speeches corpus, but the stability and causal validity of sentiment-derived predictions requires empirical scrutiny beyond what existing studies have applied. Fourth, model averaging following Holopainen and Sarlin (2017) provides a principled response to model uncertainty in small-sample EWS settings, complementing rather than replacing individual model estimation.</w:t>
      </w:r>
    </w:p>
    <w:p>
      <w:pPr>
        <w:pStyle w:val="BodyText"/>
      </w:pPr>
      <w:r>
        <w:t xml:space="preserve">The present study contributes to each of these areas through a two-stage augmented design that distinguishes macro-only model performance from sentiment augmentation within a controlled evaluation structure, applies both expanding-window and genuinely prospective evaluation, and introduces a model averaging extension grounded in the broader EWS ensemble literature.</w:t>
      </w:r>
    </w:p>
    <w:p>
      <w:r>
        <w:pict>
          <v:rect style="width:0;height:1.5pt" o:hralign="center" o:hrstd="t" o:hr="t"/>
        </w:pict>
      </w:r>
    </w:p>
    <w:p>
      <w:pPr>
        <w:pStyle w:val="FirstParagraph"/>
      </w:pPr>
      <w:r>
        <w:rPr>
          <w:iCs/>
          <w:i/>
        </w:rPr>
        <w:t xml:space="preserve">Chapter 2 drafted: April 2026</w:t>
      </w:r>
    </w:p>
    <w:bookmarkEnd w:id="27"/>
    <w:bookmarkEnd w:id="28"/>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2026-04-09T21:57:43Z</dcterms:created>
  <dcterms:modified xsi:type="dcterms:W3CDTF">2026-04-09T21:57:43Z</dcterms:modified>
</cp:coreProperties>
</file>

<file path=docProps/custom.xml><?xml version="1.0" encoding="utf-8"?>
<Properties xmlns="http://schemas.openxmlformats.org/officeDocument/2006/custom-properties" xmlns:vt="http://schemas.openxmlformats.org/officeDocument/2006/docPropsVTypes"/>
</file>