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hapter-3-methodology"/>
    <w:p>
      <w:pPr>
        <w:pStyle w:val="Heading1"/>
      </w:pPr>
      <w:r>
        <w:t xml:space="preserve">Chapter 3: Methodology</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overview"/>
    <w:p>
      <w:pPr>
        <w:pStyle w:val="Heading2"/>
      </w:pPr>
      <w:r>
        <w:t xml:space="preserve">3.1 Overview</w:t>
      </w:r>
    </w:p>
    <w:p>
      <w:pPr>
        <w:pStyle w:val="FirstParagraph"/>
      </w:pPr>
      <w:r>
        <w:t xml:space="preserve">This chapter documents the data sources, pipeline design, model specifications, feature engineering procedures, and evaluation framework used throughout the empirical analysis. The two-stage design that structures the analysis is described in Section 3.2. Sections 3.3 and 3.4 document the macro-financial and textual data respectively. Sections 3.5 through 3.7 cover feature engineering, model architecture, and the FinBERT pipeline. Section 3.8 describes the evaluation framework and Section 3.9 the ensemble extension. Section 3.10 addresses robustness checks and Section 3.11 ethical considerations.</w:t>
      </w:r>
    </w:p>
    <w:bookmarkEnd w:id="20"/>
    <w:bookmarkStart w:id="21" w:name="two-stage-design"/>
    <w:p>
      <w:pPr>
        <w:pStyle w:val="Heading2"/>
      </w:pPr>
      <w:r>
        <w:t xml:space="preserve">3.2 Two-Stage Design</w:t>
      </w:r>
    </w:p>
    <w:p>
      <w:pPr>
        <w:pStyle w:val="FirstParagraph"/>
      </w:pPr>
      <w:r>
        <w:t xml:space="preserve">The empirical analysis is organised in two stages that reflect the different data availability constraints facing macro-only and sentiment-augmented models.</w:t>
      </w:r>
    </w:p>
    <w:p>
      <w:pPr>
        <w:pStyle w:val="BodyText"/>
      </w:pPr>
      <w:r>
        <w:rPr>
          <w:bCs/>
          <w:b/>
        </w:rPr>
        <w:t xml:space="preserve">Stage 1</w:t>
      </w:r>
      <w:r>
        <w:t xml:space="preserve"> </w:t>
      </w:r>
      <w:r>
        <w:t xml:space="preserve">covers the macro-only models — M1 (Logistic Regression), M1b (Logistic Regression bridge), and M2 (Random Forest) — and uses the full extended panel spanning 1989–2020. After three-year lag construction eliminates the 1985–1988 warm-up rows, the usable dataset comprises 569 country-year observations from 18 advanced economies. The primary prediction target, target_h2, marks a country-year positive if a systemic banking crisis onset falls within the following two years, yielding 37 positive observations (crisis events) against 532 negative, with a base rate of 6.5 per cent. Stage 1 uses an expanding-window design with a four-year burn-in from 1989, producing 26 evaluation folds covering 1993–2018. The years 2019 and 2020 are held out.</w:t>
      </w:r>
    </w:p>
    <w:p>
      <w:pPr>
        <w:pStyle w:val="BodyText"/>
      </w:pPr>
      <w:r>
        <w:rPr>
          <w:bCs/>
          <w:b/>
        </w:rPr>
        <w:t xml:space="preserve">Stage 2</w:t>
      </w:r>
      <w:r>
        <w:t xml:space="preserve"> </w:t>
      </w:r>
      <w:r>
        <w:t xml:space="preserve">covers the sentiment-augmented model (M3) and the matched macro baseline (M2-matched). FinBERT-derived sentiment data from the BIS Central Bank Speeches corpus is available from 2003 onwards; no consistent digitised corpus of earlier speeches exists in a form suitable for NLP processing. Stage 2 is therefore restricted to the 2003–2020 overlap window, yielding 319 usable observations with 26 crisis events and a base rate of 8.15 per cent. Stage 2 uses a four-year burn-in from 2003, producing 12 evaluation folds covering 2007–2018. The years 2019 and 2020 are held out.</w:t>
      </w:r>
    </w:p>
    <w:p>
      <w:pPr>
        <w:pStyle w:val="BodyText"/>
      </w:pPr>
      <w:r>
        <w:t xml:space="preserve">The two-stage design enables two distinct comparisons: within Stage 1, M1, M1b, and M2 are evaluated across a longer and more episodically diverse training history; within Stage 2, M3 is compared against M2-matched — a macro-only specification trained on identical data — providing a controlled test of the incremental value of sentiment.</w:t>
      </w:r>
    </w:p>
    <w:p>
      <w:pPr>
        <w:pStyle w:val="BodyText"/>
      </w:pPr>
      <w:r>
        <w:t xml:space="preserve">The COVID-19 shock is excluded from the crisis chronology on the grounds that it does not satisfy the systemic banking crisis criteria of Laeven and Valencia (2020); the 2020 observation is retained in both datasets and assigned to the held-out set. Denmark’s government debt series is missing in 1997 and is linearly interpolated; Portugal’s house price series is missing in 1985–1987 but these cells are eliminated by lag construction.</w:t>
      </w:r>
    </w:p>
    <w:bookmarkEnd w:id="21"/>
    <w:bookmarkStart w:id="22" w:name="macro-financial-data"/>
    <w:p>
      <w:pPr>
        <w:pStyle w:val="Heading2"/>
      </w:pPr>
      <w:r>
        <w:t xml:space="preserve">3.3 Macro-Financial Data</w:t>
      </w:r>
    </w:p>
    <w:p>
      <w:pPr>
        <w:pStyle w:val="FirstParagraph"/>
      </w:pPr>
      <w:r>
        <w:t xml:space="preserve">Macro-financial data are drawn from the JST Macrohistory Database Release 6 (Jordà, Schularick and Taylor, 2017), which provides an annual panel of macro-financial indicators for 18 advanced economies from 1870 onwards. The 18 sample economies are Australia, Belgium, Canada, Switzerland, Germany, Denmark, Spain, Finland, France, Great Britain, Ireland, Italy, Japan, the Netherlands, Norway, Portugal, Sweden, and the United States.</w:t>
      </w:r>
    </w:p>
    <w:p>
      <w:pPr>
        <w:pStyle w:val="BodyText"/>
      </w:pPr>
      <w:r>
        <w:t xml:space="preserve">The primary crisis target variable is derived from the JST crisis indicator (crisisjst), which records systemic banking crisis onset based on the Laeven and Valencia (2020) chronology supplemented by Jordà, Schularick and Taylor’s own dating decisions. Three prediction horizons are constructed from this indicator: target_h1 (crisis onset within one year), target_h2 (within two years), and target_h3 (within three years). The H2 target is adopted as primary throughout, consistent with the macroprudential policy horizon. Target construction uses forward-looking group-wise shifts to ensure no look-ahead leakage at the feature construction stage.</w:t>
      </w:r>
    </w:p>
    <w:p>
      <w:pPr>
        <w:pStyle w:val="BodyText"/>
      </w:pPr>
      <w:r>
        <w:t xml:space="preserve">The macro feature candidates include loans outstanding (tloans), mortgage lending (tmort), broad money (money), long-term interest rate (ltrate), short-term interest rate (stir), nominal house price index (hpnom), government debt to GDP (debtgdp), CPI level (cpi), current account (ca), and real GDP per capita (rgdpmad). A term spread feature is derived as the difference between long-term and short-term interest rates. Growth rate features are constructed for credit-related variables as year-over-year percentage changes from lagged levels. Rolling three-year mean credit growth features are included to capture trend dynamics.</w:t>
      </w:r>
    </w:p>
    <w:bookmarkEnd w:id="22"/>
    <w:bookmarkStart w:id="23" w:name="feature-engineering-and-demeaning"/>
    <w:p>
      <w:pPr>
        <w:pStyle w:val="Heading2"/>
      </w:pPr>
      <w:r>
        <w:t xml:space="preserve">3.4 Feature Engineering and Demeaning</w:t>
      </w:r>
    </w:p>
    <w:p>
      <w:pPr>
        <w:pStyle w:val="FirstParagraph"/>
      </w:pPr>
      <w:r>
        <w:t xml:space="preserve">All macro features are constructed at three lag depths (lag1, lag2, lag3), producing a total of 41 macro features for M2 and M3 specifications. Feature construction follows two principles that are maintained throughout: strict temporal ordering — no feature at time t uses any information from t or later — and country-level demeaning.</w:t>
      </w:r>
    </w:p>
    <w:p>
      <w:pPr>
        <w:pStyle w:val="BodyText"/>
      </w:pPr>
      <w:r>
        <w:t xml:space="preserve">Country-level demeaning is implemented using expanding means: for each observation at time t for country i, the demeaning mean is computed from all observations of that country prior to year t. This ensures that demeaning does not introduce look-ahead bias, a point that distinguishes expanding-mean demeaning from the full-sample demeaning sometimes used in the macro literature. The demeaning removes country-specific fixed effects in macro levels while preserving cross-country comparability of deviations. All demeaned features are denoted with the suffix _dm throughout the analysis.</w:t>
      </w:r>
    </w:p>
    <w:bookmarkEnd w:id="23"/>
    <w:bookmarkStart w:id="24" w:name="finbert-sentiment-pipeline"/>
    <w:p>
      <w:pPr>
        <w:pStyle w:val="Heading2"/>
      </w:pPr>
      <w:r>
        <w:t xml:space="preserve">3.5 FinBERT Sentiment Pipeline</w:t>
      </w:r>
    </w:p>
    <w:p>
      <w:pPr>
        <w:pStyle w:val="FirstParagraph"/>
      </w:pPr>
      <w:r>
        <w:t xml:space="preserve">FinBERT inference was completed on the full BIS Central Bank Speeches corpus, encompassing 16,622 speeches from central bank governors and senior officials of the 18 sample economies, covering the period 1997–2020. The inference required approximately 12.4 hours of CPU computation using the ProsusAI/finbert checkpoint from Hugging Face, deployed in the finbert_env conda environment with transformers 4.40.0 and PyTorch 2.2.2 in CPU mode.</w:t>
      </w:r>
    </w:p>
    <w:p>
      <w:pPr>
        <w:pStyle w:val="BodyText"/>
      </w:pPr>
      <w:r>
        <w:t xml:space="preserve">Each speech is tokenised and passed through the FinBERT classification head, which produces three-class probability scores: P(positive), P(negative), and P(neutral). Long speeches are processed in 512-token segments with document-level averaging of segment scores. Annual country-level aggregation produces mean sentiment scores weighted by speech length, yielding P_pos, P_neg, and P_neutral series for each country-year. Derived features include net sentiment (P_pos − P_neg), sentiment change features (first differences), and four-year rolling slope features. Sentiment features are lagged at depths of one and two years to match the macro feature structure.</w:t>
      </w:r>
    </w:p>
    <w:p>
      <w:pPr>
        <w:pStyle w:val="BodyText"/>
      </w:pPr>
      <w:r>
        <w:t xml:space="preserve">Sentiment features receive rolling three-year deviation demeaning: for each observation at time t for country i, the demeaning mean is computed as the rolling three-year mean of the preceding three years. This removes country-specific baselines in communication tone while preserving temporal variation. Rolling-demeaned sentiment features are denoted with the suffix _rdm.</w:t>
      </w:r>
    </w:p>
    <w:p>
      <w:pPr>
        <w:pStyle w:val="BodyText"/>
      </w:pPr>
      <w:r>
        <w:t xml:space="preserve">The full M3 feature set comprises 61 features: 41 expanding-mean-demeaned macro features and 20 rolling-demeaned FinBERT sentiment features at lags one and two.</w:t>
      </w:r>
    </w:p>
    <w:bookmarkEnd w:id="24"/>
    <w:bookmarkStart w:id="25" w:name="model-specifications"/>
    <w:p>
      <w:pPr>
        <w:pStyle w:val="Heading2"/>
      </w:pPr>
      <w:r>
        <w:t xml:space="preserve">3.6 Model Specifications</w:t>
      </w:r>
    </w:p>
    <w:p>
      <w:pPr>
        <w:pStyle w:val="FirstParagraph"/>
      </w:pPr>
      <w:r>
        <w:rPr>
          <w:bCs/>
          <w:b/>
        </w:rPr>
        <w:t xml:space="preserve">M1: Logistic Regression (macro lag1, Stage 1)</w:t>
      </w:r>
      <w:r>
        <w:t xml:space="preserve"> </w:t>
      </w:r>
      <w:r>
        <w:t xml:space="preserve">M1 is a logistic regression model on 19 expanding-mean-demeaned macro features at lag one only, implemented via scikit-learn’s LogisticRegression with L2 regularisation (C=0.1), class_weight=</w:t>
      </w:r>
      <w:r>
        <w:t xml:space="preserve">‘</w:t>
      </w:r>
      <w:r>
        <w:t xml:space="preserve">balanced</w:t>
      </w:r>
      <w:r>
        <w:t xml:space="preserve">’</w:t>
      </w:r>
      <w:r>
        <w:t xml:space="preserve">, and a maximum of 1,000 iterations. Features are standardised within each expanding-window training fold. M1 replicates the transparent linear benchmark of Schularick and Taylor (2012) and provides native log-odds interpretability without post-hoc attribution.</w:t>
      </w:r>
    </w:p>
    <w:p>
      <w:pPr>
        <w:pStyle w:val="BodyText"/>
      </w:pPr>
      <w:r>
        <w:rPr>
          <w:bCs/>
          <w:b/>
        </w:rPr>
        <w:t xml:space="preserve">M1b: Logistic Regression bridge (macro lag1–3, Stage 1)</w:t>
      </w:r>
      <w:r>
        <w:t xml:space="preserve"> </w:t>
      </w:r>
      <w:r>
        <w:t xml:space="preserve">M1b extends M1 to the full 41-feature set at lags one through three, holding model class constant. Its purpose is to isolate the contribution of multi-lag depth from the contribution of model non-linearity in the M1→M2 progression.</w:t>
      </w:r>
    </w:p>
    <w:p>
      <w:pPr>
        <w:pStyle w:val="BodyText"/>
      </w:pPr>
      <w:r>
        <w:rPr>
          <w:bCs/>
          <w:b/>
        </w:rPr>
        <w:t xml:space="preserve">M2: Random Forest (macro lag1–3, Stage 1)</w:t>
      </w:r>
      <w:r>
        <w:t xml:space="preserve"> </w:t>
      </w:r>
      <w:r>
        <w:t xml:space="preserve">M2 is a Random Forest classifier on 41 macro features, implemented with 500 trees, maximum depth of 5, class_weight=</w:t>
      </w:r>
      <w:r>
        <w:t xml:space="preserve">‘</w:t>
      </w:r>
      <w:r>
        <w:t xml:space="preserve">balanced</w:t>
      </w:r>
      <w:r>
        <w:t xml:space="preserve">’</w:t>
      </w:r>
      <w:r>
        <w:t xml:space="preserve">, and random_state=42. No standardisation is applied, as tree-based models are invariant to monotone feature transformations. M2 is trained on the extended 1989–2020 panel in Stage 1 and forms the strong macro baseline against which M3’s sentiment contribution is assessed.</w:t>
      </w:r>
    </w:p>
    <w:p>
      <w:pPr>
        <w:pStyle w:val="BodyText"/>
      </w:pPr>
      <w:r>
        <w:rPr>
          <w:bCs/>
          <w:b/>
        </w:rPr>
        <w:t xml:space="preserve">M2-matched: Random Forest (macro lag1–3, Stage 2)</w:t>
      </w:r>
      <w:r>
        <w:t xml:space="preserve"> </w:t>
      </w:r>
      <w:r>
        <w:t xml:space="preserve">M2-matched uses the same architecture as M2 but is trained exclusively on the 2003–2020 Stage 2 window, ensuring that any difference in performance between M2-matched and M3 within Stage 2 is attributable to feature set rather than training data composition.</w:t>
      </w:r>
    </w:p>
    <w:p>
      <w:pPr>
        <w:pStyle w:val="BodyText"/>
      </w:pPr>
      <w:r>
        <w:rPr>
          <w:bCs/>
          <w:b/>
        </w:rPr>
        <w:t xml:space="preserve">M3: XGBoost + FinBERT (macro + sentiment, Stage 2)</w:t>
      </w:r>
      <w:r>
        <w:t xml:space="preserve"> </w:t>
      </w:r>
      <w:r>
        <w:t xml:space="preserve">M3 is an XGBoost classifier on 61 features, implemented with 300 trees, maximum depth of 4, learning rate of 0.05, and per-fold scale_pos_weight set to the fold-specific negative-to-positive ratio. Isotonic probability calibration is applied via CalibratedClassifierCV with cv=2 within each expanding-window training fold, producing calibrated probability outputs that are directly comparable to M2-matched on the Stage 2 evaluation set.</w:t>
      </w:r>
    </w:p>
    <w:bookmarkEnd w:id="25"/>
    <w:bookmarkStart w:id="26" w:name="expanding-window-cross-validation"/>
    <w:p>
      <w:pPr>
        <w:pStyle w:val="Heading2"/>
      </w:pPr>
      <w:r>
        <w:t xml:space="preserve">3.7 Expanding-Window Cross-Validation</w:t>
      </w:r>
    </w:p>
    <w:p>
      <w:pPr>
        <w:pStyle w:val="FirstParagraph"/>
      </w:pPr>
      <w:r>
        <w:t xml:space="preserve">All models are trained and evaluated under an expanding-window cross-validation design, in which the training window grows by one year at each fold while the evaluation year advances. For each evaluation year y, all observations prior to y form the training set; observations in year y form the test set. Per-fold class weights are recomputed from the training fold’s crisis frequency at each step.</w:t>
      </w:r>
    </w:p>
    <w:p>
      <w:pPr>
        <w:pStyle w:val="BodyText"/>
      </w:pPr>
      <w:r>
        <w:t xml:space="preserve">Out-of-sample predictions from all folds are pooled into a single vector for metric computation. This pooling approach is standard in the EWS literature (Jordà, Schularick and Taylor, 2017; Holopainen and Sarlin, 2017) and is appropriate for ex-post academic evaluation of discrimination performance. Stage 1 produces 26 evaluation folds (1993–2018); Stage 2 produces 12 folds (2007–2018). The years 2019 and 2020 are held out in both stages and evaluated exactly once at the completion of the main analysis.</w:t>
      </w:r>
    </w:p>
    <w:bookmarkEnd w:id="26"/>
    <w:bookmarkStart w:id="27" w:name="evaluation-framework"/>
    <w:p>
      <w:pPr>
        <w:pStyle w:val="Heading2"/>
      </w:pPr>
      <w:r>
        <w:t xml:space="preserve">3.8 Evaluation Framework</w:t>
      </w:r>
    </w:p>
    <w:p>
      <w:pPr>
        <w:pStyle w:val="FirstParagraph"/>
      </w:pPr>
      <w:r>
        <w:t xml:space="preserve">Four metrics are computed on the pooled out-of-sample predictions:</w:t>
      </w:r>
    </w:p>
    <w:p>
      <w:pPr>
        <w:pStyle w:val="BodyText"/>
      </w:pPr>
      <w:r>
        <w:rPr>
          <w:bCs/>
          <w:b/>
        </w:rPr>
        <w:t xml:space="preserve">AUROC</w:t>
      </w:r>
      <w:r>
        <w:t xml:space="preserve"> </w:t>
      </w:r>
      <w:r>
        <w:t xml:space="preserve">(Area Under the Receiver Operating Characteristic Curve) measures the probability that a randomly selected crisis observation receives a higher predicted probability than a randomly selected non-crisis observation. AUROC is insensitive to class imbalance in the sense that it evaluates ranking performance rather than absolute probability levels.</w:t>
      </w:r>
    </w:p>
    <w:p>
      <w:pPr>
        <w:pStyle w:val="BodyText"/>
      </w:pPr>
      <w:r>
        <w:rPr>
          <w:bCs/>
          <w:b/>
        </w:rPr>
        <w:t xml:space="preserve">AUPRC</w:t>
      </w:r>
      <w:r>
        <w:t xml:space="preserve"> </w:t>
      </w:r>
      <w:r>
        <w:t xml:space="preserve">(Area Under the Precision-Recall Curve) measures discrimination performance specifically on the positive class, penalising false positives more heavily as crisis prevalence falls. Under the class imbalance present in both stages (6.5 per cent and 8.15 per cent), AUPRC is the more informative primary metric (Davis and Goadrich, 2006; Saito and Rehmsmeier, 2015) and is accordingly treated as primary in the Stage 2 comparison.</w:t>
      </w:r>
    </w:p>
    <w:p>
      <w:pPr>
        <w:pStyle w:val="BodyText"/>
      </w:pPr>
      <w:r>
        <w:rPr>
          <w:bCs/>
          <w:b/>
        </w:rPr>
        <w:t xml:space="preserve">Brier Score</w:t>
      </w:r>
      <w:r>
        <w:t xml:space="preserve"> </w:t>
      </w:r>
      <w:r>
        <w:t xml:space="preserve">measures mean squared error of predicted probabilities against binary outcomes, combining discrimination and calibration into a single probabilistic accuracy measure. Lower Brier Scores indicate higher probabilistic accuracy. The Brier Score is particularly relevant for operational EWS applications where probability thresholds trigger policy actions.</w:t>
      </w:r>
    </w:p>
    <w:p>
      <w:pPr>
        <w:pStyle w:val="BodyText"/>
      </w:pPr>
      <w:r>
        <w:rPr>
          <w:bCs/>
          <w:b/>
        </w:rPr>
        <w:t xml:space="preserve">Bootstrap confidence intervals</w:t>
      </w:r>
      <w:r>
        <w:t xml:space="preserve"> </w:t>
      </w:r>
      <w:r>
        <w:t xml:space="preserve">from 1,000 resamples of the pooled OOS predictions are reported for primary models. These intervals are indicative only: panel dependence — crisis events clustered across countries in the same episode — violates the independence assumption of standard bootstrap resampling. Intervals should be interpreted as reflecting sampling variability in pooled predictions, not as valid inference on the population of crisis episodes.</w:t>
      </w:r>
    </w:p>
    <w:p>
      <w:pPr>
        <w:pStyle w:val="BodyText"/>
      </w:pPr>
      <w:r>
        <w:rPr>
          <w:bCs/>
          <w:b/>
        </w:rPr>
        <w:t xml:space="preserve">Alessi-Detken Usefulness Score U(θ)</w:t>
      </w:r>
      <w:r>
        <w:t xml:space="preserve"> </w:t>
      </w:r>
      <w:r>
        <w:t xml:space="preserve">translates discrimination into policy terms by modelling the asymmetric loss function of a macroprudential regulator with preference parameter θ ∈ [0.5, 1.0] who weights missed crises more heavily than false alarms. The usefulness score is computed across a range of θ values to assess practical decision-making relevance.</w:t>
      </w:r>
    </w:p>
    <w:bookmarkEnd w:id="27"/>
    <w:bookmarkStart w:id="28" w:name="ensemble-extension-m4"/>
    <w:p>
      <w:pPr>
        <w:pStyle w:val="Heading2"/>
      </w:pPr>
      <w:r>
        <w:t xml:space="preserve">3.9 Ensemble Extension (M4)</w:t>
      </w:r>
    </w:p>
    <w:p>
      <w:pPr>
        <w:pStyle w:val="FirstParagraph"/>
      </w:pPr>
      <w:r>
        <w:t xml:space="preserve">A model averaging extension, designated M4, is implemented following Holopainen and Sarlin (2017). M4 is defined as the equal-weighted average of the out-of-sample predicted probabilities from M2-matched and M3:</w:t>
      </w:r>
    </w:p>
    <w:p>
      <w:pPr>
        <w:pStyle w:val="BodyText"/>
      </w:pPr>
      <w:r>
        <w:t xml:space="preserve">P(M4) = 0.5 · P(M2-matched) + 0.5 · P(M3)</w:t>
      </w:r>
    </w:p>
    <w:p>
      <w:pPr>
        <w:pStyle w:val="BodyText"/>
      </w:pPr>
      <w:r>
        <w:t xml:space="preserve">where both probability series are the pooled expanding-window OOS outputs from Stage 2 under strict temporal ordering. Equal weights are used throughout; performance-weighted variants are not implemented because any weights derived from the same OOS pool used for evaluation would constitute circular in-sample weight selection. A model disagreement analysis accompanies the ensemble evaluation, computing the Pearson correlation between component model probability series and quantifying disagreement by outcome type to assess whether ensemble gains are attributable to complementary signal rather than redundant averaging.</w:t>
      </w:r>
    </w:p>
    <w:bookmarkEnd w:id="28"/>
    <w:bookmarkStart w:id="29" w:name="shap-feature-attribution"/>
    <w:p>
      <w:pPr>
        <w:pStyle w:val="Heading2"/>
      </w:pPr>
      <w:r>
        <w:t xml:space="preserve">3.10 SHAP Feature Attribution</w:t>
      </w:r>
    </w:p>
    <w:p>
      <w:pPr>
        <w:pStyle w:val="FirstParagraph"/>
      </w:pPr>
      <w:r>
        <w:t xml:space="preserve">SHAP attribution is applied to M3 using TreeExplainer, which computes exact Shapley values for XGBoost models without Monte Carlo sampling. Attribution analysis operates at two levels. At the aggregate level, mean absolute SHAP values are summed by feature group (macro lag1, macro lag2, macro lag3, sentiment lag1, sentiment lag2) to assess the relative contribution of structural feature groups to M3’s predictions. At the individual feature level, the top-20 features by mean absolute SHAP value are identified and compared across the original and augmented analyses to assess ranking stability.</w:t>
      </w:r>
    </w:p>
    <w:p>
      <w:pPr>
        <w:pStyle w:val="BodyText"/>
      </w:pPr>
      <w:r>
        <w:t xml:space="preserve">As in the standard EWS literature, all SHAP attribution is post-hoc, approximate, and non-causal. SHAP values explain the model’s statistical behaviour conditional on its training data; they do not establish the causal structure of crisis generation.</w:t>
      </w:r>
    </w:p>
    <w:bookmarkEnd w:id="29"/>
    <w:bookmarkStart w:id="30" w:name="robustness-checks"/>
    <w:p>
      <w:pPr>
        <w:pStyle w:val="Heading2"/>
      </w:pPr>
      <w:r>
        <w:t xml:space="preserve">3.11 Robustness Checks</w:t>
      </w:r>
    </w:p>
    <w:p>
      <w:pPr>
        <w:pStyle w:val="FirstParagraph"/>
      </w:pPr>
      <w:r>
        <w:rPr>
          <w:bCs/>
          <w:b/>
        </w:rPr>
        <w:t xml:space="preserve">Strict temporal validation</w:t>
      </w:r>
      <w:r>
        <w:t xml:space="preserve"> </w:t>
      </w:r>
      <w:r>
        <w:t xml:space="preserve">tests prospective generalisation by training models on a pre-crisis subsample and evaluating on a subsequent period that includes crisis events not represented in the training data. Two splits are evaluated for Stage 1: Split A trains on 1988–1990 and evaluates on 1991–1997, targeting the Nordic crisis cluster; Split B trains on 1988–2002 and evaluates on 2003–2011, targeting the GFC. The strict temporal validation constitutes the central empirical contribution of the robustness analysis, providing the only genuinely prospective test of model performance.</w:t>
      </w:r>
    </w:p>
    <w:p>
      <w:pPr>
        <w:pStyle w:val="BodyText"/>
      </w:pPr>
      <w:r>
        <w:rPr>
          <w:bCs/>
          <w:b/>
        </w:rPr>
        <w:t xml:space="preserve">Leave-one-country-out validation</w:t>
      </w:r>
      <w:r>
        <w:t xml:space="preserve"> </w:t>
      </w:r>
      <w:r>
        <w:t xml:space="preserve">systematically holds out each of the 18 countries and evaluates M2 on the remaining 17, assessing whether model performance degrades for countries whose crisis dynamics are not represented in the training sample. This provides evidence on cross-country generalisability.</w:t>
      </w:r>
    </w:p>
    <w:p>
      <w:pPr>
        <w:pStyle w:val="BodyText"/>
      </w:pPr>
      <w:r>
        <w:rPr>
          <w:bCs/>
          <w:b/>
        </w:rPr>
        <w:t xml:space="preserve">Granger causality tests</w:t>
      </w:r>
      <w:r>
        <w:t xml:space="preserve"> </w:t>
      </w:r>
      <w:r>
        <w:t xml:space="preserve">are applied to assess whether credit growth and sentiment measures Granger-cause crisis onset at the country level, providing an auxiliary test of the causal claims implicit in the EWS framework.</w:t>
      </w:r>
    </w:p>
    <w:p>
      <w:pPr>
        <w:pStyle w:val="BodyText"/>
      </w:pPr>
      <w:r>
        <w:rPr>
          <w:bCs/>
          <w:b/>
        </w:rPr>
        <w:t xml:space="preserve">Panel logistic regression</w:t>
      </w:r>
      <w:r>
        <w:t xml:space="preserve"> </w:t>
      </w:r>
      <w:r>
        <w:t xml:space="preserve">with fixed effects provides a parametric auxiliary test of the relationship between sentiment features and crisis outcomes, complementing the non-parametric SHAP attribution.</w:t>
      </w:r>
    </w:p>
    <w:bookmarkEnd w:id="30"/>
    <w:bookmarkStart w:id="31" w:name="ethical-considerations"/>
    <w:p>
      <w:pPr>
        <w:pStyle w:val="Heading2"/>
      </w:pPr>
      <w:r>
        <w:t xml:space="preserve">3.12 Ethical Considerations</w:t>
      </w:r>
    </w:p>
    <w:p>
      <w:pPr>
        <w:pStyle w:val="FirstParagraph"/>
      </w:pPr>
      <w:r>
        <w:t xml:space="preserve">All data sources — the JST Macrohistory Database, BIS Central Bank Speeches corpus, and Laeven and Valencia (2020) dataset — are publicly available and contain no personal or individual-level data. The research does not involve human participants and does not require ethics committee review beyond the standard academic declaration required by the University of Essex Online. Model outputs are retrospective and are not intended for live deployment or real-time financial decision-making. FinBERT is used for inference only on publicly available text, consistent with Hugging Face open-source non-commercial academic terms.</w:t>
      </w:r>
    </w:p>
    <w:p>
      <w:r>
        <w:pict>
          <v:rect style="width:0;height:1.5pt" o:hralign="center" o:hrstd="t" o:hr="t"/>
        </w:pict>
      </w:r>
    </w:p>
    <w:p>
      <w:pPr>
        <w:pStyle w:val="FirstParagraph"/>
      </w:pPr>
      <w:r>
        <w:rPr>
          <w:iCs/>
          <w:i/>
        </w:rPr>
        <w:t xml:space="preserve">Chapter 3 drafted: April 2026</w:t>
      </w:r>
    </w:p>
    <w:bookmarkEnd w:id="31"/>
    <w:bookmarkEnd w:id="32"/>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2026-04-09T21:57:43Z</dcterms:created>
  <dcterms:modified xsi:type="dcterms:W3CDTF">2026-04-09T21:57:43Z</dcterms:modified>
</cp:coreProperties>
</file>

<file path=docProps/custom.xml><?xml version="1.0" encoding="utf-8"?>
<Properties xmlns="http://schemas.openxmlformats.org/officeDocument/2006/custom-properties" xmlns:vt="http://schemas.openxmlformats.org/officeDocument/2006/docPropsVTypes"/>
</file>