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5-discussion"/>
    <w:p>
      <w:pPr>
        <w:pStyle w:val="Heading1"/>
      </w:pPr>
      <w:r>
        <w:t xml:space="preserve">Chapter 5: Discussion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of-findings"/>
    <w:p>
      <w:pPr>
        <w:pStyle w:val="Heading2"/>
      </w:pPr>
      <w:r>
        <w:t xml:space="preserve">5.1 Overview of Findings</w:t>
      </w:r>
    </w:p>
    <w:p>
      <w:pPr>
        <w:pStyle w:val="FirstParagraph"/>
      </w:pPr>
      <w:r>
        <w:t xml:space="preserve">This chapter synthesises the results reported in Chapter 4, situates them within the broader early-warning system (EWS) literature, and draws out the implications for both research design and practical application. Four interlocking findings define the contribution of the augmented analysis.</w:t>
      </w:r>
    </w:p>
    <w:p>
      <w:pPr>
        <w:pStyle w:val="BodyText"/>
      </w:pPr>
      <w:r>
        <w:t xml:space="preserve">The first and most important finding is a negative one: extending macro training history from the original 2003–2020 panel to a 1989–2020 panel spanning multiple pre-GFC crisis episodes does not resolve the EWS generalisation problem. M2 trained on the extended panel achieves AUROC 0.476 in strict temporal validation — below the random classifier threshold — when evaluated on the GFC episode. This constitutes not merely weak predictive performance but systematic model failure under genuinely prospective evaluation. This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early-warning system paradigm, which assumes a single stable mapping between macro-financial indicators and crisis risk, is fundamentally misspecified in the presence of heterogeneous crisis-generating mechanisms.</w:t>
      </w:r>
    </w:p>
    <w:p>
      <w:pPr>
        <w:pStyle w:val="BodyText"/>
      </w:pPr>
      <w:r>
        <w:t xml:space="preserve">The second finding concerns the role of sentiment augmentation. Within the Stage 2 cross-sectional evaluation — the 2007 GFC episode specifically — M3 achieves AUPRC 0.411 against M2-matched’s 0.343, a directional gain of 6.8 percentage points. This pattern is consistent with the original analysis. However, the bootstrap 95 per cent confidence interval spans zero in both designs, all auxiliary statistical tests (Granger causality, panel logistic regression)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pPr>
        <w:pStyle w:val="BodyText"/>
      </w:pPr>
      <w:r>
        <w:t xml:space="preserve">The third finding concerns the model averaging extension. M4, defined as the equal-weighted average of M2-matched and M3 out-of-sample predicted probabilities, achieves AUROC 0.943, AUPRC 0.440, and Brier Score 0.057 within the single-episode GFC cross-sectional evaluation — higher on all three metrics than both component models. The models therefore appear to function as classifiers of crisis regime exposure rather than predictors of crisis onset in a forward-looking sense: they rank countries effectively within a known crisis cross-section but, as Section 4.5 demonstrates, fail when required to predict genuinely prospective outcomes. The improvement from ensemble averaging is not attributable to redundant signal smoothing: the Pearson correlation between component model probabilities is 0.811, and model disagreement is 2.75 times higher at actual crisis observations than at non-crisis observations. This disagreement pattern is precisely what Holopainen and Sarlin (2017) identify as the condition under which ensemble averaging is most valuable. The ensemble result is subject to the same single-episode evaluation constraint as its component models.</w:t>
      </w:r>
    </w:p>
    <w:p>
      <w:pPr>
        <w:pStyle w:val="BodyText"/>
      </w:pPr>
      <w:r>
        <w:t xml:space="preserve">The fourth finding is the crisis type discrimination result from the 2007 cross-sectional ranking. M4 assigns a mean probability of 0.599 to countries whose 2007–2008 stress is characterised as fundamentally driven, against 0.281 for contagion-driven cases and 0.459 for countries that experienced no systemic event. This stratification, whilst based on qualitative crisis type annotation and confined to a single year, indicates that the model’s macro and sentiment features carry mechanism-specific signal rather than simply flagging general stress conditions. Together, these four findings indicate that model uncertainty, feature instability, and the absence of causal structure are manifestations of the same underlying issue: non-stationarity in the crisis-generating process across regimes.</w:t>
      </w:r>
    </w:p>
    <w:p>
      <w:r>
        <w:pict>
          <v:rect style="width:0;height:1.5pt" o:hralign="center" o:hrstd="t" o:hr="t"/>
        </w:pict>
      </w:r>
    </w:p>
    <w:bookmarkEnd w:id="20"/>
    <w:bookmarkStart w:id="21" w:name="X3d2542b05e00442d2cc94f91fc48d05b3cf8eb4"/>
    <w:p>
      <w:pPr>
        <w:pStyle w:val="Heading2"/>
      </w:pPr>
      <w:r>
        <w:t xml:space="preserve">5.2 The Ensemble as a Response to Model Uncertainty</w:t>
      </w:r>
    </w:p>
    <w:p>
      <w:pPr>
        <w:pStyle w:val="FirstParagraph"/>
      </w:pPr>
      <w:r>
        <w:t xml:space="preserve">The M4 extension operationalises a specific insight from Holopainen and Sarlin (2017): that in small-sample, crisis-concentrated evaluation settings, no single model can be assumed to represent the true predictive process, and combining predictions across models with different architectures and feature sets is preferable to selecting a single best performer. This rationale is particularly relevant to the present analysis, where Stage 2 evaluation rests on a single crisis episode and individual model rankings are therefore sensitive to the particulars of that episode.</w:t>
      </w:r>
    </w:p>
    <w:p>
      <w:pPr>
        <w:pStyle w:val="BodyText"/>
      </w:pPr>
      <w:r>
        <w:t xml:space="preserve">The choice of equal weighting reflects a principled methodological constraint. Any performance-weighted scheme that derives weights from the same out-of-sample pool used for evaluation is circular — the weights are implicitly in-sample for the test period. Equal weighting avoids this, at the cost of not exploiting potential differences in component model quality. Given that M2-matched and M3 have very similar AUROCs (0.939 and 0.932 respectively), the equal-weight and AUROC-weight schemes are numerically indistinguishable; this confirms that the equal-weight choice is appropriate in this setting.</w:t>
      </w:r>
    </w:p>
    <w:p>
      <w:pPr>
        <w:pStyle w:val="BodyText"/>
      </w:pPr>
      <w:r>
        <w:t xml:space="preserve">The disagreement analysis provides the substantive justification for why the ensemble improves on both components rather than merely averaging their outputs. Three patterns are notable. First, the overall correlation of 0.811 indicates that M2-matched and M3 share a substantial common signal — consistent with both models being trained on the same macro features — but retain enough independent variation to benefit from combination. Second, disagreement is concentrated at crisis observations, where the mean absolute difference between component probabilities (0.220) is nearly three times the non-crisis mean (0.080). This means the ensemble’s moderating effect is strongest precisely at the highest-stakes observations. Third, within the high-signal group (top decile by maximum component probability), 7 of 11 crisis events are captured, and mean disagreement reaches 0.253 — consistent with genuine uncertainty at the crisis boundary rather than arbitrary noise.</w:t>
      </w:r>
    </w:p>
    <w:p>
      <w:pPr>
        <w:pStyle w:val="BodyText"/>
      </w:pPr>
      <w:r>
        <w:t xml:space="preserve">The Brier Score improvement from 0.060–0.061 (component models) to 0.057 (M4) is the most robust metric of ensemble benefit, being less sensitive to the single-episode evaluation structure than AUPRC. It indicates that M4 generates lower Brier Score, indicating improved probabilistic accuracy under squared-error loss — a practically important property for any EWS that must assign policy thresholds to model outputs.</w:t>
      </w:r>
    </w:p>
    <w:p>
      <w:r>
        <w:pict>
          <v:rect style="width:0;height:1.5pt" o:hralign="center" o:hrstd="t" o:hr="t"/>
        </w:pict>
      </w:r>
    </w:p>
    <w:bookmarkEnd w:id="21"/>
    <w:bookmarkStart w:id="22" w:name="crisis-heterogeneity-and-model-scope"/>
    <w:p>
      <w:pPr>
        <w:pStyle w:val="Heading2"/>
      </w:pPr>
      <w:r>
        <w:t xml:space="preserve">5.3 Crisis Heterogeneity and Model Scope</w:t>
      </w:r>
    </w:p>
    <w:p>
      <w:pPr>
        <w:pStyle w:val="FirstParagraph"/>
      </w:pPr>
      <w:r>
        <w:t xml:space="preserve">A structural limitation of all three-model designs in the EWS literature, including the present analysis, is that crisis target variables derived from banking crisis chronologies are outcome-based rather than mechanism-based. The Laeven and Valencia (2020) chronology used here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pPr>
        <w:pStyle w:val="BodyText"/>
      </w:pPr>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the model’s macro features have limited purchase on this mechanism. Speculative attack episodes, such as the ERM crisis of 1992, represent a third mechanism: self-fulfilling expectations against a fixed exchange rate peg can produce crisis even when domestic fundamentals are sound, as second-generation currency crisis models demonstrate (Obstfeld, 1996). Exogenous real shocks, of which the COVID-19 shock is the most recent example, constitute the fourth type. These distinct mechanisms imply that a single global classifier trained on an undifferentiated crisis label is inherently misspecified: the relationship between predictors and crisis outcomes differs systematically across regimes, which is precisely what the temporal validation and LOCO results demonstrate empirically; the 2020 observation is appropriately excluded from the crisis chronology on the grounds that it does not satisfy Laeven and Valencia’s systemic banking crisis criteria.</w:t>
      </w:r>
    </w:p>
    <w:p>
      <w:pPr>
        <w:pStyle w:val="BodyText"/>
      </w:pPr>
      <w:r>
        <w:t xml:space="preserve">The 2007 cross-sectional ranking provides qualified empirical evidence of mechanism-specific discrimination. The gap between mean M4 probabilities for fundamental (0.599) and contagion-driven (0.281) countries is substantial and coherent with the model’s design: macro and sentiment features that capture credit conditions, interest rate dynamics, and central banker communication should carry more signal for domestically-generated imbalances than for externally-transmitted stress. Several individual country results are informative. Japan ranks last (M4 = 0.111, contagion), consistent with its residual balance-sheet weakness from the 1990s being amplified by GFC transmission rather than a fresh domestic credit cycle. Switzerland ranks fourteenth (M4 = 0.290, contagion), where UBS’s exposure to US structured products drove stress against a backdrop of sound Swiss domestic fundamentals. Germany ranks twelfth (M4 = 0.331, contagion), consistent with Landesbanken ABS exposure rather than domestic imbalance.</w:t>
      </w:r>
    </w:p>
    <w:p>
      <w:pPr>
        <w:pStyle w:val="BodyText"/>
      </w:pPr>
      <w:r>
        <w:t xml:space="preserve">Two anomalies merit explicit acknowledgement. The United Kingdom ranks fourth overall (M4 = 0.682) but carries target_h2 = 0 in the Stage 2 dataset. The explanation is a classification boundary effect: if the JST dataset records the UK crisis onset as occurring in 2007 itself, the two-year forward window from the 2007 observation does not generate a positive target_h2 label for that year. This is a data construction artefact rather than a model failure. The Netherlands ranks thirteenth (M4 = 0.305, crisis = 1). The Netherlands experienced genuine housing and credit stress by 2007–2008; the ensemble’s low probability reflects M3’s weak FinBERT signal for Dutch central bank speeches, likely a consequence of smaller Dutch speech corpus volume relative to the ECB and Federal Reserve. This is a legitimate model limitation: sentiment features derived from heterogeneous national corpora of varying size and linguistic register will carry unequal signal across countries.</w:t>
      </w:r>
    </w:p>
    <w:p>
      <w:pPr>
        <w:pStyle w:val="BodyText"/>
      </w:pPr>
      <w:r>
        <w:t xml:space="preserve">The false positive pattern — Sweden (rank 5, M4 = 0.667, no crisis) and Norway (rank 8, M4 = 0.620, no crisis) — illustrates the classical EWS over-alerting problem. Both countries exhibited elevated macro indicators consistent with pre-crisis stress, but strong institutional buffers — conservative bank regulation, large sovereign wealth funds, rapid policy responses — prevented the materialisation of systemic crises. Macro and sentiment features cannot observe institutional resilience directly; they signal stress conditions, not crisis outcomes. This limitation is shared with the broader EWS literature and is not specific to the models developed here.</w:t>
      </w:r>
    </w:p>
    <w:p>
      <w:r>
        <w:pict>
          <v:rect style="width:0;height:1.5pt" o:hralign="center" o:hrstd="t" o:hr="t"/>
        </w:pict>
      </w:r>
    </w:p>
    <w:bookmarkEnd w:id="22"/>
    <w:bookmarkStart w:id="23" w:name="Xfd50be060f4ea3cfba507a25885033d3e68ba2f"/>
    <w:p>
      <w:pPr>
        <w:pStyle w:val="Heading2"/>
      </w:pPr>
      <w:r>
        <w:t xml:space="preserve">5.4 Implications for Early-Warning System Design</w:t>
      </w:r>
    </w:p>
    <w:p>
      <w:pPr>
        <w:pStyle w:val="FirstParagraph"/>
      </w:pPr>
      <w:r>
        <w:t xml:space="preserve">Three practical implications follow from the results, stated with appropriate caution given the evaluation constraints established throughout Chapter 4.</w:t>
      </w:r>
    </w:p>
    <w:p>
      <w:pPr>
        <w:pStyle w:val="BodyText"/>
      </w:pPr>
      <w:r>
        <w:t xml:space="preserve">First, extending training history is necessary but not sufficient for prospective EWS performance. The augmented Stage 1 analysis demonstrates that including the Nordic crisis cluster and further pre-GFC episodes does not resolve the generalisation problem. This suggests that the dominant constraint on EWS performance is not training data length but regime heterogeneity: models trained on one type of crisis precursor pattern do not generalise to structurally different episodes. An operational EWS would require either a regime-classification layer that identifies the current crisis type before applying model predictions, or a portfolio of models each calibrated to a specific crisis mechanism, rather than a single general-purpose classifier.</w:t>
      </w:r>
    </w:p>
    <w:p>
      <w:pPr>
        <w:pStyle w:val="BodyText"/>
      </w:pPr>
      <w:r>
        <w:t xml:space="preserve">Second, the ensemble design is a more defensible approach within the constrained evaluation setting when individual models cannot be meaningfully ranked on prospective performance. In the present analysis, M2-matched and M3 cannot be definitively distinguished on AUPRC (confidence interval spans zero), but M4 consistently outperforms both on Brier Score — a metric that is less dependent on the ranking of the rare positive class and therefore more stable across single-episode evaluations. An operational system that must assign concrete probability thresholds to trigger policy review would prefer M4’s better-calibrated outputs over either component model. This recommendation is qualified by the absence of prospective validation: the ensemble’s superior calibration is established only within the GFC cross-section.</w:t>
      </w:r>
    </w:p>
    <w:p>
      <w:pPr>
        <w:pStyle w:val="BodyText"/>
      </w:pPr>
      <w:r>
        <w:t xml:space="preserve">Third, central bank sentiment contributes a complementary signal to macro features, but its contribution is unstable and episode-dependent. The SHAP attribution shift from 14.1 per cent to 26.2 per cent of aggregate attribution across the original and augmented analyses reflects model re-weighting under different sample configurations rather than a change in the underlying economic relationship. The specific sentiment features appearing in the top-20 SHAP rankings differ across specifications. An operational sentiment channel would require more stable textual features — potentially derived from topic modelling or domain-specific lexicons — and validation across multiple crisis episodes before it could be relied upon as a robust early-warning signal.</w:t>
      </w:r>
    </w:p>
    <w:p>
      <w:r>
        <w:pict>
          <v:rect style="width:0;height:1.5pt" o:hralign="center" o:hrstd="t" o:hr="t"/>
        </w:pict>
      </w:r>
    </w:p>
    <w:bookmarkEnd w:id="23"/>
    <w:bookmarkStart w:id="24" w:name="limitations"/>
    <w:p>
      <w:pPr>
        <w:pStyle w:val="Heading2"/>
      </w:pPr>
      <w:r>
        <w:t xml:space="preserve">5.5 Limitations</w:t>
      </w:r>
    </w:p>
    <w:p>
      <w:pPr>
        <w:pStyle w:val="FirstParagraph"/>
      </w:pPr>
      <w:r>
        <w:t xml:space="preserve">Several limitations constrain the interpretation of results throughout this analysis, and are consolidated here for clarity.</w:t>
      </w:r>
    </w:p>
    <w:p>
      <w:pPr>
        <w:pStyle w:val="BodyText"/>
      </w:pPr>
      <w:r>
        <w:t xml:space="preserve">The single-episode evaluation structure is the dominant constraint. Stage 2 evaluation rests on 11 crisis events in a single year — 2007 — across 18 countries. This is not temporal predictive validation in the conventional sense; it is cross-sectional country ranking within a known crisis episode. The AUPRC gains attributed to M3 and M4 are directional observations within this structure, not evidence of stable prospective performance. The strict temporal validation in Section 4.5, which produces AUROC below random, is the empirically grounded bound on what the models can be expected to achieve in genuine forward-looking deployment.</w:t>
      </w:r>
    </w:p>
    <w:p>
      <w:pPr>
        <w:pStyle w:val="BodyText"/>
      </w:pPr>
      <w:r>
        <w:t xml:space="preserve">The crisis label heterogeneity discussed in Section 5.3 affects all results. Training on an undifferentiated crisis target that conflates fundamental, contagion, and exogenous shock episodes introduces noise into the learning problem and prevents the model from specialising to any particular mechanism. The 2007 cross-sectional discrimination result — fundamental mean probability 0.599 versus contagion 0.281 — is suggestive but cannot be validated without a mechanism-labelled training target.</w:t>
      </w:r>
    </w:p>
    <w:p>
      <w:pPr>
        <w:pStyle w:val="BodyText"/>
      </w:pPr>
      <w:r>
        <w:t xml:space="preserve">The sentiment corpus is unevenly distributed across countries and time. BIS central bank speech coverage begins from the late 1990s for most countries and reflects differences in speech volume and linguistic register across national central banks. Countries with smaller or less English-language-rich corpora — the Netherlands, Finland, Portugal — will receive less stable FinBERT sentiment scores. The rolling-demeaned sentiment features partially address temporal non-stationarity but do not equalise cross-country corpus quality.</w:t>
      </w:r>
    </w:p>
    <w:p>
      <w:pPr>
        <w:pStyle w:val="BodyText"/>
      </w:pPr>
      <w:r>
        <w:t xml:space="preserve">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r>
        <w:pict>
          <v:rect style="width:0;height:1.5pt" o:hralign="center" o:hrstd="t" o:hr="t"/>
        </w:pict>
      </w:r>
    </w:p>
    <w:bookmarkEnd w:id="24"/>
    <w:bookmarkStart w:id="25" w:name="future-research-directions"/>
    <w:p>
      <w:pPr>
        <w:pStyle w:val="Heading2"/>
      </w:pPr>
      <w:r>
        <w:t xml:space="preserve">5.6 Future Research Directions</w:t>
      </w:r>
    </w:p>
    <w:p>
      <w:pPr>
        <w:pStyle w:val="FirstParagraph"/>
      </w:pPr>
      <w:r>
        <w:t xml:space="preserve">Three natural extensions follow directly from the present analysis.</w:t>
      </w:r>
    </w:p>
    <w:p>
      <w:pPr>
        <w:pStyle w:val="BodyText"/>
      </w:pPr>
      <w:r>
        <w:t xml:space="preserve">The most immediately implementable extension is a text-as-data approach following Ho, Moench, and Steeley (2022), who demonstrate that replacing generic sentiment polarity scores with topic-specific prevalence measures — identifying the proportion of central bank speech devoted to credit risk, housing markets, or systemic vulnerability — produces more granular and stable textual features than aggregate sentiment indices. This extension requires no additional data sources: the existing 16,622 BIS speeches are the input corpus. Latent Dirichlet Allocation topic modelling or a domain-specific central bank lexicon along the lines of Loughran and McDonald (2011) could generate topic prevalence time series at the country-year level for direct substitution or augmentation of the existing FinBERT features. Whether topic-specific signals provide more stable cross-episode early-warning information than aggregated sentiment polarity remains an open empirical question that the present corpus is well-suited to address.</w:t>
      </w:r>
    </w:p>
    <w:p>
      <w:pPr>
        <w:pStyle w:val="BodyText"/>
      </w:pPr>
      <w:r>
        <w:t xml:space="preserve">A second extension concerns the ensemble framework. The M4 ensemble implemented here uses equal weights and simple averaging, which Holopainen and Sarlin (2017) treat as one variant within a broader model averaging framework that includes Bayesian Model Averaging (BMA). BMA weights each model’s prediction by its posterior probability given the data, providing a theoretically grounded approach to model uncertainty that accounts for the relative credibility of different model architectures. Implementing BMA in the present setting would require specifying prior distributions over model parameters — a non-trivial task for non-parametric models such as Random Forest — but the expanding-window design already provides the temporal structure needed for sequential Bayesian updating of model weights.</w:t>
      </w:r>
    </w:p>
    <w:p>
      <w:pPr>
        <w:pStyle w:val="BodyText"/>
      </w:pPr>
      <w:r>
        <w:t xml:space="preserve">A third extension addresses the contagion channel that the present model cannot observe. The cross-country financial linkages through which GFC stress propagated — documented in Cetorelli and Goldberg (2011) via bank balance sheet network data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 This extension requires additional data from BIS banking statistics and represents a more substantial modelling departure than the other two, but would directly address the limitation identified in the crisis heterogeneity analysis.</w:t>
      </w:r>
    </w:p>
    <w:p>
      <w:r>
        <w:pict>
          <v:rect style="width:0;height:1.5pt" o:hralign="center" o:hrstd="t" o:hr="t"/>
        </w:pict>
      </w:r>
    </w:p>
    <w:p>
      <w:pPr>
        <w:pStyle w:val="FirstParagraph"/>
      </w:pPr>
      <w:r>
        <w:rPr>
          <w:iCs/>
          <w:i/>
        </w:rPr>
        <w:t xml:space="preserve">Chapter 5 revision: April 2026</w:t>
      </w:r>
    </w:p>
    <w:bookmarkEnd w:id="25"/>
    <w:bookmarkEnd w:id="26"/>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2026-04-09T21:25:21Z</dcterms:created>
  <dcterms:modified xsi:type="dcterms:W3CDTF">2026-04-09T21:25:21Z</dcterms:modified>
</cp:coreProperties>
</file>

<file path=docProps/custom.xml><?xml version="1.0" encoding="utf-8"?>
<Properties xmlns="http://schemas.openxmlformats.org/officeDocument/2006/custom-properties" xmlns:vt="http://schemas.openxmlformats.org/officeDocument/2006/docPropsVTypes"/>
</file>