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6-conclusion"/>
    <w:p>
      <w:pPr>
        <w:pStyle w:val="Heading1"/>
      </w:pPr>
      <w:r>
        <w:t xml:space="preserve">Chapter 6: Conclusion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of-the-study"/>
    <w:p>
      <w:pPr>
        <w:pStyle w:val="Heading2"/>
      </w:pPr>
      <w:r>
        <w:t xml:space="preserve">6.1 Summary of the Study</w:t>
      </w:r>
    </w:p>
    <w:p>
      <w:pPr>
        <w:pStyle w:val="FirstParagraph"/>
      </w:pPr>
      <w:r>
        <w:t xml:space="preserve">This dissertation has examined whether the integration of LLM-derived sentiment signals from central bank communications can measurably improve the statistical accuracy of machine learning-based economic crisis prediction models. The investigation was structured around three models — a Logistic Regression baseline (M1), a Random Forest macro model (M2), and an XGBoost sentiment-augmented hybrid (M3) — evaluated across a two-stage design that separates the contribution of extended macro training history from the incremental contribution of FinBERT sentiment features. A model averaging extension (M4), following Holopainen and Sarlin (2017), was introduced as an additional contribution.</w:t>
      </w:r>
    </w:p>
    <w:p>
      <w:pPr>
        <w:pStyle w:val="BodyText"/>
      </w:pPr>
      <w:r>
        <w:t xml:space="preserve">The central empirical finding is a negative one, and it is the most important result of the study: extending macro training history across multiple pre-GFC crisis regimes does not resolve the early-warning system generalisation problem. M2 trained on a 1989–2020 panel that includes the Nordic banking crisis cluster, the Japanese episode of 1997, and further pre-GFC events still achieves AUROC below the random classifier threshold (0.476) in strict temporal validation — trained on pre-2003 data and evaluated on the GFC. This constitutes systematic model failure under genuinely prospective evaluation, not merely weak performance. The result advances beyond existing work by demonstrating that the generalisation failure is not an artefact of short training data; it persists even when training history is extended fivefold across multiple structurally distinct crisis regimes.</w:t>
      </w:r>
    </w:p>
    <w:bookmarkEnd w:id="20"/>
    <w:bookmarkStart w:id="21" w:name="contributions"/>
    <w:p>
      <w:pPr>
        <w:pStyle w:val="Heading2"/>
      </w:pPr>
      <w:r>
        <w:t xml:space="preserve">6.2 Contributions</w:t>
      </w:r>
    </w:p>
    <w:p>
      <w:pPr>
        <w:pStyle w:val="FirstParagraph"/>
      </w:pPr>
      <w:r>
        <w:t xml:space="preserve">The dissertation makes four contributions to the EWS literature.</w:t>
      </w:r>
    </w:p>
    <w:p>
      <w:pPr>
        <w:pStyle w:val="BodyText"/>
      </w:pPr>
      <w:r>
        <w:rPr>
          <w:bCs/>
          <w:b/>
        </w:rPr>
        <w:t xml:space="preserve">Contribution 1: Empirical evidence that the standard EWS framework is fundamentally misspecified.</w:t>
      </w:r>
      <w:r>
        <w:t xml:space="preserve"> </w:t>
      </w:r>
      <w:r>
        <w:t xml:space="preserve">The strict temporal validation result, combined with the leave-one-country-out analysis and the 2007 cross-sectional crisis type discrimination, provides consistent evidence that the standard assumption of a stable mapping between macro-financial indicators and crisis risk is violated in the presence of regime heterogeneity. Fundamental credit-boom crises, contagion episodes, and speculative attacks exhibit structurally different precursor dynamics; a single global classifier trained on an undifferentiated crisis label is inherently misspecified across crisis types. This is not merely a limitation of the present models — it is a constraint on the standard EWS modelling paradigm itself. Within the 2007 cross-sectional evaluation, M4 assigns a mean probability of 0.599 to fundamentally driven crisis countries against 0.281 for contagion-driven cases, providing qualified evidence of mechanism-specific signal that the EWS framework has not previously examined systematically.</w:t>
      </w:r>
    </w:p>
    <w:p>
      <w:pPr>
        <w:pStyle w:val="BodyText"/>
      </w:pPr>
      <w:r>
        <w:rPr>
          <w:bCs/>
          <w:b/>
        </w:rPr>
        <w:t xml:space="preserve">Contribution 2: The first systematic FinBERT pipeline for the BIS speeches corpus.</w:t>
      </w:r>
      <w:r>
        <w:t xml:space="preserve"> </w:t>
      </w:r>
      <w:r>
        <w:t xml:space="preserve">FinBERT inference on 16,622 central bank speeches from 18 advanced economies over 1997–2020, aggregated to country-year level with rolling demeaning, constitutes a data contribution of this study. No pre-computed dataset of this scope matched to the JST panel exists in the public domain. Within the Stage 2 cross-sectional evaluation, M3 achieves AUPRC 0.411 against M2-matched’s 0.343 — a directional gain of 6.8 percentage points — with five sentiment features appearing in the top-20 SHAP rankings. The gain is directional and not statistically confirmed in either design (bootstrap 95% CI spanning zero), and all auxiliary tests (Granger causality, panel logistic regression) find no significant causal relationship between sentiment and crisis outcomes. The observed improvement is consistent with sentiment capturing information correlated with the GFC episode; it does not establish a generalisable predictive channel.</w:t>
      </w:r>
    </w:p>
    <w:p>
      <w:pPr>
        <w:pStyle w:val="BodyText"/>
      </w:pPr>
      <w:r>
        <w:rPr>
          <w:bCs/>
          <w:b/>
        </w:rPr>
        <w:t xml:space="preserve">Contribution 3: A model averaging extension with quantified disagreement analysis.</w:t>
      </w:r>
      <w:r>
        <w:t xml:space="preserve"> </w:t>
      </w:r>
      <w:r>
        <w:t xml:space="preserve">M4 achieves AUROC 0.943, AUPRC 0.440, and Brier Score 0.057 within the Stage 2 cross-sectional evaluation — higher on all three metrics than either component model. The Pearson correlation between M2-matched and M3 probability series is 0.811, indicating partial complementarity. Model disagreement is 2.75 times higher at crisis observations than at non-crisis ones (mean absolute difference 0.220 versus 0.080), confirming that ensemble gains arise where individual model uncertainty is highest — precisely the condition under which Holopainen and Sarlin (2017) demonstrate averaging to be most theoretically justified. The Brier Score improvement (0.0566 versus 0.0602 and 0.0608) is the most robust metric of ensemble benefit given the single-episode evaluation constraint.</w:t>
      </w:r>
    </w:p>
    <w:p>
      <w:pPr>
        <w:pStyle w:val="BodyText"/>
      </w:pPr>
      <w:r>
        <w:rPr>
          <w:bCs/>
          <w:b/>
        </w:rPr>
        <w:t xml:space="preserve">Contribution 4: Quantification of the interpretability–accuracy trade-off.</w:t>
      </w:r>
      <w:r>
        <w:t xml:space="preserve"> </w:t>
      </w:r>
      <w:r>
        <w:t xml:space="preserve">The M1→M1b→M2 decomposition isolates the contributions of lag depth and model non-linearity: adding multi-lag features increases M1’s AUPRC from 0.139 to 0.145; replacing logistic regression with Random Forest increases AUPRC further to 0.224. The M2→M3 transition adds 20 sentiment features with a directional AUPRC gain of 6.8 percentage points at the cost of increased feature complexity and reduced native transparency. This progression quantifies the trade-off that is central to the study’s research question, confirming H3.</w:t>
      </w:r>
    </w:p>
    <w:bookmarkEnd w:id="21"/>
    <w:bookmarkStart w:id="22" w:name="answers-to-the-research-questions"/>
    <w:p>
      <w:pPr>
        <w:pStyle w:val="Heading2"/>
      </w:pPr>
      <w:r>
        <w:t xml:space="preserve">6.3 Answers to the Research Questions</w:t>
      </w:r>
    </w:p>
    <w:p>
      <w:pPr>
        <w:pStyle w:val="FirstParagraph"/>
      </w:pPr>
      <w:r>
        <w:rPr>
          <w:bCs/>
          <w:b/>
        </w:rPr>
        <w:t xml:space="preserve">Main research question:</w:t>
      </w:r>
      <w:r>
        <w:t xml:space="preserve"> </w:t>
      </w:r>
      <w:r>
        <w:t xml:space="preserve">The integration of FinBERT-derived sentiment signals produces a directional improvement in discrimination (AUPRC) within the Stage 2 cross-sectional evaluation. This improvement is not statistically confirmed, is confined to a single crisis episode, and does not survive genuinely prospective evaluation. The answer to the main research question is therefore: yes, measurably within the GFC evaluation setting, but the measurement does not constitute evidence of stable, deployable improvement in forward-looking predictive power.</w:t>
      </w:r>
    </w:p>
    <w:p>
      <w:pPr>
        <w:pStyle w:val="BodyText"/>
      </w:pPr>
      <w:r>
        <w:rPr>
          <w:bCs/>
          <w:b/>
        </w:rPr>
        <w:t xml:space="preserve">SQ1 (Discrimination):</w:t>
      </w:r>
      <w:r>
        <w:t xml:space="preserve"> </w:t>
      </w:r>
      <w:r>
        <w:t xml:space="preserve">H1 is supported directionally on AUPRC in Stage 2 (0.411 versus 0.343). The pattern is consistent across the original and augmented designs but does not constitute independent evidence, as both share the same GFC episode. Not statistically confirmed.</w:t>
      </w:r>
    </w:p>
    <w:p>
      <w:pPr>
        <w:pStyle w:val="BodyText"/>
      </w:pPr>
      <w:r>
        <w:rPr>
          <w:bCs/>
          <w:b/>
        </w:rPr>
        <w:t xml:space="preserve">SQ2 (Interpretability trade-off):</w:t>
      </w:r>
      <w:r>
        <w:t xml:space="preserve"> </w:t>
      </w:r>
      <w:r>
        <w:t xml:space="preserve">H3 is supported. The trade-off is quantifiable and horizon-contingent: each step in the M1→M2→M3 progression sacrifices native transparency for accuracy gains, with the magnitudes depending on evaluation design.</w:t>
      </w:r>
    </w:p>
    <w:p>
      <w:pPr>
        <w:pStyle w:val="BodyText"/>
      </w:pPr>
      <w:r>
        <w:rPr>
          <w:bCs/>
          <w:b/>
        </w:rPr>
        <w:t xml:space="preserve">SQ3 (Feature relevance):</w:t>
      </w:r>
      <w:r>
        <w:t xml:space="preserve"> </w:t>
      </w:r>
      <w:r>
        <w:t xml:space="preserve">H2 is not supported in its strict formulation — no sentiment feature ranks in the top five by SHAP. Weakly observed in a broader sense: five sentiment features appear in the top 20, and aggregate sentiment attribution is 26.2 per cent. Rankings are unstable across specifications. The instability of SHAP rankings suggests that feature importance reflects sample-specific correlation structures rather than stable economic relationships.</w:t>
      </w:r>
    </w:p>
    <w:bookmarkEnd w:id="22"/>
    <w:bookmarkStart w:id="23" w:name="limitations"/>
    <w:p>
      <w:pPr>
        <w:pStyle w:val="Heading2"/>
      </w:pPr>
      <w:r>
        <w:t xml:space="preserve">6.4 Limitations</w:t>
      </w:r>
    </w:p>
    <w:p>
      <w:pPr>
        <w:pStyle w:val="FirstParagraph"/>
      </w:pPr>
      <w:r>
        <w:t xml:space="preserve">The dominant limitation is the single-episode evaluation structure. Stage 2 evaluation rests on 11 crisis events in 2007 across 18 countries — cross-sectional country ranking within a known crisis episode, not temporal predictive validation. All Stage 2 results, including those for M3 and M4, characterise model behaviour within the GFC cross-section and should not be extrapolated to other crisis configurations or deployment settings.</w:t>
      </w:r>
    </w:p>
    <w:p>
      <w:pPr>
        <w:pStyle w:val="BodyText"/>
      </w:pPr>
      <w:r>
        <w:t xml:space="preserve">The crisis label heterogeneity discussed in Chapter 5 affects training data quality throughout. Training on an undifferentiated crisis target that conflates fundamental, contagion, and exogenous shock episodes introduces systematic noise into the learning problem. This limitation cannot be addressed without a mechanism-labelled crisis chronology, which does not currently exist for the JST panel.</w:t>
      </w:r>
    </w:p>
    <w:p>
      <w:pPr>
        <w:pStyle w:val="BodyText"/>
      </w:pPr>
      <w:r>
        <w:t xml:space="preserve">The FinBERT pipeline introduces measurement uncertainty through the mismatch between its training register (financial news text) and the central bank communication genre. Country-level aggregation further smooths over intra-year variation that may carry predictive information. Bootstrap confidence intervals are indicative only given panel dependence in the evaluation data.</w:t>
      </w:r>
    </w:p>
    <w:bookmarkEnd w:id="23"/>
    <w:bookmarkStart w:id="24" w:name="future-research-directions"/>
    <w:p>
      <w:pPr>
        <w:pStyle w:val="Heading2"/>
      </w:pPr>
      <w:r>
        <w:t xml:space="preserve">6.5 Future Research Directions</w:t>
      </w:r>
    </w:p>
    <w:p>
      <w:pPr>
        <w:pStyle w:val="FirstParagraph"/>
      </w:pPr>
      <w:r>
        <w:t xml:space="preserve">Three extensions follow directly from the findings.</w:t>
      </w:r>
    </w:p>
    <w:p>
      <w:pPr>
        <w:pStyle w:val="BodyText"/>
      </w:pPr>
      <w:r>
        <w:t xml:space="preserve">The most immediately feasible extension applies a text-as-data approach following Ho, Moench and Steeley (2022), replacing generic FinBERT sentiment scores with topic-specific prevalence measures derived from Latent Dirichlet Allocation topic modelling of the same 16,622 speeches. Topic prevalence time series — tracking the share of central bank discourse devoted to credit risk, housing markets, or systemic vulnerability — may produce more stable cross-episode features than aggregate sentiment polarity. This extension requires no additional data.</w:t>
      </w:r>
    </w:p>
    <w:p>
      <w:pPr>
        <w:pStyle w:val="BodyText"/>
      </w:pPr>
      <w:r>
        <w:t xml:space="preserve">A second extension concerns the ensemble framework. The M4 implementation uses equal weights and simple averaging, which Holopainen and Sarlin (2017) treat as one variant within a broader Bayesian Model Averaging framework. Full BMA implementation — weighting each model’s prediction by its posterior probability given the data — would provide a theoretically grounded approach to model uncertainty that goes beyond the present equal-weight design. This requires specifying prior distributions over model parameters, which is non-trivial for non-parametric models, but the expanding-window design provides the temporal structure needed for sequential posterior updating.</w:t>
      </w:r>
    </w:p>
    <w:p>
      <w:pPr>
        <w:pStyle w:val="BodyText"/>
      </w:pPr>
      <w:r>
        <w:t xml:space="preserve">A third extension addresses the contagion channel that the present model cannot observe. Incorporating cross-country financial linkage measures — bilateral bank exposure from BIS consolidated banking statistics, cross-border capital flow intensity — would allow future models to distinguish domestically generated stress from externally transmitted contagion, directly addressing the mechanism heterogeneity identified in the 2007 cross-sectional analysis.</w:t>
      </w:r>
    </w:p>
    <w:bookmarkEnd w:id="24"/>
    <w:bookmarkStart w:id="25" w:name="closing-statement"/>
    <w:p>
      <w:pPr>
        <w:pStyle w:val="Heading2"/>
      </w:pPr>
      <w:r>
        <w:t xml:space="preserve">6.6 Closing Statement</w:t>
      </w:r>
    </w:p>
    <w:p>
      <w:pPr>
        <w:pStyle w:val="FirstParagraph"/>
      </w:pPr>
      <w:r>
        <w:t xml:space="preserve">The central contribution of this dissertation is demonstrating what early-warning models cannot do as rigorously as demonstrating what they can. Models that appear to achieve high discrimination under standard expanding-window evaluation collapse under genuinely prospective conditions, and this failure is not a consequence of limited training data — it is a consequence of non-stationarity in the crisis-generating process across regimes. Extending training history, augmenting features with LLM-derived sentiment, and combining models through ensemble averaging all produce measurable improvements within the GFC cross-section, but none resolves the underlying generalisation problem. That problem reflects a fundamental misspecification in the standard EWS modelling paradigm, and resolving it requires either regime-specific model design, mechanism-labelled training data, or evaluation frameworks that can distinguish crisis type from crisis onset. These are challenges for the next generation of EWS research, and the present study provides both the empirical evidence that motivates them and the methodological foundation on which to build.</w:t>
      </w:r>
    </w:p>
    <w:p>
      <w:r>
        <w:pict>
          <v:rect style="width:0;height:1.5pt" o:hralign="center" o:hrstd="t" o:hr="t"/>
        </w:pict>
      </w:r>
    </w:p>
    <w:p>
      <w:pPr>
        <w:pStyle w:val="FirstParagraph"/>
      </w:pPr>
      <w:r>
        <w:rPr>
          <w:iCs/>
          <w:i/>
        </w:rPr>
        <w:t xml:space="preserve">Chapter 6 drafted: April 2026</w:t>
      </w:r>
    </w:p>
    <w:bookmarkEnd w:id="25"/>
    <w:bookmarkEnd w:id="26"/>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2026-04-09T21:57:44Z</dcterms:created>
  <dcterms:modified xsi:type="dcterms:W3CDTF">2026-04-09T21:57:44Z</dcterms:modified>
</cp:coreProperties>
</file>

<file path=docProps/custom.xml><?xml version="1.0" encoding="utf-8"?>
<Properties xmlns="http://schemas.openxmlformats.org/officeDocument/2006/custom-properties" xmlns:vt="http://schemas.openxmlformats.org/officeDocument/2006/docPropsVTypes"/>
</file>