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rPr>
          <w:iCs/>
          <w:i/>
        </w:rPr>
        <w:t xml:space="preserve">Economic Crisis Prediction: Improving the Trade-off Between Interpretability and Statistical Accuracy in ML-Enhanced Crisis Prediction Models</w:t>
      </w:r>
    </w:p>
    <w:p>
      <w:pPr>
        <w:pStyle w:val="BodyText"/>
      </w:pPr>
      <w:r>
        <w:t xml:space="preserve">Pavlos Papachristos • PP24589 • MSc Artificial Intelligence, University of Essex Online • April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Alessi, L. and Detken, C. (2018)</w:t>
      </w:r>
      <w:r>
        <w:t xml:space="preserve"> </w:t>
      </w:r>
      <w:r>
        <w:t xml:space="preserve">‘</w:t>
      </w:r>
      <w:r>
        <w:t xml:space="preserve">Identifying excessive credit growth and leverage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Journal of Financial Stability</w:t>
      </w:r>
      <w:r>
        <w:t xml:space="preserve">, 35, pp. 215–225. doi:10.1016/j.jfs.2017.06.005.</w:t>
      </w:r>
    </w:p>
    <w:p>
      <w:pPr>
        <w:pStyle w:val="BodyText"/>
      </w:pPr>
      <w:r>
        <w:t xml:space="preserve">Bekaert, G., Popov, A. and Thaler, D. (2023)</w:t>
      </w:r>
      <w:r>
        <w:t xml:space="preserve"> </w:t>
      </w:r>
      <w:r>
        <w:rPr>
          <w:iCs/>
          <w:i/>
        </w:rPr>
        <w:t xml:space="preserve">Central bank communication and financial market stress</w:t>
      </w:r>
      <w:r>
        <w:t xml:space="preserve">. BIS Working Paper No. 1079. Basel: Bank for International Settlements.</w:t>
      </w:r>
    </w:p>
    <w:p>
      <w:pPr>
        <w:pStyle w:val="BodyText"/>
      </w:pPr>
      <w:r>
        <w:t xml:space="preserve">Beutel, J., List, S. and von Schweinitz, G. (2019)</w:t>
      </w:r>
      <w:r>
        <w:t xml:space="preserve"> </w:t>
      </w:r>
      <w:r>
        <w:t xml:space="preserve">‘</w:t>
      </w:r>
      <w:r>
        <w:t xml:space="preserve">Does machine learning help us predict banking crises?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Journal of Financial Stability</w:t>
      </w:r>
      <w:r>
        <w:t xml:space="preserve">, 45, article 100693. doi:10.1016/j.jfs.2019.07.005.</w:t>
      </w:r>
    </w:p>
    <w:p>
      <w:pPr>
        <w:pStyle w:val="BodyText"/>
      </w:pPr>
      <w:r>
        <w:t xml:space="preserve">Blinder, A.S., Ehrmann, M., Fratzscher, M., de Haan, J. and Jansen, D.J. (2008)</w:t>
      </w:r>
      <w:r>
        <w:t xml:space="preserve"> </w:t>
      </w:r>
      <w:r>
        <w:t xml:space="preserve">‘</w:t>
      </w:r>
      <w:r>
        <w:t xml:space="preserve">Central bank communication and monetary policy: A survey of theory and evidence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Journal of Economic Literature</w:t>
      </w:r>
      <w:r>
        <w:t xml:space="preserve">, 46(4), pp. 910–945. doi:10.1257/jel.46.4.910.</w:t>
      </w:r>
    </w:p>
    <w:p>
      <w:pPr>
        <w:pStyle w:val="BodyText"/>
      </w:pPr>
      <w:r>
        <w:t xml:space="preserve">Cetorelli, N. and Goldberg, L.S. (2011)</w:t>
      </w:r>
      <w:r>
        <w:t xml:space="preserve"> </w:t>
      </w:r>
      <w:r>
        <w:t xml:space="preserve">‘</w:t>
      </w:r>
      <w:r>
        <w:t xml:space="preserve">Global banks and international shock transmission: Evidence from the crisis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IMF Economic Review</w:t>
      </w:r>
      <w:r>
        <w:t xml:space="preserve">, 59(1), pp. 41–76. doi:10.1057/imfer.2010.6.</w:t>
      </w:r>
    </w:p>
    <w:p>
      <w:pPr>
        <w:pStyle w:val="BodyText"/>
      </w:pPr>
      <w:r>
        <w:t xml:space="preserve">Davis, J. and Goadrich, M. (2006)</w:t>
      </w:r>
      <w:r>
        <w:t xml:space="preserve"> </w:t>
      </w:r>
      <w:r>
        <w:t xml:space="preserve">‘</w:t>
      </w:r>
      <w:r>
        <w:t xml:space="preserve">The relationship between precision-recall and ROC curves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Proceedings of the 23rd International Conference on Machine Learning</w:t>
      </w:r>
      <w:r>
        <w:t xml:space="preserve">, pp. 233–240. doi:10.1145/1143844.1143874.</w:t>
      </w:r>
    </w:p>
    <w:p>
      <w:pPr>
        <w:pStyle w:val="BodyText"/>
      </w:pPr>
      <w:r>
        <w:t xml:space="preserve">Devlin, J., Chang, M.W., Lee, K. and Toutanova, K. (2019)</w:t>
      </w:r>
      <w:r>
        <w:t xml:space="preserve"> </w:t>
      </w:r>
      <w:r>
        <w:t xml:space="preserve">‘</w:t>
      </w:r>
      <w:r>
        <w:t xml:space="preserve">BERT: Pre-training of deep bidirectional transformers for language understanding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Proceedings of NAACL-HLT 2019</w:t>
      </w:r>
      <w:r>
        <w:t xml:space="preserve">, pp. 4171–4186. doi:10.18653/v1/N19-1423.</w:t>
      </w:r>
    </w:p>
    <w:p>
      <w:pPr>
        <w:pStyle w:val="BodyText"/>
      </w:pPr>
      <w:r>
        <w:t xml:space="preserve">Ferrara, L. and Angino, S. (2022)</w:t>
      </w:r>
      <w:r>
        <w:t xml:space="preserve"> </w:t>
      </w:r>
      <w:r>
        <w:rPr>
          <w:iCs/>
          <w:i/>
        </w:rPr>
        <w:t xml:space="preserve">Does clarity make central banks more credible? Assessing ECB communication</w:t>
      </w:r>
      <w:r>
        <w:t xml:space="preserve">. ECB Working Paper No. 2671. Frankfurt: European Central Bank.</w:t>
      </w:r>
    </w:p>
    <w:p>
      <w:pPr>
        <w:pStyle w:val="BodyText"/>
      </w:pPr>
      <w:r>
        <w:t xml:space="preserve">Ho, P., Moench, E. and Steeley, J. (2022)</w:t>
      </w:r>
      <w:r>
        <w:t xml:space="preserve"> </w:t>
      </w:r>
      <w:r>
        <w:t xml:space="preserve">‘</w:t>
      </w:r>
      <w:r>
        <w:t xml:space="preserve">The text-as-data approach to central bank communication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Journal of Money, Credit and Banking</w:t>
      </w:r>
      <w:r>
        <w:t xml:space="preserve">, 54(8), pp. 2225–2263. doi:10.1111/jmcb.12944.</w:t>
      </w:r>
    </w:p>
    <w:p>
      <w:pPr>
        <w:pStyle w:val="BodyText"/>
      </w:pPr>
      <w:r>
        <w:t xml:space="preserve">Holopainen, M. and Sarlin, P. (2017)</w:t>
      </w:r>
      <w:r>
        <w:t xml:space="preserve"> </w:t>
      </w:r>
      <w:r>
        <w:t xml:space="preserve">‘</w:t>
      </w:r>
      <w:r>
        <w:t xml:space="preserve">Toward robust early-warning models: A horse race, ensembles and model uncertainty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Quantitative Finance</w:t>
      </w:r>
      <w:r>
        <w:t xml:space="preserve">, 17(12), pp. 1933–1963. doi:10.1080/14697688.2017.1357972.</w:t>
      </w:r>
    </w:p>
    <w:p>
      <w:pPr>
        <w:pStyle w:val="BodyText"/>
      </w:pPr>
      <w:r>
        <w:t xml:space="preserve">Huang, A.H., Wang, H. and Yang, Y. (2023)</w:t>
      </w:r>
      <w:r>
        <w:t xml:space="preserve"> </w:t>
      </w:r>
      <w:r>
        <w:t xml:space="preserve">‘</w:t>
      </w:r>
      <w:r>
        <w:t xml:space="preserve">FinBERT: A large language model for extracting information from financial text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Contemporary Accounting Research</w:t>
      </w:r>
      <w:r>
        <w:t xml:space="preserve">, 40(2), pp. 806–841. doi:10.1111/1911-3846.12832.</w:t>
      </w:r>
    </w:p>
    <w:p>
      <w:pPr>
        <w:pStyle w:val="BodyText"/>
      </w:pPr>
      <w:r>
        <w:t xml:space="preserve">Jordà, Ò., Schularick, M. and Taylor, A.M. (2017)</w:t>
      </w:r>
      <w:r>
        <w:t xml:space="preserve"> </w:t>
      </w:r>
      <w:r>
        <w:t xml:space="preserve">‘</w:t>
      </w:r>
      <w:r>
        <w:t xml:space="preserve">Macrofinancial history and the new business cycle facts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NBER Macroeconomics Annual</w:t>
      </w:r>
      <w:r>
        <w:t xml:space="preserve">, 31(1), pp. 213–263. doi:10.1086/690241.</w:t>
      </w:r>
    </w:p>
    <w:p>
      <w:pPr>
        <w:pStyle w:val="BodyText"/>
      </w:pPr>
      <w:r>
        <w:t xml:space="preserve">Kaminsky, G.L. and Reinhart, C.M. (1999)</w:t>
      </w:r>
      <w:r>
        <w:t xml:space="preserve"> </w:t>
      </w:r>
      <w:r>
        <w:t xml:space="preserve">‘</w:t>
      </w:r>
      <w:r>
        <w:t xml:space="preserve">The twin crises: The causes of banking and balance-of-payments problems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American Economic Review</w:t>
      </w:r>
      <w:r>
        <w:t xml:space="preserve">, 89(3), pp. 473–500. doi:10.1257/aer.89.3.473.</w:t>
      </w:r>
    </w:p>
    <w:p>
      <w:pPr>
        <w:pStyle w:val="BodyText"/>
      </w:pPr>
      <w:r>
        <w:t xml:space="preserve">Laeven, L. and Valencia, F. (2020)</w:t>
      </w:r>
      <w:r>
        <w:t xml:space="preserve"> </w:t>
      </w:r>
      <w:r>
        <w:t xml:space="preserve">‘</w:t>
      </w:r>
      <w:r>
        <w:t xml:space="preserve">Systemic banking crises database II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IMF Economic Review</w:t>
      </w:r>
      <w:r>
        <w:t xml:space="preserve">, 68(2), pp. 307–361. doi:10.1057/s41308-020-00107-3.</w:t>
      </w:r>
    </w:p>
    <w:p>
      <w:pPr>
        <w:pStyle w:val="BodyText"/>
      </w:pPr>
      <w:r>
        <w:t xml:space="preserve">Loughran, T. and McDonald, B. (2011)</w:t>
      </w:r>
      <w:r>
        <w:t xml:space="preserve"> </w:t>
      </w:r>
      <w:r>
        <w:t xml:space="preserve">‘</w:t>
      </w:r>
      <w:r>
        <w:t xml:space="preserve">When is a liability not a liability? Textual analysis, dictionaries, and 10-Ks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Journal of Finance</w:t>
      </w:r>
      <w:r>
        <w:t xml:space="preserve">, 66(1), pp. 35–65. doi:10.1111/j.1540-6261.2010.01625.x.</w:t>
      </w:r>
    </w:p>
    <w:p>
      <w:pPr>
        <w:pStyle w:val="BodyText"/>
      </w:pPr>
      <w:r>
        <w:t xml:space="preserve">Lundberg, S.M. and Lee, S.I. (2017)</w:t>
      </w:r>
      <w:r>
        <w:t xml:space="preserve"> </w:t>
      </w:r>
      <w:r>
        <w:t xml:space="preserve">‘</w:t>
      </w:r>
      <w:r>
        <w:t xml:space="preserve">A unified approach to interpreting model predictions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Advances in Neural Information Processing Systems</w:t>
      </w:r>
      <w:r>
        <w:t xml:space="preserve">, 30, pp. 4765–4774.</w:t>
      </w:r>
    </w:p>
    <w:p>
      <w:pPr>
        <w:pStyle w:val="BodyText"/>
      </w:pPr>
      <w:r>
        <w:t xml:space="preserve">Lundberg, S.M., Erion, G., Chen, H., DeGrave, A., Prutkin, J.M., Nair, B., Katz, R., Himmelfarb, J., Bansal, N. and Lee, S.I. (2020)</w:t>
      </w:r>
      <w:r>
        <w:t xml:space="preserve"> </w:t>
      </w:r>
      <w:r>
        <w:t xml:space="preserve">‘</w:t>
      </w:r>
      <w:r>
        <w:t xml:space="preserve">From local explanations to global understanding with explainable AI for trees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Nature Machine Intelligence</w:t>
      </w:r>
      <w:r>
        <w:t xml:space="preserve">, 2(1), pp. 56–67. doi:10.1038/s42256-019-0138-9.</w:t>
      </w:r>
    </w:p>
    <w:p>
      <w:pPr>
        <w:pStyle w:val="BodyText"/>
      </w:pPr>
      <w:r>
        <w:t xml:space="preserve">Morris, S. and Shin, H.S. (2002)</w:t>
      </w:r>
      <w:r>
        <w:t xml:space="preserve"> </w:t>
      </w:r>
      <w:r>
        <w:t xml:space="preserve">‘</w:t>
      </w:r>
      <w:r>
        <w:t xml:space="preserve">Social value of public information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American Economic Review</w:t>
      </w:r>
      <w:r>
        <w:t xml:space="preserve">, 92(5), pp. 1521–1534. doi:10.1257/000282802762024610.</w:t>
      </w:r>
    </w:p>
    <w:p>
      <w:pPr>
        <w:pStyle w:val="BodyText"/>
      </w:pPr>
      <w:r>
        <w:t xml:space="preserve">Obstfeld, M. (1996)</w:t>
      </w:r>
      <w:r>
        <w:t xml:space="preserve"> </w:t>
      </w:r>
      <w:r>
        <w:t xml:space="preserve">‘</w:t>
      </w:r>
      <w:r>
        <w:t xml:space="preserve">Models of currency crises with self-fulfilling features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European Economic Review</w:t>
      </w:r>
      <w:r>
        <w:t xml:space="preserve">, 40(3–5), pp. 1037–1047. doi:10.1016/0014-2921(95)00111-5.</w:t>
      </w:r>
    </w:p>
    <w:p>
      <w:pPr>
        <w:pStyle w:val="BodyText"/>
      </w:pPr>
      <w:r>
        <w:t xml:space="preserve">Reinhart, C.M. and Rogoff, K.S. (2009)</w:t>
      </w:r>
      <w:r>
        <w:t xml:space="preserve"> </w:t>
      </w:r>
      <w:r>
        <w:rPr>
          <w:iCs/>
          <w:i/>
        </w:rPr>
        <w:t xml:space="preserve">This Time Is Different: Eight Centuries of Financial Folly</w:t>
      </w:r>
      <w:r>
        <w:t xml:space="preserve">. Princeton: Princeton University Press.</w:t>
      </w:r>
    </w:p>
    <w:p>
      <w:pPr>
        <w:pStyle w:val="BodyText"/>
      </w:pPr>
      <w:r>
        <w:t xml:space="preserve">Saito, T. and Rehmsmeier, M. (2015)</w:t>
      </w:r>
      <w:r>
        <w:t xml:space="preserve"> </w:t>
      </w:r>
      <w:r>
        <w:t xml:space="preserve">‘</w:t>
      </w:r>
      <w:r>
        <w:t xml:space="preserve">The precision-recall plot is more informative than the ROC plot when evaluating binary classifiers on imbalanced datasets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PLOS ONE</w:t>
      </w:r>
      <w:r>
        <w:t xml:space="preserve">, 10(3), article e0118432. doi:10.1371/journal.pone.0118432.</w:t>
      </w:r>
    </w:p>
    <w:p>
      <w:pPr>
        <w:pStyle w:val="BodyText"/>
      </w:pPr>
      <w:r>
        <w:t xml:space="preserve">Schularick, M. and Taylor, A.M. (2012)</w:t>
      </w:r>
      <w:r>
        <w:t xml:space="preserve"> </w:t>
      </w:r>
      <w:r>
        <w:t xml:space="preserve">‘</w:t>
      </w:r>
      <w:r>
        <w:t xml:space="preserve">Credit booms gone bust: Monetary policy, leverage cycles, and financial crises, 1870–2008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American Economic Review</w:t>
      </w:r>
      <w:r>
        <w:t xml:space="preserve">, 102(2), pp. 1029–1061. doi:10.1257/aer.102.2.1029.</w:t>
      </w:r>
    </w:p>
    <w:p>
      <w:r>
        <w:pict>
          <v:rect style="width:0;height:1.5pt" o:hralign="center" o:hrstd="t" o:hr="t"/>
        </w:pict>
      </w:r>
    </w:p>
    <w:bookmarkEnd w:id="20"/>
    <w:sectPr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styleId="Heading2" w:type="paragraph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5E9E"/>
      <w:sz w:val="26"/>
      <w:szCs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2026-04-09T21:57:44Z</dcterms:created>
  <dcterms:modified xsi:type="dcterms:W3CDTF">2026-04-09T21:57:44Z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