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bstract"/>
    <w:p>
      <w:pPr>
        <w:pStyle w:val="Heading1"/>
      </w:pPr>
      <w:r>
        <w:t xml:space="preserve">Abstract</w:t>
      </w:r>
    </w:p>
    <w:p>
      <w:pPr>
        <w:pStyle w:val="FirstParagraph"/>
      </w:pPr>
      <w:r>
        <w:rPr>
          <w:iCs/>
          <w:i/>
        </w:rPr>
        <w:t xml:space="preserve">Economic Crisis Prediction: Improving the Trade-off Between Interpretability and Statistical Accuracy in ML-Enhanced Crisis Prediction Models</w:t>
      </w:r>
    </w:p>
    <w:p>
      <w:pPr>
        <w:pStyle w:val="BodyText"/>
      </w:pPr>
      <w:r>
        <w:t xml:space="preserve">Pavlos Papachristos • PP24589 • MSc Artificial Intelligence, University of Essex Online • April 2026</w:t>
      </w:r>
    </w:p>
    <w:p>
      <w:r>
        <w:pict>
          <v:rect style="width:0;height:1.5pt" o:hralign="center" o:hrstd="t" o:hr="t"/>
        </w:pict>
      </w:r>
    </w:p>
    <w:p>
      <w:pPr>
        <w:pStyle w:val="FirstParagraph"/>
      </w:pPr>
      <w:r>
        <w:t xml:space="preserve">This dissertation investigates the conditions under which machine learning-based early-warning systems (EWS) for banking crises fail, and why that failure is structural rather than technical. The central question is not whether sentiment augmentation improves crisis prediction, but whether the predictive gains observed under standard evaluation designs survive genuinely prospective validation — and what the answer implies for the EWS modelling framework itself.</w:t>
      </w:r>
    </w:p>
    <w:p>
      <w:pPr>
        <w:pStyle w:val="BodyText"/>
      </w:pPr>
      <w:r>
        <w:t xml:space="preserve">The analysis extends a two-stage pipeline built on the JST Macrohistory Database R6 (Jordà, Schularick and Taylor, 2017) covering 18 advanced economies over 1989–2020. Stage 1 evaluates macro-only models — logistic regression (M1), Random Forest (M2), and an Explainable Boosting Machine (EBM, M2.5) — across 37 crisis events on the extended panel. Stage 2 evaluates XGBoost augmented with FinBERT central bank speech sentiment (M3) against macro baselines on 26 crisis events over 2003–2020. EBM is introduced as a natively interpretable non-linear benchmark whose fitted shape functions provide direct, post-hoc-free evidence about the feature-risk mapping learned by the model.</w:t>
      </w:r>
    </w:p>
    <w:p>
      <w:pPr>
        <w:pStyle w:val="BodyText"/>
      </w:pPr>
      <w:r>
        <w:t xml:space="preserve">Four principal findings emerge. First, extending macro training history by fifteen years across multiple pre-GFC crisis episodes does not resolve the generalisation problem: M2 achieves AUROC 0.481 under strict temporal validation, below the random classifier threshold. Second, EBM achieves higher expanding-window metrics than both M2 and M3 (Stage 1 AUROC 0.753; Stage 2 AUPRC 0.532) but collapses more severely under prospective evaluation (AUROC 0.333), demonstrating that greater representational flexibility exacerbates regime-specific overfitting even in natively interpretable models. Third, EBM shape functions — estimated separately on pre-GFC and GFC-inclusive training windows — are qualitatively distinct across regimes, making the learned feature-risk instability directly visible without any post-hoc attribution approximation. Fourth, FinBERT sentiment contributes a directional but statistically unconfirmed AUPRC increment (6.8 percentage points, 95% CI spanning zero) that is better attributed to algorithm non-linearity than to a stable sentiment signal.</w:t>
      </w:r>
    </w:p>
    <w:p>
      <w:pPr>
        <w:pStyle w:val="BodyText"/>
      </w:pPr>
      <w:r>
        <w:t xml:space="preserve">Taken together, these findings demonstrate that the failure of machine learning-based EWS is not primarily a function of model choice, feature design, or data availability, but of a deeper structural instability in the mapping between predictors and crisis outcomes across regimes — a limitation that cannot be resolved through additional data, model complexity, or interpretability enhancements.</w:t>
      </w:r>
    </w:p>
    <w:bookmarkEnd w:id="20"/>
    <w:sectPr>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
    <w:lvlOverride w:ilvl="0">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Heading1" w:type="paragraph">
    <w:name w:val="Heading 1"/>
    <w:basedOn w:val="Normal"/>
    <w:next w:val="Normal"/>
    <w:qFormat/>
    <w:pPr>
      <w:spacing w:after="180" w:before="360"/>
      <w:outlineLvl w:val="0"/>
    </w:pPr>
    <w:rPr>
      <w:rFonts w:ascii="Times New Roman" w:cs="Times New Roman" w:eastAsia="Times New Roman" w:hAnsi="Times New Roman"/>
      <w:b/>
      <w:bCs/>
      <w:color w:val="1F3864"/>
      <w:sz w:val="28"/>
      <w:szCs w:val="28"/>
    </w:rPr>
  </w:style>
  <w:style w:styleId="Heading2" w:type="paragraph">
    <w:name w:val="Heading 2"/>
    <w:basedOn w:val="Normal"/>
    <w:next w:val="Normal"/>
    <w:qFormat/>
    <w:pPr>
      <w:spacing w:after="120" w:before="240"/>
      <w:outlineLvl w:val="1"/>
    </w:pPr>
    <w:rPr>
      <w:rFonts w:ascii="Times New Roman" w:cs="Times New Roman" w:eastAsia="Times New Roman" w:hAnsi="Times New Roman"/>
      <w:b/>
      <w:bCs/>
      <w:color w:val="2E5E9E"/>
      <w:sz w:val="26"/>
      <w:szCs w:val="26"/>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2026-04-12T19:03:14Z</dcterms:created>
  <dcterms:modified xsi:type="dcterms:W3CDTF">2026-04-12T19:03:14Z</dcterms:modified>
</cp:coreProperties>
</file>

<file path=docProps/custom.xml><?xml version="1.0" encoding="utf-8"?>
<Properties xmlns="http://schemas.openxmlformats.org/officeDocument/2006/custom-properties" xmlns:vt="http://schemas.openxmlformats.org/officeDocument/2006/docPropsVTypes"/>
</file>