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hapter-1-introduction"/>
    <w:p>
      <w:pPr>
        <w:pStyle w:val="Heading1"/>
      </w:pPr>
      <w:r>
        <w:t xml:space="preserve">Chapter 1: Introduction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background-and-motivation"/>
    <w:p>
      <w:pPr>
        <w:pStyle w:val="Heading2"/>
      </w:pPr>
      <w:r>
        <w:t xml:space="preserve">1.1 Background and Motivation</w:t>
      </w:r>
    </w:p>
    <w:p>
      <w:pPr>
        <w:pStyle w:val="FirstParagraph"/>
      </w:pPr>
      <w:r>
        <w:t xml:space="preserve">The failure to anticipate systemic banking crises carries severe economic consequences. The Global Financial Crisis of 2007–2009 resulted in output losses equivalent to several years of GDP growth across advanced economies, triggered coordinated central bank interventions of unprecedented scale, and exposed critical gaps in the analytical frameworks used by supervisory authorities to monitor financial system stability (Laeven and Valencia, 2020). Despite the substantial research effort directed at early-warning systems (EWS) in the decade that followed, the fundamental challenge remains unresolved: how to construct models that identify the build-up of systemic risk sufficiently far in advance to permit effective policy intervention, and that remain reliable across structurally different crisis configurations.</w:t>
      </w:r>
    </w:p>
    <w:p>
      <w:pPr>
        <w:pStyle w:val="BodyText"/>
      </w:pPr>
      <w:r>
        <w:t xml:space="preserve">The early-warning system literature has evolved through two broad phases. The first, associated with the signal extraction approach of Kaminsky, Lizondo and Reinhart (1998) and the logistic regression framework of Demirgüç-Kunt and Detragiache (1998), relied on simple statistical models applied to a small number of macroeconomic indicators. These models achieved reasonable in-sample discrimination but were limited by their linear functional form and their inability to capture non-linear interactions among crisis precursors. The second phase, which gathered pace after the GFC, introduced machine learning methods — Random Forest, XGBoost, neural networks — that substantially improved discrimination metrics within standard expanding-window cross-validation designs (Alessi and Detken, 2018; Beutel, List and von Schweinitz, 2019). However, the reliability of these improvements was questioned once researchers applied strict temporal validation: models trained exclusively on pre-crisis data and evaluated on subsequent crisis episodes consistently failed to meet the 0.75 AUROC benchmark that the literature treats as the threshold for practically useful prediction (Beutel, List and von Schweinitz, 2019).</w:t>
      </w:r>
    </w:p>
    <w:p>
      <w:pPr>
        <w:pStyle w:val="BodyText"/>
      </w:pPr>
      <w:r>
        <w:t xml:space="preserve">A parallel development in the literature has been the introduction of textual data from central bank communications as a complementary signal. The intuition is that central bankers — who have access to supervisory information unavailable in public macroeconomic databases — may signal their private assessments of systemic risk through their public communications, either deliberately through forward guidance or implicitly through the tone and emphasis of their language. Sentiment extraction from BIS central bank speeches using the FinBERT model (Yang, UIT-Fintech and Liu, 2020), a domain-adapted version of BERT fine-tuned on financial text, provides a systematic approach to operationalising this channel at scale across multiple countries and years.</w:t>
      </w:r>
    </w:p>
    <w:p>
      <w:pPr>
        <w:pStyle w:val="BodyText"/>
      </w:pPr>
      <w:r>
        <w:t xml:space="preserve">Both developments — machine learning for macro-based discrimination and text-based sentiment augmentation — raise a common question that the existing literature has not fully addressed: under what conditions do the performance gains observed within standard evaluation frameworks survive genuinely prospective testing, and what does the answer reveal about the underlying properties of the crisis prediction problem? This dissertation addresses that question directly, using an extended macro panel, a natively interpretable non-linear model, and strict temporal validation as its primary analytical tools.</w:t>
      </w:r>
    </w:p>
    <w:p>
      <w:r>
        <w:pict>
          <v:rect style="width:0;height:1.5pt" o:hralign="center" o:hrstd="t" o:hr="t"/>
        </w:pict>
      </w:r>
    </w:p>
    <w:bookmarkEnd w:id="20"/>
    <w:bookmarkStart w:id="21" w:name="research-problem"/>
    <w:p>
      <w:pPr>
        <w:pStyle w:val="Heading2"/>
      </w:pPr>
      <w:r>
        <w:t xml:space="preserve">1.2 Research Problem</w:t>
      </w:r>
    </w:p>
    <w:p>
      <w:pPr>
        <w:pStyle w:val="FirstParagraph"/>
      </w:pPr>
      <w:r>
        <w:t xml:space="preserve">The core research problem has two dimensions that are conceptually linked but analytically distinct.</w:t>
      </w:r>
    </w:p>
    <w:p>
      <w:pPr>
        <w:pStyle w:val="BodyText"/>
      </w:pPr>
      <w:r>
        <w:t xml:space="preserve">The first is methodological. Standard expanding-window cross-validation in the EWS context is prone to a specific form of evaluation bias: as training folds accumulate over time, later folds incorporate crisis-period data into the training set, allowing the model to learn the statistical signature of the very crisis it is subsequently evaluated on. This produces high expanding-window metrics that overstate prospective predictive performance — a problem that is particularly severe in datasets dominated by a single crisis episode, as the GFC-concentrated 2003–2020 panel used in much of the recent literature. Quantifying the gap between expanding-window performance and genuine prospective performance is therefore a prerequisite for credible evaluation of any EWS design choice.</w:t>
      </w:r>
    </w:p>
    <w:p>
      <w:pPr>
        <w:pStyle w:val="BodyText"/>
      </w:pPr>
      <w:r>
        <w:t xml:space="preserve">The second dimension is theoretical. Even under properly prospective evaluation, models trained on historical crisis data face a more fundamental challenge: the data-generating process that produces crisis outcomes may not be stationary across time. Different crisis types — domestic credit-boom collapses, contagion events, speculative attacks, exogenous real shocks — are associated with different macro-financial precursor patterns. A model trained predominantly on one crisis type will learn a mapping between features and outcomes that does not generalise to structurally different episodes, irrespective of how much data it is given or how sophisticated its architecture. Understanding whether the generalisation failure of ML-based EWS is a correctable technical problem or a structural consequence of non-stationarity in the underlying process is the central theoretical question this dissertation addresses.</w:t>
      </w:r>
    </w:p>
    <w:p>
      <w:r>
        <w:pict>
          <v:rect style="width:0;height:1.5pt" o:hralign="center" o:hrstd="t" o:hr="t"/>
        </w:pict>
      </w:r>
    </w:p>
    <w:bookmarkEnd w:id="21"/>
    <w:bookmarkStart w:id="22" w:name="research-aim-and-objectives"/>
    <w:p>
      <w:pPr>
        <w:pStyle w:val="Heading2"/>
      </w:pPr>
      <w:r>
        <w:t xml:space="preserve">1.3 Research Aim and Objectives</w:t>
      </w:r>
    </w:p>
    <w:p>
      <w:pPr>
        <w:pStyle w:val="FirstParagraph"/>
      </w:pPr>
      <w:r>
        <w:rPr>
          <w:bCs/>
          <w:b/>
        </w:rPr>
        <w:t xml:space="preserve">Research Aim:</w:t>
      </w:r>
      <w:r>
        <w:t xml:space="preserve"> </w:t>
      </w:r>
      <w:r>
        <w:t xml:space="preserve">To investigate the extent to which machine learning-based early-warning systems for banking crises achieve genuinely prospective predictive performance, and to characterise the structural conditions under which their generalisation fails, using an interpretable non-linear benchmark that makes the failure mechanism directly visible.</w:t>
      </w:r>
    </w:p>
    <w:p>
      <w:pPr>
        <w:pStyle w:val="BodyText"/>
      </w:pPr>
      <w:r>
        <w:rPr>
          <w:bCs/>
          <w:b/>
        </w:rPr>
        <w:t xml:space="preserve">Research Objectives:</w:t>
      </w:r>
    </w:p>
    <w:p>
      <w:pPr>
        <w:pStyle w:val="BodyText"/>
      </w:pPr>
      <w:r>
        <w:rPr>
          <w:bCs/>
          <w:b/>
        </w:rPr>
        <w:t xml:space="preserve">O1.</w:t>
      </w:r>
      <w:r>
        <w:t xml:space="preserve"> </w:t>
      </w:r>
      <w:r>
        <w:t xml:space="preserve">Extend the JST Macrohistory Database R6 panel from 2003–2020 to 1989–2020, incorporating the Nordic banking crisis cluster, Japan 1997, and further pre-GFC episodes, and evaluate whether the extended training history resolves the prospective generalisation failure identified in the original analysis.</w:t>
      </w:r>
    </w:p>
    <w:p>
      <w:pPr>
        <w:pStyle w:val="BodyText"/>
      </w:pPr>
      <w:r>
        <w:rPr>
          <w:bCs/>
          <w:b/>
        </w:rPr>
        <w:t xml:space="preserve">O2.</w:t>
      </w:r>
      <w:r>
        <w:t xml:space="preserve"> </w:t>
      </w:r>
      <w:r>
        <w:t xml:space="preserve">Implement and evaluate a sequence of models — logistic regression (M1), Random Forest (M2), Explainable Boosting Machine (M2.5), and XGBoost with FinBERT sentiment (M3) — using consistent expanding-window cross-validation and strict temporal validation across both stages.</w:t>
      </w:r>
    </w:p>
    <w:p>
      <w:pPr>
        <w:pStyle w:val="BodyText"/>
      </w:pPr>
      <w:r>
        <w:rPr>
          <w:bCs/>
          <w:b/>
        </w:rPr>
        <w:t xml:space="preserve">O3.</w:t>
      </w:r>
      <w:r>
        <w:t xml:space="preserve"> </w:t>
      </w:r>
      <w:r>
        <w:t xml:space="preserve">Introduce EBM as a natively interpretable benchmark and use its fitted shape functions to provide direct, post-hoc-free evidence about whether the learned feature-risk mapping is regime-stable or regime-dependent.</w:t>
      </w:r>
    </w:p>
    <w:p>
      <w:pPr>
        <w:pStyle w:val="BodyText"/>
      </w:pPr>
      <w:r>
        <w:rPr>
          <w:bCs/>
          <w:b/>
        </w:rPr>
        <w:t xml:space="preserve">O4.</w:t>
      </w:r>
      <w:r>
        <w:t xml:space="preserve"> </w:t>
      </w:r>
      <w:r>
        <w:t xml:space="preserve">Assess the incremental contribution of FinBERT-derived central bank speech sentiment to crisis discrimination, controlling for the algorithm effect identified through the EBM benchmark.</w:t>
      </w:r>
    </w:p>
    <w:p>
      <w:pPr>
        <w:pStyle w:val="BodyText"/>
      </w:pPr>
      <w:r>
        <w:rPr>
          <w:bCs/>
          <w:b/>
        </w:rPr>
        <w:t xml:space="preserve">O5.</w:t>
      </w:r>
      <w:r>
        <w:t xml:space="preserve"> </w:t>
      </w:r>
      <w:r>
        <w:t xml:space="preserve">Evaluate ensemble averaging as a response to model uncertainty under single-episode evaluation constraints, following the framework of Holopainen and Sarlin (2017).</w:t>
      </w:r>
    </w:p>
    <w:p>
      <w:pPr>
        <w:pStyle w:val="BodyText"/>
      </w:pPr>
      <w:r>
        <w:rPr>
          <w:bCs/>
          <w:b/>
        </w:rPr>
        <w:t xml:space="preserve">O6.</w:t>
      </w:r>
      <w:r>
        <w:t xml:space="preserve"> </w:t>
      </w:r>
      <w:r>
        <w:t xml:space="preserve">Draw implications for early-warning system design, the limits of machine learning under distribution shift, and the conditions under which interpretable models offer practical advantages over black-box alternatives.</w:t>
      </w:r>
    </w:p>
    <w:p>
      <w:r>
        <w:pict>
          <v:rect style="width:0;height:1.5pt" o:hralign="center" o:hrstd="t" o:hr="t"/>
        </w:pict>
      </w:r>
    </w:p>
    <w:bookmarkEnd w:id="22"/>
    <w:bookmarkStart w:id="23" w:name="research-hypotheses"/>
    <w:p>
      <w:pPr>
        <w:pStyle w:val="Heading2"/>
      </w:pPr>
      <w:r>
        <w:t xml:space="preserve">1.4 Research Hypotheses</w:t>
      </w:r>
    </w:p>
    <w:p>
      <w:pPr>
        <w:pStyle w:val="FirstParagraph"/>
      </w:pPr>
      <w:r>
        <w:t xml:space="preserve">Three research hypotheses, derived from the objectives above, structure the quantitative analysis in Chapter 4.</w:t>
      </w:r>
    </w:p>
    <w:p>
      <w:pPr>
        <w:pStyle w:val="BodyText"/>
      </w:pPr>
      <w:r>
        <w:rPr>
          <w:bCs/>
          <w:b/>
        </w:rPr>
        <w:t xml:space="preserve">H1 — Discrimination:</w:t>
      </w:r>
      <w:r>
        <w:t xml:space="preserve"> </w:t>
      </w:r>
      <w:r>
        <w:t xml:space="preserve">The sentiment-augmented model (M3) achieves higher AUROC and AUPRC than the macro-only baseline (M2-matched) within the Stage 2 evaluation setting.</w:t>
      </w:r>
    </w:p>
    <w:p>
      <w:pPr>
        <w:pStyle w:val="BodyText"/>
      </w:pPr>
      <w:r>
        <w:rPr>
          <w:bCs/>
          <w:b/>
        </w:rPr>
        <w:t xml:space="preserve">H2 — Feature relevance:</w:t>
      </w:r>
      <w:r>
        <w:t xml:space="preserve"> </w:t>
      </w:r>
      <w:r>
        <w:t xml:space="preserve">At least one FinBERT sentiment feature ranks in the top five features by SHAP attribution in the M3 specification, indicating a measurable sentiment contribution to crisis discrimination.</w:t>
      </w:r>
    </w:p>
    <w:p>
      <w:pPr>
        <w:pStyle w:val="BodyText"/>
      </w:pPr>
      <w:r>
        <w:rPr>
          <w:bCs/>
          <w:b/>
        </w:rPr>
        <w:t xml:space="preserve">H3 — Interpretability trade-off:</w:t>
      </w:r>
      <w:r>
        <w:t xml:space="preserve"> </w:t>
      </w:r>
      <w:r>
        <w:t xml:space="preserve">A quantifiable accuracy-interpretability trade-off exists across the model sequence M1 → M2 → M3, with each step increasing predictive performance at the cost of native interpretability.</w:t>
      </w:r>
    </w:p>
    <w:p>
      <w:pPr>
        <w:pStyle w:val="BodyText"/>
      </w:pPr>
      <w:r>
        <w:t xml:space="preserve">The EBM extension refines H3 by testing whether the trade-off is binary — as commonly assumed — or whether an interpretable non-linear model can achieve comparable or superior discrimination to its black-box counterpart, and at what cost to prospective robustness.</w:t>
      </w:r>
    </w:p>
    <w:p>
      <w:r>
        <w:pict>
          <v:rect style="width:0;height:1.5pt" o:hralign="center" o:hrstd="t" o:hr="t"/>
        </w:pict>
      </w:r>
    </w:p>
    <w:bookmarkEnd w:id="23"/>
    <w:bookmarkStart w:id="24" w:name="significance-and-contribution"/>
    <w:p>
      <w:pPr>
        <w:pStyle w:val="Heading2"/>
      </w:pPr>
      <w:r>
        <w:t xml:space="preserve">1.5 Significance and Contribution</w:t>
      </w:r>
    </w:p>
    <w:p>
      <w:pPr>
        <w:pStyle w:val="FirstParagraph"/>
      </w:pPr>
      <w:r>
        <w:t xml:space="preserve">This dissertation makes four contributions to the existing literature on machine learning-based financial crisis prediction.</w:t>
      </w:r>
    </w:p>
    <w:p>
      <w:pPr>
        <w:pStyle w:val="BodyText"/>
      </w:pPr>
      <w:r>
        <w:t xml:space="preserve">The first is</w:t>
      </w:r>
      <w:r>
        <w:t xml:space="preserve"> </w:t>
      </w:r>
      <w:r>
        <w:rPr>
          <w:bCs/>
          <w:b/>
        </w:rPr>
        <w:t xml:space="preserve">empirical</w:t>
      </w:r>
      <w:r>
        <w:t xml:space="preserve">: it demonstrates that extending training history across structurally diverse crisis episodes does not resolve the prospective generalisation failure of macro-based EWS, advancing beyond the original analysis by establishing that the failure persists even when the training data is fivefold longer and includes multiple distinct crisis types.</w:t>
      </w:r>
    </w:p>
    <w:p>
      <w:pPr>
        <w:pStyle w:val="BodyText"/>
      </w:pPr>
      <w:r>
        <w:t xml:space="preserve">The second is</w:t>
      </w:r>
      <w:r>
        <w:t xml:space="preserve"> </w:t>
      </w:r>
      <w:r>
        <w:rPr>
          <w:bCs/>
          <w:b/>
        </w:rPr>
        <w:t xml:space="preserve">methodological</w:t>
      </w:r>
      <w:r>
        <w:t xml:space="preserve">: it quantifies the evaluation bias inherent in expanding-window cross-validation by comparing OOS metrics against strict temporal validation results, providing a concrete estimate of how much standard EWS evaluation frameworks overstate prospective performance.</w:t>
      </w:r>
    </w:p>
    <w:p>
      <w:pPr>
        <w:pStyle w:val="BodyText"/>
      </w:pPr>
      <w:r>
        <w:t xml:space="preserve">The third is</w:t>
      </w:r>
      <w:r>
        <w:t xml:space="preserve"> </w:t>
      </w:r>
      <w:r>
        <w:rPr>
          <w:bCs/>
          <w:b/>
        </w:rPr>
        <w:t xml:space="preserve">interpretability-focused</w:t>
      </w:r>
      <w:r>
        <w:t xml:space="preserve">: it introduces EBM as a class of natively interpretable model that can expose the regime-specific misspecification underlying EWS failure without relying on post-hoc attribution tools. The shape function analysis converts an opaque model failure into a directly observable, legible mechanism — a capability that has direct value in policy contexts where model transparency is required by regulators.</w:t>
      </w:r>
    </w:p>
    <w:p>
      <w:pPr>
        <w:pStyle w:val="BodyText"/>
      </w:pPr>
      <w:r>
        <w:t xml:space="preserve">The fourth is</w:t>
      </w:r>
      <w:r>
        <w:t xml:space="preserve"> </w:t>
      </w:r>
      <w:r>
        <w:rPr>
          <w:bCs/>
          <w:b/>
        </w:rPr>
        <w:t xml:space="preserve">theoretical</w:t>
      </w:r>
      <w:r>
        <w:t xml:space="preserve">: it demonstrates that the stronger prospective collapse of EBM relative to Random Forest — despite EBM’s greater native transparency — is evidence that the EWS generalisation failure is a structural property of non-stationarity in the data-generating process, not a correctable consequence of model opacity. This places the banking crisis prediction problem within the broader class of non-stationary machine learning problems under distribution shift, connecting the EWS literature to developments in domain adaptation and concept drift in the AI/ML field.</w:t>
      </w:r>
    </w:p>
    <w:p>
      <w:r>
        <w:pict>
          <v:rect style="width:0;height:1.5pt" o:hralign="center" o:hrstd="t" o:hr="t"/>
        </w:pict>
      </w:r>
    </w:p>
    <w:bookmarkEnd w:id="24"/>
    <w:bookmarkStart w:id="27" w:name="X35e8d59d89530e02340cd1243383dc26dbe9287"/>
    <w:p>
      <w:pPr>
        <w:pStyle w:val="Heading2"/>
      </w:pPr>
      <w:r>
        <w:t xml:space="preserve">1.6 How This Project Meets the Requirements of the MSc in Artificial Intelligence</w:t>
      </w:r>
    </w:p>
    <w:p>
      <w:pPr>
        <w:pStyle w:val="FirstParagraph"/>
      </w:pPr>
      <w:r>
        <w:t xml:space="preserve">This dissertation satisfies the requirements of the University of Essex MSc in Artificial Intelligence programme across several dimensions.</w:t>
      </w:r>
    </w:p>
    <w:p>
      <w:pPr>
        <w:pStyle w:val="BodyText"/>
      </w:pPr>
      <w:r>
        <w:t xml:space="preserve">From an</w:t>
      </w:r>
      <w:r>
        <w:t xml:space="preserve"> </w:t>
      </w:r>
      <w:r>
        <w:rPr>
          <w:bCs/>
          <w:b/>
        </w:rPr>
        <w:t xml:space="preserve">artificial intelligence and machine learning</w:t>
      </w:r>
      <w:r>
        <w:t xml:space="preserve"> </w:t>
      </w:r>
      <w:r>
        <w:t xml:space="preserve">perspective, the project implements and critically evaluates three distinct ML model classes — gradient-boosted trees (XGBoost), ensemble methods (Random Forest), and gradient-boosted generalised additive models (EBM) — alongside a transformer-based natural language processing pipeline (FinBERT). The EBM implementation engages directly with the interpretability-accuracy trade-off that is a central topic in the contemporary ML literature, and the analysis of distribution shift and non-stationarity connects to fundamental questions in learning theory about the conditions under which models can be expected to generalise.</w:t>
      </w:r>
    </w:p>
    <w:p>
      <w:pPr>
        <w:pStyle w:val="BodyText"/>
      </w:pPr>
      <w:r>
        <w:t xml:space="preserve">From a</w:t>
      </w:r>
      <w:r>
        <w:t xml:space="preserve"> </w:t>
      </w:r>
      <w:r>
        <w:rPr>
          <w:bCs/>
          <w:b/>
        </w:rPr>
        <w:t xml:space="preserve">research methods</w:t>
      </w:r>
      <w:r>
        <w:t xml:space="preserve"> </w:t>
      </w:r>
      <w:r>
        <w:t xml:space="preserve">perspective, the project applies expanding-window cross-validation, bootstrap confidence interval estimation, Granger causality testing, panel logistic regression, and SHAP attribution analysis. It engages with data leakage prevention, class imbalance handling, probability calibration, and evaluation metric selection under severe class imbalance — all of which are core technical competencies in the MSc curriculum.</w:t>
      </w:r>
    </w:p>
    <w:p>
      <w:pPr>
        <w:pStyle w:val="BodyText"/>
      </w:pPr>
      <w:r>
        <w:t xml:space="preserve">From an</w:t>
      </w:r>
      <w:r>
        <w:t xml:space="preserve"> </w:t>
      </w:r>
      <w:r>
        <w:rPr>
          <w:bCs/>
          <w:b/>
        </w:rPr>
        <w:t xml:space="preserve">ethical and professional</w:t>
      </w:r>
      <w:r>
        <w:t xml:space="preserve"> </w:t>
      </w:r>
      <w:r>
        <w:t xml:space="preserve">perspective, the project uses exclusively publicly available secondary data (JST Macrohistory Database R6; BIS central bank speeches). No human participants are involved, and no personally identifiable information is processed. The research was submitted for ethical review and determined to be low-risk. The methodological choices throughout — including the explicit acknowledgement of evaluation bias, the use of strict temporal validation, and the honest reporting of prospective model failure — reflect the professional commitment to transparency and reproducibility required of AI practitioners in high-stakes domains.</w:t>
      </w:r>
    </w:p>
    <w:p>
      <w:pPr>
        <w:pStyle w:val="BodyText"/>
      </w:pPr>
      <w:r>
        <w:t xml:space="preserve">The full code pipeline for this project is available on GitHub at</w:t>
      </w:r>
      <w:r>
        <w:t xml:space="preserve"> </w:t>
      </w:r>
      <w:hyperlink r:id="rId25">
        <w:r>
          <w:rPr>
            <w:rStyle w:val="Hyperlink"/>
          </w:rPr>
          <w:t xml:space="preserve">https://github.com/spike2025-art/eportfolio-uoe/tree/main</w:t>
        </w:r>
      </w:hyperlink>
      <w:r>
        <w:t xml:space="preserve"> </w:t>
      </w:r>
      <w:r>
        <w:t xml:space="preserve">and documented through the author’s ePortfolio at</w:t>
      </w:r>
      <w:r>
        <w:t xml:space="preserve"> </w:t>
      </w:r>
      <w:hyperlink r:id="rId26">
        <w:r>
          <w:rPr>
            <w:rStyle w:val="Hyperlink"/>
          </w:rPr>
          <w:t xml:space="preserve">https://spike2025-art.github.io/eportfolio-uoe/</w:t>
        </w:r>
      </w:hyperlink>
      <w:r>
        <w:t xml:space="preserve">. Key notebook extracts are reproduced in Appendix A; the full pipeline from data ingestion to ensemble evaluation spans ten notebooks (NB00–NB09B) implementing the two-stage augmented design described in Chapter 3.</w:t>
      </w:r>
    </w:p>
    <w:p>
      <w:r>
        <w:pict>
          <v:rect style="width:0;height:1.5pt" o:hralign="center" o:hrstd="t" o:hr="t"/>
        </w:pict>
      </w:r>
    </w:p>
    <w:bookmarkEnd w:id="27"/>
    <w:bookmarkStart w:id="28" w:name="dissertation-structure"/>
    <w:p>
      <w:pPr>
        <w:pStyle w:val="Heading2"/>
      </w:pPr>
      <w:r>
        <w:t xml:space="preserve">1.7 Dissertation Structure</w:t>
      </w:r>
    </w:p>
    <w:p>
      <w:pPr>
        <w:pStyle w:val="FirstParagraph"/>
      </w:pPr>
      <w:r>
        <w:t xml:space="preserve">The remainder of this dissertation is organised as follows.</w:t>
      </w:r>
    </w:p>
    <w:p>
      <w:pPr>
        <w:pStyle w:val="BodyText"/>
      </w:pPr>
      <w:r>
        <w:rPr>
          <w:bCs/>
          <w:b/>
        </w:rPr>
        <w:t xml:space="preserve">Chapter 2</w:t>
      </w:r>
      <w:r>
        <w:t xml:space="preserve"> </w:t>
      </w:r>
      <w:r>
        <w:t xml:space="preserve">reviews the literature on banking crisis early-warning systems, machine learning interpretability, central bank text analysis, and ensemble methods for financial prediction.</w:t>
      </w:r>
    </w:p>
    <w:p>
      <w:pPr>
        <w:pStyle w:val="BodyText"/>
      </w:pPr>
      <w:r>
        <w:rPr>
          <w:bCs/>
          <w:b/>
        </w:rPr>
        <w:t xml:space="preserve">Chapter 3</w:t>
      </w:r>
      <w:r>
        <w:t xml:space="preserve"> </w:t>
      </w:r>
      <w:r>
        <w:t xml:space="preserve">describes the research design, data sources, feature engineering, model specifications, and evaluation framework, including the ethical review outcome.</w:t>
      </w:r>
    </w:p>
    <w:p>
      <w:pPr>
        <w:pStyle w:val="BodyText"/>
      </w:pPr>
      <w:r>
        <w:rPr>
          <w:bCs/>
          <w:b/>
        </w:rPr>
        <w:t xml:space="preserve">Chapter 4</w:t>
      </w:r>
      <w:r>
        <w:t xml:space="preserve"> </w:t>
      </w:r>
      <w:r>
        <w:t xml:space="preserve">presents results and interpretation across all five model specifications, reporting expanding-window metrics, strict temporal validation, leave-one-country-out validation, SHAP and EBM feature attribution, calibration analysis, auxiliary statistical tests, and the ensemble extension.</w:t>
      </w:r>
    </w:p>
    <w:p>
      <w:pPr>
        <w:pStyle w:val="BodyText"/>
      </w:pPr>
      <w:r>
        <w:rPr>
          <w:bCs/>
          <w:b/>
        </w:rPr>
        <w:t xml:space="preserve">Chapter 5</w:t>
      </w:r>
      <w:r>
        <w:t xml:space="preserve"> </w:t>
      </w:r>
      <w:r>
        <w:t xml:space="preserve">discusses the findings in the context of the EWS literature, interprets the EBM contribution, draws implications for EWS design, states the study’s limitations, and proposes future research directions.</w:t>
      </w:r>
    </w:p>
    <w:p>
      <w:pPr>
        <w:pStyle w:val="BodyText"/>
      </w:pPr>
      <w:r>
        <w:rPr>
          <w:bCs/>
          <w:b/>
        </w:rPr>
        <w:t xml:space="preserve">Chapter 6</w:t>
      </w:r>
      <w:r>
        <w:t xml:space="preserve"> </w:t>
      </w:r>
      <w:r>
        <w:t xml:space="preserve">presents conclusions, practical recommendations, and a reflection on how the project’s findings connect to the broader AI/ML research agenda on non-stationary learning.</w:t>
      </w:r>
    </w:p>
    <w:p>
      <w:pPr>
        <w:pStyle w:val="BodyText"/>
      </w:pPr>
      <w:r>
        <w:t xml:space="preserve">References and appendices follow Chapter 6.</w:t>
      </w:r>
    </w:p>
    <w:p>
      <w:r>
        <w:pict>
          <v:rect style="width:0;height:1.5pt" o:hralign="center" o:hrstd="t" o:hr="t"/>
        </w:pict>
      </w:r>
    </w:p>
    <w:p>
      <w:pPr>
        <w:pStyle w:val="FirstParagraph"/>
      </w:pPr>
      <w:r>
        <w:rPr>
          <w:iCs/>
          <w:i/>
        </w:rPr>
        <w:t xml:space="preserve">Chapter 1 revision: April 2026</w:t>
      </w:r>
    </w:p>
    <w:bookmarkEnd w:id="28"/>
    <w:bookmarkEnd w:id="29"/>
    <w:p>
      <w:r>
        <w:br w:type="page"/>
      </w:r>
    </w:p>
    <w:p>
      <w:pPr>
        <w:spacing w:after="240"/>
      </w:pPr>
      <w:r>
        <w:rPr>
          <w:b/>
          <w:color w:val="1F4E79"/>
          <w:sz w:val="28"/>
        </w:rPr>
        <w:t>References</w:t>
      </w:r>
    </w:p>
    <w:p>
      <w:pPr>
        <w:spacing w:after="120"/>
        <w:ind w:left="720" w:hanging="720"/>
      </w:pPr>
      <w:r>
        <w:rPr>
          <w:sz w:val="22"/>
        </w:rPr>
        <w:t xml:space="preserve">Alessi, L. and Detken, C. (2018) 'Identifying excessive credit growth and leverage', </w:t>
      </w:r>
      <w:r>
        <w:rPr>
          <w:i/>
          <w:sz w:val="22"/>
        </w:rPr>
        <w:t>Journal of Financial Stability</w:t>
      </w:r>
      <w:r>
        <w:rPr>
          <w:sz w:val="22"/>
        </w:rPr>
        <w:t>, 35, pp. 215–225.</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20"/>
        <w:ind w:left="720" w:hanging="720"/>
      </w:pPr>
      <w:r>
        <w:rPr>
          <w:sz w:val="22"/>
        </w:rPr>
        <w:t xml:space="preserve">Kaminsky, G., Lizondo, S. and Reinhart, C.M. (1998) 'Leading indicators of currency crises', </w:t>
      </w:r>
      <w:r>
        <w:rPr>
          <w:i/>
          <w:sz w:val="22"/>
        </w:rPr>
        <w:t>IMF Staff Papers</w:t>
      </w:r>
      <w:r>
        <w:rPr>
          <w:sz w:val="22"/>
        </w:rPr>
        <w:t>, 45(1), pp. 1–48.</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w:t>
      </w:r>
      <w:r>
        <w:rPr>
          <w:sz w:val="22"/>
        </w:rPr>
        <w:t xml:space="preserve">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hyperlink" Target="https://github.com/spike2025-art/eportfolio-uoe/tree/main" TargetMode="External"/><Relationship Id="rId26" Type="http://schemas.openxmlformats.org/officeDocument/2006/relationships/hyperlink" Target="https://spike2025-art.github.io/eportfolio-uoe/"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s://github.com/spike2025-art/eportfolio-uoe/tree/main" TargetMode="External"/><Relationship Id="rId26" Type="http://schemas.openxmlformats.org/officeDocument/2006/relationships/hyperlink" Target="https://spike2025-art.github.io/eportfolio-u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2026-04-12T19:05:53Z</dcterms:created>
  <dcterms:modified xsi:type="dcterms:W3CDTF">2026-04-12T19:05:53Z</dcterms:modified>
</cp:coreProperties>
</file>

<file path=docProps/custom.xml><?xml version="1.0" encoding="utf-8"?>
<Properties xmlns="http://schemas.openxmlformats.org/officeDocument/2006/custom-properties" xmlns:vt="http://schemas.openxmlformats.org/officeDocument/2006/docPropsVTypes"/>
</file>