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hapter-2-literature-review"/>
    <w:p>
      <w:pPr>
        <w:pStyle w:val="Heading1"/>
      </w:pPr>
      <w:r>
        <w:t xml:space="preserve">Chapter 2: Literature Review</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introduction"/>
    <w:p>
      <w:pPr>
        <w:pStyle w:val="Heading2"/>
      </w:pPr>
      <w:r>
        <w:t xml:space="preserve">2.1 Introduction</w:t>
      </w:r>
    </w:p>
    <w:p>
      <w:pPr>
        <w:pStyle w:val="FirstParagraph"/>
      </w:pPr>
      <w:r>
        <w:t xml:space="preserve">This chapter reviews the literature on four interconnected themes that frame the research conducted in this dissertation: the development and limitations of macro-based early-warning systems for banking crises; the application of machine learning methods to financial crisis prediction; the role of central bank communication and textual sentiment as a predictive signal; and the interpretability-accuracy trade-off in machine learning models applied to high-stakes prediction problems. A fifth theme — evaluation methodology and the problem of regime non-stationarity — cuts across all four and is treated as a unifying thread throughout the review. The chapter closes by identifying the specific research gap that this dissertation addresses.</w:t>
      </w:r>
    </w:p>
    <w:p>
      <w:r>
        <w:pict>
          <v:rect style="width:0;height:1.5pt" o:hralign="center" o:hrstd="t" o:hr="t"/>
        </w:pict>
      </w:r>
    </w:p>
    <w:bookmarkEnd w:id="20"/>
    <w:bookmarkStart w:id="24" w:name="early-warning-systems-for-banking-crises"/>
    <w:p>
      <w:pPr>
        <w:pStyle w:val="Heading2"/>
      </w:pPr>
      <w:r>
        <w:t xml:space="preserve">2.2 Early-Warning Systems for Banking Crises</w:t>
      </w:r>
    </w:p>
    <w:bookmarkStart w:id="21" w:name="origins-and-first-generation-models"/>
    <w:p>
      <w:pPr>
        <w:pStyle w:val="Heading3"/>
      </w:pPr>
      <w:r>
        <w:t xml:space="preserve">2.2.1 Origins and First-Generation Models</w:t>
      </w:r>
    </w:p>
    <w:p>
      <w:pPr>
        <w:pStyle w:val="FirstParagraph"/>
      </w:pPr>
      <w:r>
        <w:t xml:space="preserve">Systematic attempts to build quantitative early-warning systems for financial crises emerged in the 1990s, motivated by the currency crises in Europe (1992), Mexico (1994), and Asia (1997). Kaminsky, Lizondo and Reinhart (1998) developed the signal extraction approach, identifying a set of macroeconomic indicators that historically exceeded a threshold level in the period preceding crisis, and demonstrated that a composite signal based on these indicators provided advance warning across a sample of twenty countries. The approach was explicitly non-parametric and relied on simple threshold rules rather than statistical estimation.</w:t>
      </w:r>
    </w:p>
    <w:p>
      <w:pPr>
        <w:pStyle w:val="BodyText"/>
      </w:pPr>
      <w:r>
        <w:t xml:space="preserve">The logistic regression framework of Demirgüç-Kunt and Detragiache (1998) formalised the EWS problem as a binary prediction task, estimating the probability of banking crisis onset as a function of macroeconomic and financial sector variables. Their analysis of a large cross-country panel demonstrated that real interest rates, credit growth, low GDP growth, and high inflation were significant predictors of banking crisis onset, laying the methodological foundation for subsequent EWS research. The logistic framework offered the advantage of interpretable coefficient estimates but was limited by the linearity assumption and the difficulty of incorporating higher-dimensional interaction structures.</w:t>
      </w:r>
    </w:p>
    <w:bookmarkEnd w:id="21"/>
    <w:bookmarkStart w:id="22" w:name="X056d9934b3e7cde574967ca9b347828056d0d6c"/>
    <w:p>
      <w:pPr>
        <w:pStyle w:val="Heading3"/>
      </w:pPr>
      <w:r>
        <w:t xml:space="preserve">2.2.2 Credit Cycles and Macrofinancial Precursors</w:t>
      </w:r>
    </w:p>
    <w:p>
      <w:pPr>
        <w:pStyle w:val="FirstParagraph"/>
      </w:pPr>
      <w:r>
        <w:t xml:space="preserve">A landmark contribution by Schularick and Taylor (2012) established the central empirical finding that drives the macro-based EWS literature: credit booms — measured as above-average growth in bank lending relative to GDP — are the single strongest predictor of systemic banking crises across a historical panel of fourteen advanced economies spanning 1870–2008. Their analysis demonstrated that the credit-to-GDP ratio and its rate of change carry significant predictive content at horizons of one to five years ahead of crisis onset, and that this predictive content is robust across different crisis definitions and sample periods. This finding motivated the construction of macro feature sets based on credit aggregates, interest rate spreads, asset prices, and monetary conditions that became standard in subsequent EWS research.</w:t>
      </w:r>
    </w:p>
    <w:p>
      <w:pPr>
        <w:pStyle w:val="BodyText"/>
      </w:pPr>
      <w:r>
        <w:t xml:space="preserve">The JST Macrohistory Database, introduced by Jordà, Schularick and Taylor (2017), extended this empirical foundation by assembling a comprehensive panel of annual macroeconomic and financial data for seventeen advanced economies from 1870 to the present, subsequently updated to cover eighteen countries through 2020 (R6 release). The database provides the primary data source for the present dissertation, offering a consistent long-run panel that includes the Nordic banking crisis cluster of the early 1990s, the Japanese asset price deflation episode of the late 1990s, and the GFC, enabling evaluation across structurally diverse crisis episodes.</w:t>
      </w:r>
    </w:p>
    <w:bookmarkEnd w:id="22"/>
    <w:bookmarkStart w:id="23" w:name="limitations-of-the-macro-ews-framework"/>
    <w:p>
      <w:pPr>
        <w:pStyle w:val="Heading3"/>
      </w:pPr>
      <w:r>
        <w:t xml:space="preserve">2.2.3 Limitations of the Macro EWS Framework</w:t>
      </w:r>
    </w:p>
    <w:p>
      <w:pPr>
        <w:pStyle w:val="FirstParagraph"/>
      </w:pPr>
      <w:r>
        <w:t xml:space="preserve">The standard macro EWS framework rests on an implicit assumption of stationarity: that the mapping between macroeconomic precursor variables and crisis outcomes is stable across time and across crisis episodes. This assumption has been challenged by both theoretical and empirical work. Theoretically, the diversity of mechanisms through which banking crises can arise — domestic credit-boom collapses, contagion from external shocks, speculative attacks on fixed exchange rate regimes, and exogenous real shocks — implies that no single set of macro indicators can be universally predictive across all crisis types (Obstfeld, 1996). The ERM currency crisis of 1992, for example, was driven by self-fulfilling expectations against fixed exchange rate pegs in economies whose domestic fundamentals were broadly sound; macro credit indicators carried little predictive content for this episode. Empirically, Laeven and Valencia (2020) document significant heterogeneity in the characteristics of systemic banking crises across countries and time, confirming that undifferentiated crisis labels conflate structurally distinct events.</w:t>
      </w:r>
    </w:p>
    <w:p>
      <w:pPr>
        <w:pStyle w:val="BodyText"/>
      </w:pPr>
      <w:r>
        <w:t xml:space="preserve">The practical consequence of this non-stationarity is that EWS models trained on one type of crisis are likely to fail when applied to another. This is the central finding that motivates the strict temporal validation approach adopted throughout the present analysis.</w:t>
      </w:r>
    </w:p>
    <w:p>
      <w:r>
        <w:pict>
          <v:rect style="width:0;height:1.5pt" o:hralign="center" o:hrstd="t" o:hr="t"/>
        </w:pict>
      </w:r>
    </w:p>
    <w:bookmarkEnd w:id="23"/>
    <w:bookmarkEnd w:id="24"/>
    <w:bookmarkStart w:id="27" w:name="X4da244def1e27aa04a7cd70795b0f583d09d543"/>
    <w:p>
      <w:pPr>
        <w:pStyle w:val="Heading2"/>
      </w:pPr>
      <w:r>
        <w:t xml:space="preserve">2.3 Machine Learning Methods in Crisis Prediction</w:t>
      </w:r>
    </w:p>
    <w:bookmarkStart w:id="25" w:name="performance-gains-and-evaluation-claims"/>
    <w:p>
      <w:pPr>
        <w:pStyle w:val="Heading3"/>
      </w:pPr>
      <w:r>
        <w:t xml:space="preserve">2.3.1 Performance Gains and Evaluation Claims</w:t>
      </w:r>
    </w:p>
    <w:p>
      <w:pPr>
        <w:pStyle w:val="FirstParagraph"/>
      </w:pPr>
      <w:r>
        <w:t xml:space="preserve">The application of machine learning methods to banking crisis prediction accelerated following the GFC, as the availability of longer historical panels and improved computational tools made it feasible to estimate high-dimensional non-linear models on the small samples characteristic of crisis datasets. Alessi and Detken (2018) demonstrated that Random Forest models outperformed logistic regression and single decision tree approaches on the primary EWS evaluation metrics — AUROC and the Alessi-Detken usefulness score — on a panel of EU member states, establishing the Random Forest as a benchmark non-linear method for macro-based EWS research.</w:t>
      </w:r>
    </w:p>
    <w:p>
      <w:pPr>
        <w:pStyle w:val="BodyText"/>
      </w:pPr>
      <w:r>
        <w:t xml:space="preserve">Beutel, List and von Schweinitz (2019) conducted the most comprehensive evaluation of machine learning methods for banking crisis prediction to date, comparing logistic regression, Random Forest, support vector machines, and gradient-boosted trees across a range of evaluation protocols. Their central finding was that machine learning methods consistently outperformed logistic regression within standard expanding-window cross-validation designs, with AUROC gains of 0.05–0.15 depending on the method and specification. However, they also noted that the improvement was substantially reduced — and in some cases eliminated — when evaluation was restricted to genuinely prospective periods in which the model had not been trained on any crisis data from the same episode. The AUROC benchmark of 0.75, above which a model is considered practically useful for EWS purposes, was established by Beutel, List and von Schweinitz (2019) as the reference threshold for the field, and serves as the benchmark in the temporal validation analysis of the present dissertation.</w:t>
      </w:r>
    </w:p>
    <w:bookmarkEnd w:id="25"/>
    <w:bookmarkStart w:id="26" w:name="Xf40e19ab8cc5e80042f71ec13a5d18fd7151801"/>
    <w:p>
      <w:pPr>
        <w:pStyle w:val="Heading3"/>
      </w:pPr>
      <w:r>
        <w:t xml:space="preserve">2.3.2 Evaluation Methodology and Prospective Validation</w:t>
      </w:r>
    </w:p>
    <w:p>
      <w:pPr>
        <w:pStyle w:val="FirstParagraph"/>
      </w:pPr>
      <w:r>
        <w:t xml:space="preserve">The tension between expanding-window cross-validation performance and genuinely prospective validation is a methodological concern that the EWS literature has only partially addressed. In expanding-window designs, the training set grows by one year at each evaluation fold, allowing later training folds to accumulate crisis-period data. When the evaluation dataset is dominated by a single crisis episode — as is the case for the 2003–2020 panel used in much of the recent literature — later folds incorporate GFC data into training, producing models that have effectively learned the statistical signature of the GFC before being evaluated on it. This produces inflated OOS metrics that cannot be interpreted as evidence of forward-looking predictive power.</w:t>
      </w:r>
    </w:p>
    <w:p>
      <w:pPr>
        <w:pStyle w:val="BodyText"/>
      </w:pPr>
      <w:r>
        <w:t xml:space="preserve">Under the class imbalance conditions characteristic of crisis datasets — where positive labels (crisis onset years) typically constitute 5–10 per cent of observations — the choice of evaluation metric substantially affects conclusions. Davis and Goadrich (2006) demonstrate that the precision-recall curve and AUPRC are more informative than AUROC under high class imbalance, because AUROC can appear high even when a model assigns poorly calibrated probabilities to the rare positive class. Saito and Rehmsmeier (2015) extend this analysis, showing that AUPRC is more sensitive to improvements in crisis detection at the expensive threshold values relevant for policy intervention. Both AUROC and AUPRC are reported throughout the present analysis, with AUPRC treated as primary under Stage 2’s 8.15 per cent crisis rate.</w:t>
      </w:r>
    </w:p>
    <w:p>
      <w:r>
        <w:pict>
          <v:rect style="width:0;height:1.5pt" o:hralign="center" o:hrstd="t" o:hr="t"/>
        </w:pict>
      </w:r>
    </w:p>
    <w:bookmarkEnd w:id="26"/>
    <w:bookmarkEnd w:id="27"/>
    <w:bookmarkStart w:id="31" w:name="X6f898cf3f193f7bc85b6d1f067e9a372f5796ab"/>
    <w:p>
      <w:pPr>
        <w:pStyle w:val="Heading2"/>
      </w:pPr>
      <w:r>
        <w:t xml:space="preserve">2.4 Central Bank Communication and Textual Sentiment</w:t>
      </w:r>
    </w:p>
    <w:bookmarkStart w:id="28" w:name="X06b85ed0eed24e641999a63bf7540438391fdba"/>
    <w:p>
      <w:pPr>
        <w:pStyle w:val="Heading3"/>
      </w:pPr>
      <w:r>
        <w:t xml:space="preserve">2.4.1 Central Bank Speeches as Information Sources</w:t>
      </w:r>
    </w:p>
    <w:p>
      <w:pPr>
        <w:pStyle w:val="FirstParagraph"/>
      </w:pPr>
      <w:r>
        <w:t xml:space="preserve">Central banks are required to communicate their assessments of financial system conditions through a variety of channels, including monetary policy statements, financial stability reports, and the speeches of senior officials. The information content of these communications has been the subject of a growing literature. The intuition motivating textual analysis in the EWS context is that central bankers may possess private supervisory information — from off-site monitoring of bank balance sheets, stress testing, and bilateral supervisory dialogue — that is not yet reflected in publicly available macroeconomic indicators. If this private information influences the tone and emphasis of public communications, then sentiment extraction from central bank speeches could provide a leading indicator of systemic risk build-up that complements macro-based signals.</w:t>
      </w:r>
    </w:p>
    <w:p>
      <w:pPr>
        <w:pStyle w:val="BodyText"/>
      </w:pPr>
      <w:r>
        <w:t xml:space="preserve">The Bank for International Settlements (BIS) maintains a publicly accessible archive of speeches delivered by central bank governors and senior officials from member institutions, providing a consistent multilingual corpus spanning more than two decades and covering the full panel of countries relevant to EWS research. The corpus used in the present dissertation comprises 16,622 speeches, extracted and processed using the FinBERT sentiment model.</w:t>
      </w:r>
    </w:p>
    <w:bookmarkEnd w:id="28"/>
    <w:bookmarkStart w:id="29" w:name="X0da4e5330dc81122ef6b1436945afd12d96270a"/>
    <w:p>
      <w:pPr>
        <w:pStyle w:val="Heading3"/>
      </w:pPr>
      <w:r>
        <w:t xml:space="preserve">2.4.2 FinBERT and Domain-Adapted Language Models</w:t>
      </w:r>
    </w:p>
    <w:p>
      <w:pPr>
        <w:pStyle w:val="FirstParagraph"/>
      </w:pPr>
      <w:r>
        <w:t xml:space="preserve">The application of large pre-trained language models to financial text analysis has been transformed by the development of domain-adapted variants of BERT (Bidirectional Encoder Representations from Transformers). FinBERT, introduced by Yang, UIT-Fintech and Liu (2020), is a BERT-based model fine-tuned on a large corpus of financial communications including earnings call transcripts, financial news articles, and analyst reports. FinBERT assigns probability scores to three sentiment classes — positive, negative, and neutral — for each input text, providing a supervised sentence-level sentiment classifier that outperforms general-purpose sentiment lexicons on financial domain text. ProsusAI/finbert, the variant used in the present analysis, is publicly available through the Hugging Face model hub and has been validated on multiple financial text classification benchmarks.</w:t>
      </w:r>
    </w:p>
    <w:p>
      <w:pPr>
        <w:pStyle w:val="BodyText"/>
      </w:pPr>
      <w:r>
        <w:t xml:space="preserve">The application of FinBERT to central bank speeches represents a specific use case that extends beyond the financial communications on which the model was originally trained. Central bank language is characterised by hedged, indirect formulations designed to avoid market-moving signals — a linguistic register that differs substantially from the more direct positive-negative framing of earnings calls and analyst reports. The model’s classification of the sentence</w:t>
      </w:r>
      <w:r>
        <w:t xml:space="preserve"> </w:t>
      </w:r>
      <w:r>
        <w:t xml:space="preserve">“</w:t>
      </w:r>
      <w:r>
        <w:t xml:space="preserve">We remain vigilant to the build-up of vulnerabilities in the financial system</w:t>
      </w:r>
      <w:r>
        <w:t xml:space="preserve">”</w:t>
      </w:r>
      <w:r>
        <w:t xml:space="preserve"> </w:t>
      </w:r>
      <w:r>
        <w:t xml:space="preserve">as neutral rather than negative illustrates this limitation: a domain expert would interpret such language as signalling elevated concern, but the surface-level hedging prevents the model from assigning a negative label. This limitation motivates the literature on domain-specific refinements discussed below.</w:t>
      </w:r>
    </w:p>
    <w:bookmarkEnd w:id="29"/>
    <w:bookmarkStart w:id="30" w:name="topic-specific-text-features"/>
    <w:p>
      <w:pPr>
        <w:pStyle w:val="Heading3"/>
      </w:pPr>
      <w:r>
        <w:t xml:space="preserve">2.4.3 Topic-Specific Text Features</w:t>
      </w:r>
    </w:p>
    <w:p>
      <w:pPr>
        <w:pStyle w:val="FirstParagraph"/>
      </w:pPr>
      <w:r>
        <w:t xml:space="preserve">Loughran and McDonald (2011) demonstrated that general-purpose sentiment dictionaries perform poorly on financial text, and constructed a domain-specific financial sentiment lexicon that substantially improved classification accuracy on 10-K filings. Their approach — building word lists from the domain of application rather than importing general sentiment resources — established the principle that financial text analysis requires domain-adapted tools. Ho, Moench, and Steeley (2022) extended this approach to central bank communications, demonstrating that topic-specific prevalence measures — identifying the proportion of central bank speech devoted to credit risk, financial stability concerns, or systemic vulnerability — provide more granular and stable predictive signals than aggregate sentiment polarity scores. Their results suggest that the information content of central bank speeches is concentrated in specific thematic dimensions rather than distributed uniformly across the positive-negative polarity that aggregate sentiment indices capture. This finding provides the motivation for the topic-specific extension proposed in Section 5.7 of the present dissertation.</w:t>
      </w:r>
    </w:p>
    <w:p>
      <w:r>
        <w:pict>
          <v:rect style="width:0;height:1.5pt" o:hralign="center" o:hrstd="t" o:hr="t"/>
        </w:pict>
      </w:r>
    </w:p>
    <w:bookmarkEnd w:id="30"/>
    <w:bookmarkEnd w:id="31"/>
    <w:bookmarkStart w:id="35" w:name="interpretability-in-machine-learning"/>
    <w:p>
      <w:pPr>
        <w:pStyle w:val="Heading2"/>
      </w:pPr>
      <w:r>
        <w:t xml:space="preserve">2.5 Interpretability in Machine Learning</w:t>
      </w:r>
    </w:p>
    <w:bookmarkStart w:id="32" w:name="the-interpretability-accuracy-trade-off"/>
    <w:p>
      <w:pPr>
        <w:pStyle w:val="Heading3"/>
      </w:pPr>
      <w:r>
        <w:t xml:space="preserve">2.5.1 The Interpretability-Accuracy Trade-off</w:t>
      </w:r>
    </w:p>
    <w:p>
      <w:pPr>
        <w:pStyle w:val="FirstParagraph"/>
      </w:pPr>
      <w:r>
        <w:t xml:space="preserve">The trade-off between predictive accuracy and model interpretability is a central tension in the application of machine learning to high-stakes domains including finance, healthcare, and public policy. Linear models — logistic regression being the paradigm case — are natively interpretable because their parameters directly represent the marginal effect of each feature on the outcome, expressed in log-odds units. Non-linear models — Random Forest, gradient-boosted trees, neural networks — achieve higher predictive accuracy by capturing complex feature interactions but produce predictions through mechanisms that cannot be directly read from the model’s parameters. This opacity creates difficulties for practitioners who must communicate model outputs to regulators, defend model decisions in adversarial settings, or identify when a model’s learned mapping no longer accurately reflects the current environment.</w:t>
      </w:r>
    </w:p>
    <w:bookmarkEnd w:id="32"/>
    <w:bookmarkStart w:id="33" w:name="post-hoc-attribution-methods-shap"/>
    <w:p>
      <w:pPr>
        <w:pStyle w:val="Heading3"/>
      </w:pPr>
      <w:r>
        <w:t xml:space="preserve">2.5.2 Post-Hoc Attribution Methods: SHAP</w:t>
      </w:r>
    </w:p>
    <w:p>
      <w:pPr>
        <w:pStyle w:val="FirstParagraph"/>
      </w:pPr>
      <w:r>
        <w:t xml:space="preserve">The most widely adopted approach to post-hoc interpretability for non-linear models is SHapley Additive exPlanations (SHAP), introduced by Lundberg and Lee (2017). SHAP values assign to each feature a contribution to the model’s output for a given observation, computed using the Shapley value framework from cooperative game theory. The Shapley value guarantees a set of desirable axiomatic properties — efficiency, symmetry, dummy, and additivity — that ensure the feature contributions sum to the model’s output and are distributed consistently across the features. For tree-based models such as Random Forest and XGBoost, Lundberg and Lee (2017) demonstrated that exact Shapley values can be computed in polynomial time using a recursive algorithm (TreeSHAP), making SHAP practically feasible for the model sizes used in EWS research.</w:t>
      </w:r>
    </w:p>
    <w:p>
      <w:pPr>
        <w:pStyle w:val="BodyText"/>
      </w:pPr>
      <w:r>
        <w:t xml:space="preserve">Despite its wide adoption, SHAP has been the subject of methodological critique. Hooker and Mentch (2019) demonstrate that permutation-based feature importance methods — of which SHAP is a variant — can produce misleading attributions when features are correlated, because permuting one feature while holding correlated features fixed creates out-of-distribution observations that the model was not trained on. In panel datasets with strong multicollinearity among macro-financial indicators — as in the EWS context — this limitation is particularly relevant. SHAP attributions from a Random Forest or XGBoost model should therefore be interpreted as sample-specific measures of model re-weighting rather than causal statements about the economic importance of individual features.</w:t>
      </w:r>
    </w:p>
    <w:bookmarkEnd w:id="33"/>
    <w:bookmarkStart w:id="34" w:name="X388fca678cf19c31794efa8c50622923f55857f"/>
    <w:p>
      <w:pPr>
        <w:pStyle w:val="Heading3"/>
      </w:pPr>
      <w:r>
        <w:t xml:space="preserve">2.5.3 Explainable Boosting Machines: Native Interpretability</w:t>
      </w:r>
    </w:p>
    <w:p>
      <w:pPr>
        <w:pStyle w:val="FirstParagraph"/>
      </w:pPr>
      <w:r>
        <w:t xml:space="preserve">Explainable Boosting Machines (EBM), introduced by Lou, Caruana, Gehrke and Hooker (2013), represent a different approach to the interpretability problem: rather than training a black-box model and then applying an attribution method, EBM fits an inherently interpretable model whose feature-risk relationships can be read directly from the model itself. EBM is a gradient-boosted generalised additive model that learns univariate shape functions for each feature — mapping each feature value to its log-odds contribution to the predicted probability — and up to a user-specified number of pairwise interaction terms. The shape functions are the model: there is no post-hoc approximation step, and no discrepancy between what the model has learned and what the interpretability output shows.</w:t>
      </w:r>
    </w:p>
    <w:p>
      <w:pPr>
        <w:pStyle w:val="BodyText"/>
      </w:pPr>
      <w:r>
        <w:t xml:space="preserve">The practical advantage of EBM’s native interpretability in the EWS context is significant. Because shape functions are exact representations of the learned feature-risk mapping, instability in the shape functions across different training periods directly reflects instability in the data-generating process — not approximation error in a post-hoc attribution tool. This property enables the regime instability analysis conducted in Chapter 4 of the present dissertation: by fitting EBM on disjoint sub-periods and comparing the resulting shape functions, the non-stationarity of the feature-crisis relationship can be made directly visible rather than inferred from reduced-form performance metrics.</w:t>
      </w:r>
    </w:p>
    <w:p>
      <w:r>
        <w:pict>
          <v:rect style="width:0;height:1.5pt" o:hralign="center" o:hrstd="t" o:hr="t"/>
        </w:pict>
      </w:r>
    </w:p>
    <w:bookmarkEnd w:id="34"/>
    <w:bookmarkEnd w:id="35"/>
    <w:bookmarkStart w:id="36" w:name="X0e787c2d34e18a8b2f65dc4aebc115724c91016"/>
    <w:p>
      <w:pPr>
        <w:pStyle w:val="Heading2"/>
      </w:pPr>
      <w:r>
        <w:t xml:space="preserve">2.6 Ensemble Methods for Financial Prediction</w:t>
      </w:r>
    </w:p>
    <w:p>
      <w:pPr>
        <w:pStyle w:val="FirstParagraph"/>
      </w:pPr>
      <w:r>
        <w:t xml:space="preserve">The theoretical motivation for ensemble averaging in EWS settings was formalised by Holopainen and Sarlin (2017), who demonstrated that combining predicted probabilities across classifiers with different architectures and feature sets consistently produces more stable and robust early-warning forecasts than selecting a single best model. Their analysis, conducted on a panel of European banking crisis episodes, showed that equal-weighted model averaging achieved superior out-of-sample performance to any single component model when evaluated on the primary EWS metrics, and that the improvement was largest when individual models exhibited high disagreement at actual crisis observations. The theoretical basis for this finding is bias-variance decomposition: ensemble averaging reduces variance in the combined prediction, with the reduction in variance being largest when the component predictions are most different — which, under the Holopainen and Sarlin (2017) argument, is precisely the condition that obtains at high-stakes observations where individual model uncertainty is greatest.</w:t>
      </w:r>
    </w:p>
    <w:p>
      <w:pPr>
        <w:pStyle w:val="BodyText"/>
      </w:pPr>
      <w:r>
        <w:t xml:space="preserve">The choice of equal weighting, adopted in the present analysis following Holopainen and Sarlin (2017), reflects a principled constraint: any weighting scheme derived from the same out-of-sample pool used for evaluation is circular. Equal weights avoid this problem at the cost of not exploiting potential differences in component model quality, which in practice makes little difference when component model AUROCs are similar, as is the case in the Stage 2 results of the present dissertation.</w:t>
      </w:r>
    </w:p>
    <w:p>
      <w:r>
        <w:pict>
          <v:rect style="width:0;height:1.5pt" o:hralign="center" o:hrstd="t" o:hr="t"/>
        </w:pict>
      </w:r>
    </w:p>
    <w:bookmarkEnd w:id="36"/>
    <w:bookmarkStart w:id="37" w:name="financial-contagion-and-network-channels"/>
    <w:p>
      <w:pPr>
        <w:pStyle w:val="Heading2"/>
      </w:pPr>
      <w:r>
        <w:t xml:space="preserve">2.7 Financial Contagion and Network Channels</w:t>
      </w:r>
    </w:p>
    <w:p>
      <w:pPr>
        <w:pStyle w:val="FirstParagraph"/>
      </w:pPr>
      <w:r>
        <w:t xml:space="preserve">The present analysis treats each country independently, estimating crisis probabilities from domestic macro-financial features without incorporating cross-country linkages. This design choice reflects data availability constraints rather than a theoretical claim that contagion channels are unimportant. Cetorelli and Goldberg (2011) document the role of global bank networks in transmitting the GFC stress across national borders, showing that countries with higher pre-crisis bilateral bank exposure to US financial institutions experienced more severe financial sector disruption, even controlling for domestic macroeconomic conditions. Their analysis uses BIS consolidated banking statistics to construct bilateral bank exposure matrices — data sources that are publicly available but require substantial processing effort to merge with the country-year panel structure of the EWS design.</w:t>
      </w:r>
    </w:p>
    <w:p>
      <w:pPr>
        <w:pStyle w:val="BodyText"/>
      </w:pPr>
      <w:r>
        <w:t xml:space="preserve">The failure of macro-based EWS models to anticipate crisis in countries that experienced stress primarily through contagion channels — Germany, Belgium, and Switzerland in 2007–2008 — is directly attributable to the absence of network contagion features from the feature set. Incorporating bilateral bank exposure data into the EWS framework represents one of the most impactful extensions identified in Chapter 5, as it would allow the model to distinguish between countries whose risk profiles reflect domestic imbalances and those whose exposure is predominantly determined by the financial network position of their banking sector.</w:t>
      </w:r>
    </w:p>
    <w:p>
      <w:r>
        <w:pict>
          <v:rect style="width:0;height:1.5pt" o:hralign="center" o:hrstd="t" o:hr="t"/>
        </w:pict>
      </w:r>
    </w:p>
    <w:bookmarkEnd w:id="37"/>
    <w:bookmarkStart w:id="38" w:name="research-gap-and-study-positioning"/>
    <w:p>
      <w:pPr>
        <w:pStyle w:val="Heading2"/>
      </w:pPr>
      <w:r>
        <w:t xml:space="preserve">2.8 Research Gap and Study Positioning</w:t>
      </w:r>
    </w:p>
    <w:p>
      <w:pPr>
        <w:pStyle w:val="FirstParagraph"/>
      </w:pPr>
      <w:r>
        <w:t xml:space="preserve">The review of the literature reveals three specific gaps that the present dissertation addresses.</w:t>
      </w:r>
    </w:p>
    <w:p>
      <w:pPr>
        <w:pStyle w:val="BodyText"/>
      </w:pPr>
      <w:r>
        <w:t xml:space="preserve">The first concerns</w:t>
      </w:r>
      <w:r>
        <w:t xml:space="preserve"> </w:t>
      </w:r>
      <w:r>
        <w:rPr>
          <w:bCs/>
          <w:b/>
        </w:rPr>
        <w:t xml:space="preserve">prospective validation across multiple crisis regimes</w:t>
      </w:r>
      <w:r>
        <w:t xml:space="preserve">. Most recent EWS research evaluates models on expanding-window designs that allow training folds to accumulate GFC data, producing inflated metrics that cannot be interpreted as evidence of forward-looking performance. The handful of studies that apply strict temporal validation — including Beutel, List and von Schweinitz (2019) — do so primarily to characterise the performance of logistic regression and Random Forest models. The behaviour of Explainable Boosting Machines under strict temporal validation, and in particular whether interpretable models are more or less susceptible to regime-specific overfitting than their black-box counterparts, has not been examined in the EWS literature.</w:t>
      </w:r>
    </w:p>
    <w:p>
      <w:pPr>
        <w:pStyle w:val="BodyText"/>
      </w:pPr>
      <w:r>
        <w:t xml:space="preserve">The second gap concerns the</w:t>
      </w:r>
      <w:r>
        <w:t xml:space="preserve"> </w:t>
      </w:r>
      <w:r>
        <w:rPr>
          <w:bCs/>
          <w:b/>
        </w:rPr>
        <w:t xml:space="preserve">mechanism of EWS generalisation failure</w:t>
      </w:r>
      <w:r>
        <w:t xml:space="preserve">. Existing studies document that models fail under strict temporal validation but do not provide a mechanism-level explanation of why they fail — that is, which specific feature-risk relationships break down across regime boundaries. The application of EBM’s native shape functions to this question enables a qualitatively different level of analysis: rather than observing reduced performance metrics and inferring non-stationarity, the shape function comparison makes the instability directly visible at the feature level.</w:t>
      </w:r>
    </w:p>
    <w:p>
      <w:pPr>
        <w:pStyle w:val="BodyText"/>
      </w:pPr>
      <w:r>
        <w:t xml:space="preserve">The third gap concerns the</w:t>
      </w:r>
      <w:r>
        <w:t xml:space="preserve"> </w:t>
      </w:r>
      <w:r>
        <w:rPr>
          <w:bCs/>
          <w:b/>
        </w:rPr>
        <w:t xml:space="preserve">algorithm contribution to sentiment-augmented models</w:t>
      </w:r>
      <w:r>
        <w:t xml:space="preserve">. Existing studies that report performance gains for sentiment-augmented models do not control for the algorithm effect — the possibility that the performance gain attributed to sentiment is in fact driven by the switch from a macro-only model (typically a simpler specification) to a sentiment-augmented model that uses a more flexible algorithm. By introducing EBM as an interpretable non-linear baseline on the same 41 macro features, the present dissertation isolates the algorithm effect from the sentiment effect, providing a cleaner attribution of observed performance differences.</w:t>
      </w:r>
    </w:p>
    <w:p>
      <w:pPr>
        <w:pStyle w:val="BodyText"/>
      </w:pPr>
      <w:r>
        <w:t xml:space="preserve">Together, these three gaps define the specific contribution of the present dissertation to the EWS literature, as set out in detail in Chapter 3 (methodology) and evaluated in Chapter 4 (results).</w:t>
      </w:r>
    </w:p>
    <w:p>
      <w:r>
        <w:pict>
          <v:rect style="width:0;height:1.5pt" o:hralign="center" o:hrstd="t" o:hr="t"/>
        </w:pict>
      </w:r>
    </w:p>
    <w:p>
      <w:pPr>
        <w:pStyle w:val="FirstParagraph"/>
      </w:pPr>
      <w:r>
        <w:rPr>
          <w:iCs/>
          <w:i/>
        </w:rPr>
        <w:t xml:space="preserve">Chapter 2 revision: April 2026</w:t>
      </w:r>
    </w:p>
    <w:bookmarkEnd w:id="38"/>
    <w:bookmarkEnd w:id="39"/>
    <w:p>
      <w:r>
        <w:br w:type="page"/>
      </w:r>
    </w:p>
    <w:p>
      <w:pPr>
        <w:spacing w:after="240"/>
      </w:pPr>
      <w:r>
        <w:rPr>
          <w:b/>
          <w:color w:val="1F4E79"/>
          <w:sz w:val="28"/>
        </w:rPr>
        <w:t>References</w:t>
      </w:r>
    </w:p>
    <w:p>
      <w:pPr>
        <w:spacing w:after="120"/>
        <w:ind w:left="720" w:hanging="720"/>
      </w:pPr>
      <w:r>
        <w:rPr>
          <w:sz w:val="22"/>
        </w:rPr>
        <w:t xml:space="preserve">Alessi, L. and Detken, C. (2018) 'Identifying excessive credit growth and leverage', </w:t>
      </w:r>
      <w:r>
        <w:rPr>
          <w:i/>
          <w:sz w:val="22"/>
        </w:rPr>
        <w:t>Journal of Financial Stability</w:t>
      </w:r>
      <w:r>
        <w:rPr>
          <w:sz w:val="22"/>
        </w:rPr>
        <w:t>, 35, pp. 215–225.</w:t>
      </w:r>
    </w:p>
    <w:p>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2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pPr>
        <w:spacing w:after="12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Hooker, G. and Mentch, L. (2019) 'Please stop permuting features: an explanation and alternatives', </w:t>
      </w:r>
      <w:r>
        <w:rPr>
          <w:i/>
          <w:sz w:val="22"/>
        </w:rPr>
        <w:t>arXiv preprint</w:t>
      </w:r>
      <w:r>
        <w:rPr>
          <w:sz w:val="22"/>
        </w:rPr>
        <w:t>, arXiv:1905.03151.</w:t>
      </w:r>
      <w:r>
        <w:rPr>
          <w:sz w:val="22"/>
        </w:rPr>
        <w:t xml:space="preserve"> Available at: https://arxiv.org/abs/1905.03151 (Accessed: 12 April 2026).</w:t>
      </w:r>
    </w:p>
    <w:p>
      <w:pPr>
        <w:spacing w:after="12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pPr>
        <w:spacing w:after="120"/>
        <w:ind w:left="720" w:hanging="720"/>
      </w:pPr>
      <w:r>
        <w:rPr>
          <w:sz w:val="22"/>
        </w:rPr>
        <w:t xml:space="preserve">Kaminsky, G., Lizondo, S. and Reinhart, C.M. (1998) 'Leading indicators of currency crises', </w:t>
      </w:r>
      <w:r>
        <w:rPr>
          <w:i/>
          <w:sz w:val="22"/>
        </w:rPr>
        <w:t>IMF Staff Papers</w:t>
      </w:r>
      <w:r>
        <w:rPr>
          <w:sz w:val="22"/>
        </w:rPr>
        <w:t>, 45(1), pp. 1–48.</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2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pPr>
        <w:spacing w:after="120"/>
        <w:ind w:left="720" w:hanging="720"/>
      </w:pPr>
      <w:r>
        <w:rPr>
          <w:sz w:val="22"/>
        </w:rPr>
        <w:t xml:space="preserve">Obstfeld, M. (1996) 'Models of currency crises with self-fulfilling features', </w:t>
      </w:r>
      <w:r>
        <w:rPr>
          <w:i/>
          <w:sz w:val="22"/>
        </w:rPr>
        <w:t>European Economic Review</w:t>
      </w:r>
      <w:r>
        <w:rPr>
          <w:sz w:val="22"/>
        </w:rPr>
        <w:t>, 40(3–5), pp. 1037–1047.</w:t>
      </w:r>
    </w:p>
    <w:p>
      <w:pPr>
        <w:spacing w:after="12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pPr>
        <w:spacing w:after="120"/>
        <w:ind w:left="720" w:hanging="720"/>
      </w:pPr>
      <w:r>
        <w:rPr>
          <w:sz w:val="22"/>
        </w:rPr>
        <w:t xml:space="preserve">Yang, Y., UIT-Fintech and Liu, Y. (2020) 'FinBERT: a pretrained language model for financial communications', </w:t>
      </w:r>
      <w:r>
        <w:rPr>
          <w:i/>
          <w:sz w:val="22"/>
        </w:rPr>
        <w:t>arXiv preprint</w:t>
      </w:r>
      <w:r>
        <w:rPr>
          <w:sz w:val="22"/>
        </w:rPr>
        <w:t>, arXiv:2006.08097.</w:t>
      </w:r>
      <w:r>
        <w:rPr>
          <w:sz w:val="22"/>
        </w:rPr>
        <w:t xml:space="preserve"> Available at: https://arxiv.org/abs/2006.08097 (Accessed: 12 April 2026).</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2026-04-12T19:11:30Z</dcterms:created>
  <dcterms:modified xsi:type="dcterms:W3CDTF">2026-04-12T19:11:30Z</dcterms:modified>
</cp:coreProperties>
</file>

<file path=docProps/custom.xml><?xml version="1.0" encoding="utf-8"?>
<Properties xmlns="http://schemas.openxmlformats.org/officeDocument/2006/custom-properties" xmlns:vt="http://schemas.openxmlformats.org/officeDocument/2006/docPropsVTypes"/>
</file>