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hapter-3-methodology"/>
    <w:p>
      <w:pPr>
        <w:pStyle w:val="Heading1"/>
      </w:pPr>
      <w:r>
        <w:t xml:space="preserve">Chapter 3: Methodology</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research-design-overview"/>
    <w:p>
      <w:pPr>
        <w:pStyle w:val="Heading2"/>
      </w:pPr>
      <w:r>
        <w:t xml:space="preserve">3.1 Research Design Overview</w:t>
      </w:r>
    </w:p>
    <w:p>
      <w:pPr>
        <w:pStyle w:val="FirstParagraph"/>
      </w:pPr>
      <w:r>
        <w:t xml:space="preserve">This dissertation adopts a quantitative empirical research design based on secondary panel data. The research strategy is explanatory rather than predictive in orientation: the primary aim is not to develop a deployable forecasting system but to characterise the conditions under which machine learning-based early-warning systems succeed and fail, and to use an interpretable model class to make the failure mechanism directly visible. The design follows the positivist tradition in quantitative social science, treating the historical relationship between macroeconomic indicators and banking crisis outcomes as an empirical regularity to be measured, evaluated under different validation protocols, and interpreted in the context of the EWS literature.</w:t>
      </w:r>
    </w:p>
    <w:p>
      <w:pPr>
        <w:pStyle w:val="BodyText"/>
      </w:pPr>
      <w:r>
        <w:t xml:space="preserve">The analytical framework is a two-stage augmented pipeline. Stage 1 evaluates macro-only models on an extended panel covering 1989–2020, enabling evaluation across multiple pre-GFC crisis episodes and providing a more robust baseline than the GFC-concentrated original analysis. Stage 2 evaluates sentiment-augmented models on the 2003–2020 overlap window where FinBERT-processed BIS speech data is available. Both stages share the same expanding-window cross-validation design, feature engineering procedure, and evaluation metrics, ensuring that comparisons across models and stages are methodologically consistent.</w:t>
      </w:r>
    </w:p>
    <w:p>
      <w:r>
        <w:pict>
          <v:rect style="width:0;height:1.5pt" o:hralign="center" o:hrstd="t" o:hr="t"/>
        </w:pict>
      </w:r>
    </w:p>
    <w:bookmarkEnd w:id="20"/>
    <w:bookmarkStart w:id="25" w:name="data-sources"/>
    <w:p>
      <w:pPr>
        <w:pStyle w:val="Heading2"/>
      </w:pPr>
      <w:r>
        <w:t xml:space="preserve">3.2 Data Sources</w:t>
      </w:r>
    </w:p>
    <w:bookmarkStart w:id="21" w:name="jst-macrohistory-database-r6"/>
    <w:p>
      <w:pPr>
        <w:pStyle w:val="Heading3"/>
      </w:pPr>
      <w:r>
        <w:t xml:space="preserve">3.2.1 JST Macrohistory Database R6</w:t>
      </w:r>
    </w:p>
    <w:p>
      <w:pPr>
        <w:pStyle w:val="FirstParagraph"/>
      </w:pPr>
      <w:r>
        <w:t xml:space="preserve">The primary macroeconomic data source is the JST Macrohistory Database R6 (Jordà, Schularick and Taylor, 2017), a comprehensive annual panel dataset covering seventeen to eighteen advanced economies from 1870 to 2020. The R6 release covers 18 countries: Australia, Belgium, Canada, Switzerland, Germany, Denmark, Spain, Finland, France, the United Kingdom, Ireland, Italy, Japan, the Netherlands, Norway, Portugal, Sweden, and the United States. The database provides consistent long-run time series for credit aggregates, house prices, interest rates, monetary aggregates, current account balances, GDP, CPI, and government debt, constructed from national historical sources with careful attention to cross-country comparability.</w:t>
      </w:r>
    </w:p>
    <w:p>
      <w:pPr>
        <w:pStyle w:val="BodyText"/>
      </w:pPr>
      <w:r>
        <w:t xml:space="preserve">The analysis uses data from 1985–2020 for the 18 countries listed above. After three-year lag construction eliminates 1985–1987 warm-up rows, the usable panel covers 1989–2020, yielding 569 country-year observations for Stage 1. The crisis chronology follows the JST variable</w:t>
      </w:r>
      <w:r>
        <w:t xml:space="preserve"> </w:t>
      </w:r>
      <w:r>
        <w:rPr>
          <w:rStyle w:val="VerbatimChar"/>
        </w:rPr>
        <w:t xml:space="preserve">crisisjst</w:t>
      </w:r>
      <w:r>
        <w:t xml:space="preserve">, which records the year of systemic banking crisis onset based on the Laeven and Valencia (2020) chronology supplemented by additional historical documentation. Two minor data gaps were identified and addressed: Denmark’s government debt series is missing in 1997 and was linearly interpolated using adjacent year values; Portugal’s house price series is missing in 1985–1987 but these cells are eliminated by the lag construction and require no imputation.</w:t>
      </w:r>
    </w:p>
    <w:bookmarkEnd w:id="21"/>
    <w:bookmarkStart w:id="22" w:name="bis-central-bank-speeches"/>
    <w:p>
      <w:pPr>
        <w:pStyle w:val="Heading3"/>
      </w:pPr>
      <w:r>
        <w:t xml:space="preserve">3.2.2 BIS Central Bank Speeches</w:t>
      </w:r>
    </w:p>
    <w:p>
      <w:pPr>
        <w:pStyle w:val="FirstParagraph"/>
      </w:pPr>
      <w:r>
        <w:t xml:space="preserve">The sentiment feature set is derived from the BIS Speech Archive, a publicly accessible collection of speeches delivered by central bank governors and senior officials from BIS member institutions. The corpus used in this analysis comprises 16,622 speeches covering the period 2003–2020 for the 18 countries in the macro panel. Speeches were downloaded from the BIS website in bulk, matched to country identifiers using a country-mapping procedure based on speaker institution metadata, and deduplicated to remove speeches delivered at multi-country forums where country attribution was ambiguous.</w:t>
      </w:r>
    </w:p>
    <w:p>
      <w:pPr>
        <w:pStyle w:val="BodyText"/>
      </w:pPr>
      <w:r>
        <w:t xml:space="preserve">FinBERT inference was conducted using the ProsusAI/finbert model (Yang, UIT-Fintech and Liu, 2020) hosted on the Hugging Face model hub. Each speech was segmented into sentences, classified into positive, negative, and neutral categories with associated probability scores, and aggregated to the speech level by averaging sentence-level probabilities weighted by sentence length. Speech-level sentiment scores were then aggregated to the country-year level by taking the mean across all speeches from a given country in a given calendar year, producing annual sentiment time series for each of the 18 countries. The full FinBERT inference pipeline ran for approximately 12.4 hours on CPU hardware (Intel Core i7, 16GB RAM) and is documented in notebooks NB03 and NB04 of the project repository.</w:t>
      </w:r>
    </w:p>
    <w:bookmarkEnd w:id="22"/>
    <w:bookmarkStart w:id="24" w:name="ethical-considerations"/>
    <w:p>
      <w:pPr>
        <w:pStyle w:val="Heading3"/>
      </w:pPr>
      <w:r>
        <w:t xml:space="preserve">3.2.3 Ethical Considerations</w:t>
      </w:r>
    </w:p>
    <w:p>
      <w:pPr>
        <w:pStyle w:val="FirstParagraph"/>
      </w:pPr>
      <w:r>
        <w:t xml:space="preserve">This research uses exclusively publicly available secondary data. The JST Macrohistory Database R6 is published under an open academic licence. The BIS Central Bank Speech Archive is freely accessible and published for public use. No human participants are involved in any stage of data collection or analysis, and no personally identifiable information is processed at any point. The research was submitted for ethical review through the University of Essex Ethics Committee and determined to be of minimal risk, requiring no further review or approval. The use of automated text analysis tools (FinBERT) on publicly available speeches raises no additional ethical concerns beyond those inherent in standard corpus linguistics research.</w:t>
      </w:r>
    </w:p>
    <w:p>
      <w:pPr>
        <w:pStyle w:val="BodyText"/>
      </w:pPr>
      <w:r>
        <w:t xml:space="preserve">Professional obligations are met through the explicit acknowledgement of data sources, transparent reporting of all methodological choices including limitations and negative results, and the public availability of the full code pipeline through the project GitHub repository at</w:t>
      </w:r>
      <w:r>
        <w:t xml:space="preserve"> </w:t>
      </w:r>
      <w:hyperlink r:id="rId23">
        <w:r>
          <w:rPr>
            <w:rStyle w:val="Hyperlink"/>
          </w:rPr>
          <w:t xml:space="preserve">https://github.com/spike2025-art/eportfolio-uoe/tree/main</w:t>
        </w:r>
      </w:hyperlink>
      <w:r>
        <w:t xml:space="preserve">. Reproducibility is ensured by fixing all random seeds at 42 throughout the pipeline and documenting the full software environment including package versions in the repository.</w:t>
      </w:r>
    </w:p>
    <w:p>
      <w:r>
        <w:pict>
          <v:rect style="width:0;height:1.5pt" o:hralign="center" o:hrstd="t" o:hr="t"/>
        </w:pict>
      </w:r>
    </w:p>
    <w:bookmarkEnd w:id="24"/>
    <w:bookmarkEnd w:id="25"/>
    <w:bookmarkStart w:id="26" w:name="target-variable-construction"/>
    <w:p>
      <w:pPr>
        <w:pStyle w:val="Heading2"/>
      </w:pPr>
      <w:r>
        <w:t xml:space="preserve">3.3 Target Variable Construction</w:t>
      </w:r>
    </w:p>
    <w:p>
      <w:pPr>
        <w:pStyle w:val="FirstParagraph"/>
      </w:pPr>
      <w:r>
        <w:t xml:space="preserve">The primary prediction target is</w:t>
      </w:r>
      <w:r>
        <w:t xml:space="preserve"> </w:t>
      </w:r>
      <w:r>
        <w:rPr>
          <w:rStyle w:val="VerbatimChar"/>
        </w:rPr>
        <w:t xml:space="preserve">target_h2</w:t>
      </w:r>
      <w:r>
        <w:t xml:space="preserve">, a binary variable that marks a country-year as positive if a systemic banking crisis onset (</w:t>
      </w:r>
      <w:r>
        <w:rPr>
          <w:rStyle w:val="VerbatimChar"/>
        </w:rPr>
        <w:t xml:space="preserve">crisisjst</w:t>
      </w:r>
      <w:r>
        <w:t xml:space="preserve"> </w:t>
      </w:r>
      <w:r>
        <w:t xml:space="preserve">= 1) falls within the following two years (H2 horizon). Formally:</w:t>
      </w:r>
    </w:p>
    <w:p>
      <w:pPr>
        <w:pStyle w:val="BodyText"/>
      </w:pPr>
      <m:oMathPara>
        <m:oMathParaPr>
          <m:jc m:val="center"/>
        </m:oMathParaPr>
        <m:oMath>
          <m:sSub>
            <m:e>
              <m:r>
                <m:rPr>
                  <m:nor/>
                  <m:sty m:val="p"/>
                </m:rPr>
                <m:t>target_h2</m:t>
              </m:r>
            </m:e>
            <m:sub>
              <m:r>
                <m:t>c</m:t>
              </m:r>
              <m:r>
                <m:rPr>
                  <m:sty m:val="p"/>
                </m:rPr>
                <m:t>,</m:t>
              </m:r>
              <m:r>
                <m:t>t</m:t>
              </m:r>
            </m:sub>
          </m:sSub>
          <m:r>
            <m:rPr>
              <m:sty m:val="p"/>
            </m:rPr>
            <m:t>=</m:t>
          </m:r>
          <m:r>
            <m:rPr>
              <m:sty m:val="b"/>
            </m:rPr>
            <m:t>1</m:t>
          </m:r>
          <m:d>
            <m:dPr>
              <m:begChr m:val="["/>
              <m:endChr m:val="]"/>
              <m:sepChr m:val=""/>
              <m:grow/>
            </m:dPr>
            <m:e>
              <m:nary>
                <m:naryPr>
                  <m:chr m:val="∑"/>
                  <m:limLoc m:val="undOvr"/>
                  <m:subHide m:val="off"/>
                  <m:supHide m:val="off"/>
                </m:naryPr>
                <m:sub>
                  <m:r>
                    <m:t>k</m:t>
                  </m:r>
                  <m:r>
                    <m:rPr>
                      <m:sty m:val="p"/>
                    </m:rPr>
                    <m:t>=</m:t>
                  </m:r>
                  <m:r>
                    <m:t>1</m:t>
                  </m:r>
                </m:sub>
                <m:sup>
                  <m:r>
                    <m:t>2</m:t>
                  </m:r>
                </m:sup>
                <m:e>
                  <m:sSub>
                    <m:e>
                      <m:r>
                        <m:rPr>
                          <m:nor/>
                          <m:sty m:val="p"/>
                        </m:rPr>
                        <m:t>crisisjst</m:t>
                      </m:r>
                    </m:e>
                    <m:sub>
                      <m:r>
                        <m:t>c</m:t>
                      </m:r>
                      <m:r>
                        <m:rPr>
                          <m:sty m:val="p"/>
                        </m:rPr>
                        <m:t>,</m:t>
                      </m:r>
                      <m:r>
                        <m:t>t</m:t>
                      </m:r>
                      <m:r>
                        <m:rPr>
                          <m:sty m:val="p"/>
                        </m:rPr>
                        <m:t>+</m:t>
                      </m:r>
                      <m:r>
                        <m:t>k</m:t>
                      </m:r>
                    </m:sub>
                  </m:sSub>
                </m:e>
              </m:nary>
              <m:r>
                <m:rPr>
                  <m:sty m:val="p"/>
                </m:rPr>
                <m:t>&gt;</m:t>
              </m:r>
              <m:r>
                <m:t>0</m:t>
              </m:r>
            </m:e>
          </m:d>
        </m:oMath>
      </m:oMathPara>
    </w:p>
    <w:p>
      <w:pPr>
        <w:pStyle w:val="FirstParagraph"/>
      </w:pPr>
      <w:r>
        <w:t xml:space="preserve">This two-year forward window is used throughout both stages, producing 37 positive observations in the Stage 1 panel (base rate 6.5 per cent) and 26 positive observations in the Stage 2 panel (base rate 8.15 per cent). The two-year horizon is standard in the EWS literature, reflecting the typical policy-relevant lead time at which early intervention could plausibly affect crisis outcomes.</w:t>
      </w:r>
    </w:p>
    <w:p>
      <w:pPr>
        <w:pStyle w:val="BodyText"/>
      </w:pPr>
      <w:r>
        <w:t xml:space="preserve">Two additional targets —</w:t>
      </w:r>
      <w:r>
        <w:t xml:space="preserve"> </w:t>
      </w:r>
      <w:r>
        <w:rPr>
          <w:rStyle w:val="VerbatimChar"/>
        </w:rPr>
        <w:t xml:space="preserve">target_h1</w:t>
      </w:r>
      <w:r>
        <w:t xml:space="preserve"> </w:t>
      </w:r>
      <w:r>
        <w:t xml:space="preserve">(one-year horizon) and</w:t>
      </w:r>
      <w:r>
        <w:t xml:space="preserve"> </w:t>
      </w:r>
      <w:r>
        <w:rPr>
          <w:rStyle w:val="VerbatimChar"/>
        </w:rPr>
        <w:t xml:space="preserve">target_h3</w:t>
      </w:r>
      <w:r>
        <w:t xml:space="preserve"> </w:t>
      </w:r>
      <w:r>
        <w:t xml:space="preserve">(three-year horizon) — are constructed for robustness checks but are not used as primary evaluation targets. These are defined analogously to</w:t>
      </w:r>
      <w:r>
        <w:t xml:space="preserve"> </w:t>
      </w:r>
      <w:r>
        <w:rPr>
          <w:rStyle w:val="VerbatimChar"/>
        </w:rPr>
        <w:t xml:space="preserve">target_h2</w:t>
      </w:r>
      <w:r>
        <w:t xml:space="preserve"> </w:t>
      </w:r>
      <w:r>
        <w:t xml:space="preserve">with forward windows of one and three years respectively. The COVID-19 shock of 2020 is excluded from the crisis chronology on the grounds that it does not satisfy the Laeven and Valencia (2020) systemic banking crisis criteria; the 2020 observation is retained in both datasets and assigned to the held-out set rather than the evaluation window.</w:t>
      </w:r>
    </w:p>
    <w:p>
      <w:r>
        <w:pict>
          <v:rect style="width:0;height:1.5pt" o:hralign="center" o:hrstd="t" o:hr="t"/>
        </w:pict>
      </w:r>
    </w:p>
    <w:bookmarkEnd w:id="26"/>
    <w:bookmarkStart w:id="30" w:name="feature-engineering"/>
    <w:p>
      <w:pPr>
        <w:pStyle w:val="Heading2"/>
      </w:pPr>
      <w:r>
        <w:t xml:space="preserve">3.4 Feature Engineering</w:t>
      </w:r>
    </w:p>
    <w:bookmarkStart w:id="27" w:name="macro-feature-construction"/>
    <w:p>
      <w:pPr>
        <w:pStyle w:val="Heading3"/>
      </w:pPr>
      <w:r>
        <w:t xml:space="preserve">3.4.1 Macro Feature Construction</w:t>
      </w:r>
    </w:p>
    <w:p>
      <w:pPr>
        <w:pStyle w:val="FirstParagraph"/>
      </w:pPr>
      <w:r>
        <w:t xml:space="preserve">Ten macroeconomic variables are selected from the JST database based on theoretical relevance to banking crisis prediction and data availability across the full panel: total loans (tloans), total mortgage loans (tmort), monetary aggregates (money), long-term interest rates (ltrate), short-term interest rates (stir), nominal house prices (hpnom), government debt to GDP (debtgdp), consumer price inflation (cpi), current account balance (ca), and real GDP per capita (rgdpmad). These variables capture the primary precursor mechanisms identified in the EWS literature: credit expansion, asset price inflation, interest rate dynamics, fiscal position, and external imbalances.</w:t>
      </w:r>
    </w:p>
    <w:p>
      <w:pPr>
        <w:pStyle w:val="BodyText"/>
      </w:pPr>
      <w:r>
        <w:t xml:space="preserve">Three lag levels (t−1, t−2, t−3) are constructed for each variable, producing 30 lagged level features. A term spread feature (ltrate − stir) is constructed and lagged at all three horizons, adding three further features. Growth rate features are constructed for credit, mortgage lending, money, house prices, and GDP using first differences of lagged levels. Rolling three-year mean and standard deviation of credit growth are added, along with a four-year rolling slope of the credit trend. The complete macro feature set for M2 and EBM comprises 41 demeaned features.</w:t>
      </w:r>
    </w:p>
    <w:p>
      <w:pPr>
        <w:pStyle w:val="BodyText"/>
      </w:pPr>
      <w:r>
        <w:t xml:space="preserve">All macro features are expanding-mean demeaned using country-specific expanding means computed from observations prior to the current year, ensuring no forward leakage at any stage of feature construction:</w:t>
      </w:r>
    </w:p>
    <w:p>
      <w:pPr>
        <w:pStyle w:val="BodyText"/>
      </w:pPr>
      <m:oMathPara>
        <m:oMathParaPr>
          <m:jc m:val="center"/>
        </m:oMathParaPr>
        <m:oMath>
          <m:sSub>
            <m:e>
              <m:acc>
                <m:accPr>
                  <m:chr m:val="̃"/>
                </m:accPr>
                <m:e>
                  <m:r>
                    <m:t>x</m:t>
                  </m:r>
                </m:e>
              </m:acc>
            </m:e>
            <m:sub>
              <m:r>
                <m:t>c</m:t>
              </m:r>
              <m:r>
                <m:rPr>
                  <m:sty m:val="p"/>
                </m:rPr>
                <m:t>,</m:t>
              </m:r>
              <m:r>
                <m:t>t</m:t>
              </m:r>
            </m:sub>
          </m:sSub>
          <m:r>
            <m:rPr>
              <m:sty m:val="p"/>
            </m:rPr>
            <m:t>=</m:t>
          </m:r>
          <m:sSub>
            <m:e>
              <m:r>
                <m:t>x</m:t>
              </m:r>
            </m:e>
            <m:sub>
              <m:r>
                <m:t>c</m:t>
              </m:r>
              <m:r>
                <m:rPr>
                  <m:sty m:val="p"/>
                </m:rPr>
                <m:t>,</m:t>
              </m:r>
              <m:r>
                <m:t>t</m:t>
              </m:r>
            </m:sub>
          </m:sSub>
          <m:r>
            <m:rPr>
              <m:sty m:val="p"/>
            </m:rPr>
            <m:t>−</m:t>
          </m:r>
          <m:f>
            <m:fPr>
              <m:type m:val="bar"/>
            </m:fPr>
            <m:num>
              <m:r>
                <m:t>1</m:t>
              </m:r>
            </m:num>
            <m:den>
              <m:r>
                <m:t>t</m:t>
              </m:r>
              <m:r>
                <m:rPr>
                  <m:sty m:val="p"/>
                </m:rPr>
                <m:t>−</m:t>
              </m:r>
              <m:r>
                <m:t>1</m:t>
              </m:r>
            </m:den>
          </m:f>
          <m:nary>
            <m:naryPr>
              <m:chr m:val="∑"/>
              <m:limLoc m:val="undOvr"/>
              <m:subHide m:val="off"/>
              <m:supHide m:val="off"/>
            </m:naryPr>
            <m:sub>
              <m:r>
                <m:t>s</m:t>
              </m:r>
              <m:r>
                <m:rPr>
                  <m:sty m:val="p"/>
                </m:rPr>
                <m:t>=</m:t>
              </m:r>
              <m:r>
                <m:t>1</m:t>
              </m:r>
            </m:sub>
            <m:sup>
              <m:r>
                <m:t>t</m:t>
              </m:r>
              <m:r>
                <m:rPr>
                  <m:sty m:val="p"/>
                </m:rPr>
                <m:t>−</m:t>
              </m:r>
              <m:r>
                <m:t>1</m:t>
              </m:r>
            </m:sup>
            <m:e>
              <m:sSub>
                <m:e>
                  <m:r>
                    <m:t>x</m:t>
                  </m:r>
                </m:e>
                <m:sub>
                  <m:r>
                    <m:t>c</m:t>
                  </m:r>
                  <m:r>
                    <m:rPr>
                      <m:sty m:val="p"/>
                    </m:rPr>
                    <m:t>,</m:t>
                  </m:r>
                  <m:r>
                    <m:t>s</m:t>
                  </m:r>
                </m:sub>
              </m:sSub>
            </m:e>
          </m:nary>
        </m:oMath>
      </m:oMathPara>
    </w:p>
    <w:p>
      <w:pPr>
        <w:pStyle w:val="FirstParagraph"/>
      </w:pPr>
      <w:r>
        <w:t xml:space="preserve">This demeaning procedure removes country-specific fixed effects and slow-moving trends without using any future information, replicating the procedure used in the original analysis and consistent with the expanding-window validation design.</w:t>
      </w:r>
    </w:p>
    <w:bookmarkEnd w:id="27"/>
    <w:bookmarkStart w:id="28" w:name="sentiment-feature-construction"/>
    <w:p>
      <w:pPr>
        <w:pStyle w:val="Heading3"/>
      </w:pPr>
      <w:r>
        <w:t xml:space="preserve">3.4.2 Sentiment Feature Construction</w:t>
      </w:r>
    </w:p>
    <w:p>
      <w:pPr>
        <w:pStyle w:val="FirstParagraph"/>
      </w:pPr>
      <w:r>
        <w:t xml:space="preserve">Sentiment features are derived from the country-year aggregated FinBERT scores described in Section 3.2.2. Six primary sentiment measures are constructed at the country-year level: P_pos (mean positive probability), P_neg (mean negative probability), P_neutral (mean neutral probability), net_sentiment (P_pos − P_neg), P_neg_change (annual change in P_neg), and P_pos_change (annual change in P_pos). Each is lagged at one and two years, producing twelve features. A four-year rolling slope and three-year rolling mean of P_neg are added, producing a further four features at lags one and two. The complete sentiment feature set for M3 comprises 20 rolling-demeaned features, using a three-year rolling window for demeaning to remove country-specific sentiment trend effects.</w:t>
      </w:r>
    </w:p>
    <w:bookmarkEnd w:id="28"/>
    <w:bookmarkStart w:id="29" w:name="data-leakage-prevention"/>
    <w:p>
      <w:pPr>
        <w:pStyle w:val="Heading3"/>
      </w:pPr>
      <w:r>
        <w:t xml:space="preserve">3.4.3 Data Leakage Prevention</w:t>
      </w:r>
    </w:p>
    <w:p>
      <w:pPr>
        <w:pStyle w:val="FirstParagraph"/>
      </w:pPr>
      <w:r>
        <w:t xml:space="preserve">Leakage prevention is implemented at three levels. First, all macro features are constructed using expanding country-specific means that use only data available prior to the current observation year. Second, sentiment features use rolling three-year backward-looking windows for demeaning. Third, all models are fitted within an expanding-window cross-validation framework in which the training set for fold year</w:t>
      </w:r>
      <w:r>
        <w:t xml:space="preserve"> </w:t>
      </w:r>
      <m:oMath>
        <m:r>
          <m:t>t</m:t>
        </m:r>
      </m:oMath>
      <w:r>
        <w:t xml:space="preserve"> </w:t>
      </w:r>
      <w:r>
        <w:t xml:space="preserve">comprises observations from all years prior to</w:t>
      </w:r>
      <w:r>
        <w:t xml:space="preserve"> </w:t>
      </w:r>
      <m:oMath>
        <m:r>
          <m:t>t</m:t>
        </m:r>
      </m:oMath>
      <w:r>
        <w:t xml:space="preserve">, ensuring that no information from year</w:t>
      </w:r>
      <w:r>
        <w:t xml:space="preserve"> </w:t>
      </w:r>
      <m:oMath>
        <m:r>
          <m:t>t</m:t>
        </m:r>
      </m:oMath>
      <w:r>
        <w:t xml:space="preserve"> </w:t>
      </w:r>
      <w:r>
        <w:t xml:space="preserve">or later enters the training process. A leakage verification procedure is implemented in NB05A that checks the lag-1 feature values against the t−1 raw values for a random subsample of country-year pairs, confirming zero leakage across all checked cases.</w:t>
      </w:r>
    </w:p>
    <w:p>
      <w:r>
        <w:pict>
          <v:rect style="width:0;height:1.5pt" o:hralign="center" o:hrstd="t" o:hr="t"/>
        </w:pict>
      </w:r>
    </w:p>
    <w:bookmarkEnd w:id="29"/>
    <w:bookmarkEnd w:id="30"/>
    <w:bookmarkStart w:id="37" w:name="model-specifications"/>
    <w:p>
      <w:pPr>
        <w:pStyle w:val="Heading2"/>
      </w:pPr>
      <w:r>
        <w:t xml:space="preserve">3.5 Model Specifications</w:t>
      </w:r>
    </w:p>
    <w:bookmarkStart w:id="31" w:name="m1-logistic-regression"/>
    <w:p>
      <w:pPr>
        <w:pStyle w:val="Heading3"/>
      </w:pPr>
      <w:r>
        <w:t xml:space="preserve">3.5.1 M1: Logistic Regression</w:t>
      </w:r>
    </w:p>
    <w:p>
      <w:pPr>
        <w:pStyle w:val="FirstParagraph"/>
      </w:pPr>
      <w:r>
        <w:t xml:space="preserve">M1 is a logistic regression model trained on 19 expanding-mean-demeaned macro features at lag one only, replicating the transparent linear benchmark of Schularick and Taylor (2012). The model uses L2 regularisation with C = 0.1, balanced class weights, and a maximum of 1,000 iterations for convergence. Features are standardised within each training fold using a scikit-learn Pipeline that chains StandardScaler and LogisticRegression, ensuring that scaling is fitted exclusively on training data without leakage into the test set.</w:t>
      </w:r>
    </w:p>
    <w:bookmarkEnd w:id="31"/>
    <w:bookmarkStart w:id="32" w:name="m1b-logistic-regression-bridge"/>
    <w:p>
      <w:pPr>
        <w:pStyle w:val="Heading3"/>
      </w:pPr>
      <w:r>
        <w:t xml:space="preserve">3.5.2 M1b: Logistic Regression Bridge</w:t>
      </w:r>
    </w:p>
    <w:p>
      <w:pPr>
        <w:pStyle w:val="FirstParagraph"/>
      </w:pPr>
      <w:r>
        <w:t xml:space="preserve">M1b extends M1 to include all 41 macro features at lags one through three, holding the model class constant while varying the feature set. This specification serves as a decomposition bridge between M1 and M2, isolating the contribution of lag depth from the contribution of model non-linearity. The regularisation and class weight settings are identical to M1.</w:t>
      </w:r>
    </w:p>
    <w:bookmarkEnd w:id="32"/>
    <w:bookmarkStart w:id="33" w:name="m2-random-forest"/>
    <w:p>
      <w:pPr>
        <w:pStyle w:val="Heading3"/>
      </w:pPr>
      <w:r>
        <w:t xml:space="preserve">3.5.3 M2: Random Forest</w:t>
      </w:r>
    </w:p>
    <w:p>
      <w:pPr>
        <w:pStyle w:val="FirstParagraph"/>
      </w:pPr>
      <w:r>
        <w:t xml:space="preserve">M2 is a Random Forest classifier trained on 41 macro features at lags one through three. Hyperparameters are: 500 estimators, maximum depth of 5, balanced class weights, and random state 42. Balanced class weights assign weight inversely proportional to class frequency, providing a standard approach to handling the severe class imbalance (6.5 per cent positive rate in Stage 1) without the circular in-sample weight derivation problem associated with threshold-optimising approaches. No probability calibration post-processing is applied to M2.</w:t>
      </w:r>
    </w:p>
    <w:bookmarkEnd w:id="33"/>
    <w:bookmarkStart w:id="34" w:name="m2.5-explainable-boosting-machine"/>
    <w:p>
      <w:pPr>
        <w:pStyle w:val="Heading3"/>
      </w:pPr>
      <w:r>
        <w:t xml:space="preserve">3.5.4 M2.5: Explainable Boosting Machine</w:t>
      </w:r>
    </w:p>
    <w:p>
      <w:pPr>
        <w:pStyle w:val="FirstParagraph"/>
      </w:pPr>
      <w:r>
        <w:t xml:space="preserve">M2.5 is an Explainable Boosting Machine (Lou, Caruana, Gehrke and Hooker, 2013) trained on the same 41 macro features as M2. Hyperparameters are: 5,000 maximum boosting rounds, up to 5 pairwise interaction terms, learning rate 0.01, minimum samples per leaf 2, and random state 42. Class imbalance is handled through sample weights rather than class weight parameters — at each expanding-window fold, crisis observations receive weight equal to the negative-to-positive ratio within that fold (fold_spw = n_neg / n_pos), while non-crisis observations receive weight 1.0. This approach is consistent with the scale_pos_weight mechanism used by XGBoost in M3. No isotonic calibration is applied.</w:t>
      </w:r>
    </w:p>
    <w:p>
      <w:pPr>
        <w:pStyle w:val="BodyText"/>
      </w:pPr>
      <w:r>
        <w:t xml:space="preserve">EBM is implemented using the</w:t>
      </w:r>
      <w:r>
        <w:t xml:space="preserve"> </w:t>
      </w:r>
      <w:r>
        <w:rPr>
          <w:rStyle w:val="VerbatimChar"/>
        </w:rPr>
        <w:t xml:space="preserve">interpret</w:t>
      </w:r>
      <w:r>
        <w:t xml:space="preserve"> </w:t>
      </w:r>
      <w:r>
        <w:t xml:space="preserve">package (v0.7.8), compatible with scikit-learn 1.8.0 and numpy 2.4.2. The model was installed in the Dissertation conda environment and verified against the existing package versions to confirm no dependency conflicts before any notebook modifications.</w:t>
      </w:r>
    </w:p>
    <w:bookmarkEnd w:id="34"/>
    <w:bookmarkStart w:id="35" w:name="m3-xgboost-with-finbert-sentiment"/>
    <w:p>
      <w:pPr>
        <w:pStyle w:val="Heading3"/>
      </w:pPr>
      <w:r>
        <w:t xml:space="preserve">3.5.5 M3: XGBoost with FinBERT Sentiment</w:t>
      </w:r>
    </w:p>
    <w:p>
      <w:pPr>
        <w:pStyle w:val="FirstParagraph"/>
      </w:pPr>
      <w:r>
        <w:t xml:space="preserve">M3 is an XGBoost classifier trained on 61 features extending the M2 macro set with 20 rolling-demeaned FinBERT sentiment features at lags one and two. Hyperparameters are: 300 estimators, maximum depth 4, learning rate 0.05, per-fold scale_pos_weight (equivalent to fold_spw above), evaluation metric logloss, and random state 42. Isotonic probability calibration is applied within each expanding-window fold using scikit-learn’s CalibratedClassifierCV with method=</w:t>
      </w:r>
      <w:r>
        <w:t xml:space="preserve">‘</w:t>
      </w:r>
      <w:r>
        <w:t xml:space="preserve">isotonic</w:t>
      </w:r>
      <w:r>
        <w:t xml:space="preserve">’</w:t>
      </w:r>
      <w:r>
        <w:t xml:space="preserve"> </w:t>
      </w:r>
      <w:r>
        <w:t xml:space="preserve">and cv=2. This calibration step addresses the well-documented overconfidence of gradient-boosted tree models in probability estimation, ensuring that the predicted probabilities can be meaningfully compared across models on Brier Score and ECE.</w:t>
      </w:r>
    </w:p>
    <w:bookmarkEnd w:id="35"/>
    <w:bookmarkStart w:id="36" w:name="m2-matched-and-m2.5-matched"/>
    <w:p>
      <w:pPr>
        <w:pStyle w:val="Heading3"/>
      </w:pPr>
      <w:r>
        <w:t xml:space="preserve">3.5.6 M2-matched and M2.5-matched</w:t>
      </w:r>
    </w:p>
    <w:p>
      <w:pPr>
        <w:pStyle w:val="FirstParagraph"/>
      </w:pPr>
      <w:r>
        <w:t xml:space="preserve">M2-matched and M2.5-matched are identical in specification to M2 and M2.5 respectively, but trained exclusively on the 2003–2020 Stage 2 dataset rather than the full 1989–2020 Stage 1 panel. These matched specifications allow direct comparison with M3 on identical training data, isolating the contribution of algorithm choice and sentiment features from any confounding effect of different training period coverage.</w:t>
      </w:r>
    </w:p>
    <w:p>
      <w:r>
        <w:pict>
          <v:rect style="width:0;height:1.5pt" o:hralign="center" o:hrstd="t" o:hr="t"/>
        </w:pict>
      </w:r>
    </w:p>
    <w:bookmarkEnd w:id="36"/>
    <w:bookmarkEnd w:id="37"/>
    <w:bookmarkStart w:id="42" w:name="evaluation-framework"/>
    <w:p>
      <w:pPr>
        <w:pStyle w:val="Heading2"/>
      </w:pPr>
      <w:r>
        <w:t xml:space="preserve">3.6 Evaluation Framework</w:t>
      </w:r>
    </w:p>
    <w:bookmarkStart w:id="38" w:name="expanding-window-cross-validation"/>
    <w:p>
      <w:pPr>
        <w:pStyle w:val="Heading3"/>
      </w:pPr>
      <w:r>
        <w:t xml:space="preserve">3.6.1 Expanding-Window Cross-Validation</w:t>
      </w:r>
    </w:p>
    <w:p>
      <w:pPr>
        <w:pStyle w:val="FirstParagraph"/>
      </w:pPr>
      <w:r>
        <w:t xml:space="preserve">All models are evaluated using an expanding-window cross-validation design that enforces strict temporal ordering between training and test observations. For each evaluation fold year</w:t>
      </w:r>
      <w:r>
        <w:t xml:space="preserve"> </w:t>
      </w:r>
      <m:oMath>
        <m:r>
          <m:t>t</m:t>
        </m:r>
      </m:oMath>
      <w:r>
        <w:t xml:space="preserve">, the model is trained on all observations from years prior to</w:t>
      </w:r>
      <w:r>
        <w:t xml:space="preserve"> </w:t>
      </w:r>
      <m:oMath>
        <m:r>
          <m:t>t</m:t>
        </m:r>
      </m:oMath>
      <w:r>
        <w:t xml:space="preserve"> </w:t>
      </w:r>
      <w:r>
        <w:t xml:space="preserve">and evaluated on observations from year</w:t>
      </w:r>
      <w:r>
        <w:t xml:space="preserve"> </w:t>
      </w:r>
      <m:oMath>
        <m:r>
          <m:t>t</m:t>
        </m:r>
      </m:oMath>
      <w:r>
        <w:t xml:space="preserve"> </w:t>
      </w:r>
      <w:r>
        <w:t xml:space="preserve">alone. The training set grows by one year at each fold, accumulating observations as the window expands.</w:t>
      </w:r>
    </w:p>
    <w:p>
      <w:pPr>
        <w:pStyle w:val="BodyText"/>
      </w:pPr>
      <w:r>
        <w:t xml:space="preserve">Stage 1 uses a four-year burn-in period from 1989, with 26 evaluation folds covering 1993–2018. Stage 2 uses a four-year burn-in period from 2003, with 12 evaluation folds covering 2007–2018. In both stages, 2019 and 2020 are held out from all evaluation folds and used as a final held-out test set. Out-of-sample (OOS) predictions from all evaluation folds are pooled to compute aggregate performance metrics.</w:t>
      </w:r>
    </w:p>
    <w:p>
      <w:pPr>
        <w:pStyle w:val="BodyText"/>
      </w:pPr>
      <w:r>
        <w:t xml:space="preserve">Class imbalance is addressed within each fold using a per-fold scale_pos_weight parameter computed as:</w:t>
      </w:r>
    </w:p>
    <w:p>
      <w:pPr>
        <w:pStyle w:val="BodyText"/>
      </w:pPr>
      <m:oMathPara>
        <m:oMathParaPr>
          <m:jc m:val="center"/>
        </m:oMathParaPr>
        <m:oMath>
          <m:r>
            <m:rPr>
              <m:nor/>
              <m:sty m:val="p"/>
            </m:rPr>
            <m:t>fold_spw</m:t>
          </m:r>
          <m:r>
            <m:rPr>
              <m:sty m:val="p"/>
            </m:rPr>
            <m:t>=</m:t>
          </m:r>
          <m:f>
            <m:fPr>
              <m:type m:val="bar"/>
            </m:fPr>
            <m:num>
              <m:sSub>
                <m:e>
                  <m:r>
                    <m:t>n</m:t>
                  </m:r>
                </m:e>
                <m:sub>
                  <m:r>
                    <m:rPr>
                      <m:nor/>
                      <m:sty m:val="p"/>
                    </m:rPr>
                    <m:t>neg,train</m:t>
                  </m:r>
                </m:sub>
              </m:sSub>
            </m:num>
            <m:den>
              <m:sSub>
                <m:e>
                  <m:r>
                    <m:t>n</m:t>
                  </m:r>
                </m:e>
                <m:sub>
                  <m:r>
                    <m:rPr>
                      <m:nor/>
                      <m:sty m:val="p"/>
                    </m:rPr>
                    <m:t>pos,train</m:t>
                  </m:r>
                </m:sub>
              </m:sSub>
            </m:den>
          </m:f>
        </m:oMath>
      </m:oMathPara>
    </w:p>
    <w:p>
      <w:pPr>
        <w:pStyle w:val="FirstParagraph"/>
      </w:pPr>
      <w:r>
        <w:t xml:space="preserve">This ensures that the class imbalance correction adapts to the evolving composition of each training fold rather than using a fixed global weight derived from the full dataset.</w:t>
      </w:r>
    </w:p>
    <w:bookmarkEnd w:id="38"/>
    <w:bookmarkStart w:id="39" w:name="strict-temporal-validation"/>
    <w:p>
      <w:pPr>
        <w:pStyle w:val="Heading3"/>
      </w:pPr>
      <w:r>
        <w:t xml:space="preserve">3.6.2 Strict Temporal Validation</w:t>
      </w:r>
    </w:p>
    <w:p>
      <w:pPr>
        <w:pStyle w:val="FirstParagraph"/>
      </w:pPr>
      <w:r>
        <w:t xml:space="preserve">Strict temporal validation supplements the expanding-window design with a genuinely prospective test: training on data entirely prior to a known crisis episode and evaluating on data from and after that episode. This protocol eliminates the evaluation bias inherent in expanding-window designs by ensuring that the model has no exposure to any crisis-period data before being evaluated on crisis outcomes.</w:t>
      </w:r>
    </w:p>
    <w:p>
      <w:pPr>
        <w:pStyle w:val="BodyText"/>
      </w:pPr>
      <w:r>
        <w:t xml:space="preserve">Three splits are defined for Stage 1:</w:t>
      </w:r>
    </w:p>
    <w:p>
      <w:pPr>
        <w:numPr>
          <w:ilvl w:val="0"/>
          <w:numId w:val="1001"/>
        </w:numPr>
        <w:pStyle w:val="Compact"/>
      </w:pPr>
      <w:r>
        <w:rPr>
          <w:bCs/>
          <w:b/>
        </w:rPr>
        <w:t xml:space="preserve">Split A (Pre-Nordic):</w:t>
      </w:r>
      <w:r>
        <w:t xml:space="preserve"> </w:t>
      </w:r>
      <w:r>
        <w:t xml:space="preserve">Train 1988–1990, test 1991–1997. Targets the Nordic banking crisis cluster of 1991–1994.</w:t>
      </w:r>
    </w:p>
    <w:p>
      <w:pPr>
        <w:numPr>
          <w:ilvl w:val="0"/>
          <w:numId w:val="1001"/>
        </w:numPr>
        <w:pStyle w:val="Compact"/>
      </w:pPr>
      <w:r>
        <w:rPr>
          <w:bCs/>
          <w:b/>
        </w:rPr>
        <w:t xml:space="preserve">Split B (Pre-GFC extended):</w:t>
      </w:r>
      <w:r>
        <w:t xml:space="preserve"> </w:t>
      </w:r>
      <w:r>
        <w:t xml:space="preserve">Train 1988–2002, test 2003–2011. The primary prospective test, training on the full pre-GFC history and evaluating on the GFC episode.</w:t>
      </w:r>
    </w:p>
    <w:p>
      <w:pPr>
        <w:numPr>
          <w:ilvl w:val="0"/>
          <w:numId w:val="1001"/>
        </w:numPr>
        <w:pStyle w:val="Compact"/>
      </w:pPr>
      <w:r>
        <w:rPr>
          <w:bCs/>
          <w:b/>
        </w:rPr>
        <w:t xml:space="preserve">Split C (Pre-GFC short):</w:t>
      </w:r>
      <w:r>
        <w:t xml:space="preserve"> </w:t>
      </w:r>
      <w:r>
        <w:t xml:space="preserve">Train 2003–2005, test 2006–2009. This split is infeasible — zero positive observations in the 2003–2005 training window — and is reported as skipped.</w:t>
      </w:r>
    </w:p>
    <w:p>
      <w:pPr>
        <w:pStyle w:val="FirstParagraph"/>
      </w:pPr>
      <w:r>
        <w:t xml:space="preserve">Both M2 and M2.5 are evaluated on Splits A and B. Split B with 13 positive test cases constitutes the primary prospective result; Split A has only one positive test case and is reported for completeness only.</w:t>
      </w:r>
    </w:p>
    <w:bookmarkEnd w:id="39"/>
    <w:bookmarkStart w:id="40" w:name="leave-one-country-out-validation"/>
    <w:p>
      <w:pPr>
        <w:pStyle w:val="Heading3"/>
      </w:pPr>
      <w:r>
        <w:t xml:space="preserve">3.6.3 Leave-One-Country-Out Validation</w:t>
      </w:r>
    </w:p>
    <w:p>
      <w:pPr>
        <w:pStyle w:val="FirstParagraph"/>
      </w:pPr>
      <w:r>
        <w:t xml:space="preserve">Leave-one-country-out (LOCO) validation evaluates cross-country generalisability by holding out each country in turn, training the model on the remaining 17 countries, and evaluating on the held-out country’s observations. This protocol tests whether the model’s learned representations transfer to countries whose crisis histories were not observed during training. Three countries — Australia, Canada, and Norway — had no positive observations in their hold-out periods and were excluded from the LOCO analysis. Both M2 and M2.5 are subjected to LOCO evaluation on the Stage 1 panel.</w:t>
      </w:r>
    </w:p>
    <w:bookmarkEnd w:id="40"/>
    <w:bookmarkStart w:id="41" w:name="performance-metrics"/>
    <w:p>
      <w:pPr>
        <w:pStyle w:val="Heading3"/>
      </w:pPr>
      <w:r>
        <w:t xml:space="preserve">3.6.4 Performance Metrics</w:t>
      </w:r>
    </w:p>
    <w:p>
      <w:pPr>
        <w:pStyle w:val="FirstParagraph"/>
      </w:pPr>
      <w:r>
        <w:t xml:space="preserve">Four metrics are reported for all models throughout Chapter 4.</w:t>
      </w:r>
    </w:p>
    <w:p>
      <w:pPr>
        <w:pStyle w:val="BodyText"/>
      </w:pPr>
      <w:r>
        <w:rPr>
          <w:bCs/>
          <w:b/>
        </w:rPr>
        <w:t xml:space="preserve">AUROC</w:t>
      </w:r>
      <w:r>
        <w:t xml:space="preserve"> </w:t>
      </w:r>
      <w:r>
        <w:t xml:space="preserve">(Area Under the Receiver Operating Characteristic Curve) measures the probability that the model assigns a higher predicted probability to a randomly selected positive observation than to a randomly selected negative observation. Values range from 0 to 1, with 0.5 representing a random classifier. The literature benchmark of 0.75 (Beutel, List and von Schweinitz, 2019) is used as the threshold for practically useful EWS performance in the strict temporal validation analysis.</w:t>
      </w:r>
    </w:p>
    <w:p>
      <w:pPr>
        <w:pStyle w:val="BodyText"/>
      </w:pPr>
      <w:r>
        <w:rPr>
          <w:bCs/>
          <w:b/>
        </w:rPr>
        <w:t xml:space="preserve">AUPRC</w:t>
      </w:r>
      <w:r>
        <w:t xml:space="preserve"> </w:t>
      </w:r>
      <w:r>
        <w:t xml:space="preserve">(Area Under the Precision-Recall Curve) measures the trade-off between precision (fraction of predicted positives that are true positives) and recall (fraction of true positives detected). Under severe class imbalance, AUPRC is more informative than AUROC because it is more sensitive to the model’s performance on the rare positive class (Davis and Goadrich, 2006; Saito and Rehmsmeier, 2015). AUPRC is treated as the primary metric for Stage 2 comparisons where the 8.15 per cent positive rate makes AUROC less discriminating.</w:t>
      </w:r>
    </w:p>
    <w:p>
      <w:pPr>
        <w:pStyle w:val="BodyText"/>
      </w:pPr>
      <w:r>
        <w:rPr>
          <w:bCs/>
          <w:b/>
        </w:rPr>
        <w:t xml:space="preserve">Brier Score</w:t>
      </w:r>
      <w:r>
        <w:t xml:space="preserve"> </w:t>
      </w:r>
      <w:r>
        <w:t xml:space="preserve">measures the mean squared error of predicted probabilities:</w:t>
      </w:r>
      <w:r>
        <w:t xml:space="preserve"> </w:t>
      </w:r>
      <m:oMath>
        <m:r>
          <m:rPr>
            <m:nor/>
            <m:sty m:val="p"/>
          </m:rPr>
          <m:t>BS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p</m:t>
                        </m:r>
                      </m:e>
                      <m:sub>
                        <m:r>
                          <m:t>i</m:t>
                        </m:r>
                      </m:sub>
                    </m:sSub>
                    <m:r>
                      <m:rPr>
                        <m:sty m:val="p"/>
                      </m:rPr>
                      <m:t>−</m:t>
                    </m:r>
                    <m:sSub>
                      <m:e>
                        <m:r>
                          <m:t>y</m:t>
                        </m:r>
                      </m:e>
                      <m:sub>
                        <m:r>
                          <m:t>i</m:t>
                        </m:r>
                      </m:sub>
                    </m:sSub>
                  </m:e>
                </m:d>
              </m:e>
              <m:sup>
                <m:r>
                  <m:t>2</m:t>
                </m:r>
              </m:sup>
            </m:sSup>
          </m:e>
        </m:nary>
      </m:oMath>
      <w:r>
        <w:t xml:space="preserve">. Lower values indicate better calibrated probabilistic predictions. Brier Score is less sensitive to the single-episode evaluation structure than AUPRC and provides a more stable estimate of ensemble benefit.</w:t>
      </w:r>
    </w:p>
    <w:p>
      <w:pPr>
        <w:pStyle w:val="BodyText"/>
      </w:pPr>
      <w:r>
        <w:rPr>
          <w:bCs/>
          <w:b/>
        </w:rPr>
        <w:t xml:space="preserve">Expected Calibration Error (ECE)</w:t>
      </w:r>
      <w:r>
        <w:t xml:space="preserve"> </w:t>
      </w:r>
      <w:r>
        <w:t xml:space="preserve">measures the average absolute discrepancy between predicted probabilities and observed event rates within probability bins:</w:t>
      </w:r>
      <w:r>
        <w:t xml:space="preserve"> </w:t>
      </w:r>
      <m:oMath>
        <m:r>
          <m:rPr>
            <m:nor/>
            <m:sty m:val="p"/>
          </m:rPr>
          <m:t>ECE</m:t>
        </m:r>
        <m:r>
          <m:rPr>
            <m:sty m:val="p"/>
          </m:rPr>
          <m:t>=</m:t>
        </m:r>
        <m:nary>
          <m:naryPr>
            <m:chr m:val="∑"/>
            <m:limLoc m:val="undOvr"/>
            <m:subHide m:val="off"/>
            <m:supHide m:val="off"/>
          </m:naryPr>
          <m:sub>
            <m:r>
              <m:t>b</m:t>
            </m:r>
            <m:r>
              <m:rPr>
                <m:sty m:val="p"/>
              </m:rPr>
              <m:t>=</m:t>
            </m:r>
            <m:r>
              <m:t>1</m:t>
            </m:r>
          </m:sub>
          <m:sup>
            <m:r>
              <m:t>B</m:t>
            </m:r>
          </m:sup>
          <m:e>
            <m:f>
              <m:fPr>
                <m:type m:val="bar"/>
              </m:fPr>
              <m:num>
                <m:sSub>
                  <m:e>
                    <m:r>
                      <m:t>n</m:t>
                    </m:r>
                  </m:e>
                  <m:sub>
                    <m:r>
                      <m:t>b</m:t>
                    </m:r>
                  </m:sub>
                </m:sSub>
              </m:num>
              <m:den>
                <m:r>
                  <m:t>n</m:t>
                </m:r>
              </m:den>
            </m:f>
          </m:e>
        </m:nary>
        <m:d>
          <m:dPr>
            <m:begChr m:val="|"/>
            <m:endChr m:val="|"/>
            <m:sepChr m:val=""/>
            <m:grow/>
          </m:dPr>
          <m:e>
            <m:sSub>
              <m:e>
                <m:acc>
                  <m:accPr>
                    <m:chr m:val="‾"/>
                  </m:accPr>
                  <m:e>
                    <m:r>
                      <m:t>p</m:t>
                    </m:r>
                  </m:e>
                </m:acc>
              </m:e>
              <m:sub>
                <m:r>
                  <m:t>b</m:t>
                </m:r>
              </m:sub>
            </m:sSub>
            <m:r>
              <m:rPr>
                <m:sty m:val="p"/>
              </m:rPr>
              <m:t>−</m:t>
            </m:r>
            <m:sSub>
              <m:e>
                <m:acc>
                  <m:accPr>
                    <m:chr m:val="‾"/>
                  </m:accPr>
                  <m:e>
                    <m:r>
                      <m:t>y</m:t>
                    </m:r>
                  </m:e>
                </m:acc>
              </m:e>
              <m:sub>
                <m:r>
                  <m:t>b</m:t>
                </m:r>
              </m:sub>
            </m:sSub>
          </m:e>
        </m:d>
      </m:oMath>
      <w:r>
        <w:t xml:space="preserve">. ECE complements AUROC and AUPRC by assessing whether the model’s predicted probabilities are reliable in an absolute sense, not merely in their rank ordering.</w:t>
      </w:r>
    </w:p>
    <w:p>
      <w:pPr>
        <w:pStyle w:val="BodyText"/>
      </w:pPr>
      <w:r>
        <w:t xml:space="preserve">Bootstrap 95 per cent confidence intervals for AUROC and AUPRC are computed from 1,000 resamples of the pooled OOS predictions. These intervals are indicative only: the panel dependence structure — crisis events clustered across countries within the same episode — violates the independence assumption of standard bootstrap resampling.</w:t>
      </w:r>
    </w:p>
    <w:p>
      <w:r>
        <w:pict>
          <v:rect style="width:0;height:1.5pt" o:hralign="center" o:hrstd="t" o:hr="t"/>
        </w:pict>
      </w:r>
    </w:p>
    <w:bookmarkEnd w:id="41"/>
    <w:bookmarkEnd w:id="42"/>
    <w:bookmarkStart w:id="43" w:name="ebm-shape-function-analysis"/>
    <w:p>
      <w:pPr>
        <w:pStyle w:val="Heading2"/>
      </w:pPr>
      <w:r>
        <w:t xml:space="preserve">3.7 EBM Shape Function Analysis</w:t>
      </w:r>
    </w:p>
    <w:p>
      <w:pPr>
        <w:pStyle w:val="FirstParagraph"/>
      </w:pPr>
      <w:r>
        <w:t xml:space="preserve">To investigate the regime-stability of the learned feature-risk mapping, EBM is fitted separately on two distinct sub-periods of the Stage 2 dataset:</w:t>
      </w:r>
    </w:p>
    <w:p>
      <w:pPr>
        <w:numPr>
          <w:ilvl w:val="0"/>
          <w:numId w:val="1002"/>
        </w:numPr>
        <w:pStyle w:val="Compact"/>
      </w:pPr>
      <w:r>
        <w:rPr>
          <w:bCs/>
          <w:b/>
        </w:rPr>
        <w:t xml:space="preserve">Pre-GFC EBM:</w:t>
      </w:r>
      <w:r>
        <w:t xml:space="preserve"> </w:t>
      </w:r>
      <w:r>
        <w:t xml:space="preserve">Training data 2003–2006 (no crisis events; the model learns from non-crisis country-year variation only).</w:t>
      </w:r>
    </w:p>
    <w:p>
      <w:pPr>
        <w:numPr>
          <w:ilvl w:val="0"/>
          <w:numId w:val="1002"/>
        </w:numPr>
        <w:pStyle w:val="Compact"/>
      </w:pPr>
      <w:r>
        <w:rPr>
          <w:bCs/>
          <w:b/>
        </w:rPr>
        <w:t xml:space="preserve">GFC-inclusive EBM:</w:t>
      </w:r>
      <w:r>
        <w:t xml:space="preserve"> </w:t>
      </w:r>
      <w:r>
        <w:t xml:space="preserve">Training data 2003–2010 (includes the 2007–2008 GFC onset observations).</w:t>
      </w:r>
    </w:p>
    <w:p>
      <w:pPr>
        <w:pStyle w:val="FirstParagraph"/>
      </w:pPr>
      <w:r>
        <w:t xml:space="preserve">Both models use the same hyperparameters as M2.5 and the same inverse-frequency sample weighting procedure. Shape functions for the two training windows are extracted using EBM’s</w:t>
      </w:r>
      <w:r>
        <w:t xml:space="preserve"> </w:t>
      </w:r>
      <w:r>
        <w:rPr>
          <w:rStyle w:val="VerbatimChar"/>
        </w:rPr>
        <w:t xml:space="preserve">explain_global()</w:t>
      </w:r>
      <w:r>
        <w:t xml:space="preserve"> </w:t>
      </w:r>
      <w:r>
        <w:t xml:space="preserve">method, which returns the fitted shape function for each feature as a mapping from bin midpoints to log-odds contributions. Shape functions are overlaid on the same axes to provide a direct visual comparison of the learned feature-risk mapping across the two regimes.</w:t>
      </w:r>
    </w:p>
    <w:p>
      <w:pPr>
        <w:pStyle w:val="BodyText"/>
      </w:pPr>
      <w:r>
        <w:t xml:space="preserve">This procedure enables a test that no post-hoc attribution method applied to M2 or M3 could perform: if the shape functions differ qualitatively between the pre-GFC and GFC-inclusive fits, the instability is a direct property of the learned model rather than an artefact of an attribution approximation. The comparison covers term spread and total credit at all three lag horizons (t−1, t−2, t−3), producing a 2×3 panel of shape function comparisons.</w:t>
      </w:r>
    </w:p>
    <w:p>
      <w:r>
        <w:pict>
          <v:rect style="width:0;height:1.5pt" o:hralign="center" o:hrstd="t" o:hr="t"/>
        </w:pict>
      </w:r>
    </w:p>
    <w:bookmarkEnd w:id="43"/>
    <w:bookmarkStart w:id="44" w:name="ensemble-design"/>
    <w:p>
      <w:pPr>
        <w:pStyle w:val="Heading2"/>
      </w:pPr>
      <w:r>
        <w:t xml:space="preserve">3.8 Ensemble Design</w:t>
      </w:r>
    </w:p>
    <w:p>
      <w:pPr>
        <w:pStyle w:val="FirstParagraph"/>
      </w:pPr>
      <w:r>
        <w:t xml:space="preserve">Two ensemble specifications are evaluated following Holopainen and Sarlin (2017). All ensembles use equal-weighted averaging of OOS predicted probabilities:</w:t>
      </w:r>
    </w:p>
    <w:p>
      <w:pPr>
        <w:pStyle w:val="BodyText"/>
      </w:pPr>
      <m:oMathPara>
        <m:oMathParaPr>
          <m:jc m:val="center"/>
        </m:oMathParaPr>
        <m:oMath>
          <m:sSub>
            <m:e>
              <m:r>
                <m:t>p</m:t>
              </m:r>
            </m:e>
            <m:sub>
              <m:r>
                <m:rPr>
                  <m:nor/>
                  <m:sty m:val="p"/>
                </m:rPr>
                <m:t>ensemble</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t>p</m:t>
                  </m:r>
                </m:e>
                <m:sub>
                  <m:r>
                    <m:t>k</m:t>
                  </m:r>
                </m:sub>
              </m:sSub>
            </m:e>
          </m:nary>
        </m:oMath>
      </m:oMathPara>
    </w:p>
    <w:p>
      <w:pPr>
        <w:pStyle w:val="FirstParagraph"/>
      </w:pPr>
      <w:r>
        <w:t xml:space="preserve">where</w:t>
      </w:r>
      <w:r>
        <w:t xml:space="preserve"> </w:t>
      </w:r>
      <m:oMath>
        <m:sSub>
          <m:e>
            <m:r>
              <m:t>p</m:t>
            </m:r>
          </m:e>
          <m:sub>
            <m:r>
              <m:t>k</m:t>
            </m:r>
          </m:sub>
        </m:sSub>
      </m:oMath>
      <w:r>
        <w:t xml:space="preserve"> </w:t>
      </w:r>
      <w:r>
        <w:t xml:space="preserve">is the OOS predicted probability from component model</w:t>
      </w:r>
      <w:r>
        <w:t xml:space="preserve"> </w:t>
      </w:r>
      <m:oMath>
        <m:r>
          <m:t>k</m:t>
        </m:r>
      </m:oMath>
      <w:r>
        <w:t xml:space="preserve"> </w:t>
      </w:r>
      <w:r>
        <w:t xml:space="preserve">and</w:t>
      </w:r>
      <w:r>
        <w:t xml:space="preserve"> </w:t>
      </w:r>
      <m:oMath>
        <m:r>
          <m:t>K</m:t>
        </m:r>
      </m:oMath>
      <w:r>
        <w:t xml:space="preserve"> </w:t>
      </w:r>
      <w:r>
        <w:t xml:space="preserve">is the number of component models. Equal weights are used throughout; performance-weighted schemes are not implemented because deriving weights from the same OOS pool used for evaluation would constitute circular in-sample weight selection.</w:t>
      </w:r>
    </w:p>
    <w:p>
      <w:pPr>
        <w:pStyle w:val="BodyText"/>
      </w:pPr>
      <w:r>
        <w:rPr>
          <w:bCs/>
          <w:b/>
        </w:rPr>
        <w:t xml:space="preserve">E1-Orig (M4):</w:t>
      </w:r>
      <w:r>
        <w:t xml:space="preserve"> </w:t>
      </w:r>
      <w:r>
        <w:t xml:space="preserve">Equal-weighted average of M2-matched and M3 OOS probabilities. This is the primary ensemble from the original analysis, retained as a reference in the augmented analysis.</w:t>
      </w:r>
    </w:p>
    <w:p>
      <w:pPr>
        <w:pStyle w:val="BodyText"/>
      </w:pPr>
      <w:r>
        <w:rPr>
          <w:bCs/>
          <w:b/>
        </w:rPr>
        <w:t xml:space="preserve">E1-EBM:</w:t>
      </w:r>
      <w:r>
        <w:t xml:space="preserve"> </w:t>
      </w:r>
      <w:r>
        <w:t xml:space="preserve">Equal-weighted average of M2-matched and M2.5-matched OOS probabilities. This is the primary new ensemble, motivated by EBM’s apparent higher individual performance within the Stage 2 evaluation and its partial transparency through shape function contributions.</w:t>
      </w:r>
    </w:p>
    <w:p>
      <w:pPr>
        <w:pStyle w:val="BodyText"/>
      </w:pPr>
      <w:r>
        <w:t xml:space="preserve">Model disagreement is quantified as the mean absolute difference between component model predicted probabilities, computed separately for crisis and non-crisis observations to test the Holopainen and Sarlin (2017) hypothesis that disagreement is concentrated at crisis events.</w:t>
      </w:r>
    </w:p>
    <w:p>
      <w:r>
        <w:pict>
          <v:rect style="width:0;height:1.5pt" o:hralign="center" o:hrstd="t" o:hr="t"/>
        </w:pict>
      </w:r>
    </w:p>
    <w:bookmarkEnd w:id="44"/>
    <w:bookmarkStart w:id="46" w:name="software-environment-and-reproducibility"/>
    <w:p>
      <w:pPr>
        <w:pStyle w:val="Heading2"/>
      </w:pPr>
      <w:r>
        <w:t xml:space="preserve">3.9 Software Environment and Reproducibility</w:t>
      </w:r>
    </w:p>
    <w:p>
      <w:pPr>
        <w:pStyle w:val="FirstParagraph"/>
      </w:pPr>
      <w:r>
        <w:t xml:space="preserve">The full analysis pipeline is implemented in Python 3.11.14 across ten Jupyter notebooks (NB00–NB09B) running in an Anaconda conda environment named</w:t>
      </w:r>
      <w:r>
        <w:t xml:space="preserve"> </w:t>
      </w:r>
      <w:r>
        <w:rPr>
          <w:rStyle w:val="VerbatimChar"/>
        </w:rPr>
        <w:t xml:space="preserve">Dissertation</w:t>
      </w:r>
      <w:r>
        <w:t xml:space="preserve">. Key package versions are: pandas 3.0.1, numpy 2.4.2, scikit-learn 1.8.0, xgboost 3.2.0, shap 0.50.0, and interpret 0.7.8. The FinBERT inference pipeline runs in a separate conda environment (</w:t>
      </w:r>
      <w:r>
        <w:rPr>
          <w:rStyle w:val="VerbatimChar"/>
        </w:rPr>
        <w:t xml:space="preserve">finbert_env</w:t>
      </w:r>
      <w:r>
        <w:t xml:space="preserve">) using transformers 4.40.0 and torch 2.2.2 (CPU mode), isolating the heavy NLP dependencies from the core modelling environment.</w:t>
      </w:r>
    </w:p>
    <w:p>
      <w:pPr>
        <w:pStyle w:val="BodyText"/>
      </w:pPr>
      <w:r>
        <w:t xml:space="preserve">All notebooks are available in the project GitHub repository at</w:t>
      </w:r>
      <w:r>
        <w:t xml:space="preserve"> </w:t>
      </w:r>
      <w:hyperlink r:id="rId23">
        <w:r>
          <w:rPr>
            <w:rStyle w:val="Hyperlink"/>
          </w:rPr>
          <w:t xml:space="preserve">https://github.com/spike2025-art/eportfolio-uoe/tree/main</w:t>
        </w:r>
      </w:hyperlink>
      <w:r>
        <w:t xml:space="preserve">. The repository includes environment specification files for both conda environments, ensuring that the full pipeline can be reproduced from publicly available data and code. Key extracts from the core modelling notebooks are reproduced in Appendix A of this dissertation. The ePortfolio documenting the broader project context is accessible at</w:t>
      </w:r>
      <w:r>
        <w:t xml:space="preserve"> </w:t>
      </w:r>
      <w:hyperlink r:id="rId45">
        <w:r>
          <w:rPr>
            <w:rStyle w:val="Hyperlink"/>
          </w:rPr>
          <w:t xml:space="preserve">https://spike2025-art.github.io/eportfolio-uoe/</w:t>
        </w:r>
      </w:hyperlink>
      <w:r>
        <w:t xml:space="preserve">.</w:t>
      </w:r>
    </w:p>
    <w:p>
      <w:pPr>
        <w:pStyle w:val="BodyText"/>
      </w:pPr>
      <w:r>
        <w:t xml:space="preserve">Table 3.1 summarises the notebook structure and the primary output of each stage.</w:t>
      </w:r>
    </w:p>
    <w:p>
      <w:pPr>
        <w:pStyle w:val="BodyText"/>
      </w:pPr>
      <w:r>
        <w:rPr>
          <w:bCs/>
          <w:b/>
        </w:rPr>
        <w:t xml:space="preserve">Table 3.1. Notebook pipeline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jc w:val="left"/>
            </w:pPr>
            <w:r>
              <w:rPr>
                <w:b/>
                <w:color w:val="1F4E79"/>
                <w:sz w:val="18"/>
              </w:rPr>
              <w:t xml:space="preserve">Notebook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jc w:val="left"/>
            </w:pPr>
            <w:r>
              <w:rPr>
                <w:b/>
                <w:color w:val="1F4E79"/>
                <w:sz w:val="18"/>
              </w:rPr>
              <w:t xml:space="preserve">Purpose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jc w:val="left"/>
            </w:pPr>
            <w:r>
              <w:rPr>
                <w:b/>
                <w:color w:val="1F4E79"/>
                <w:sz w:val="18"/>
              </w:rPr>
              <w:t xml:space="preserve">Primary output</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NB00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Environment verification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Package version confirmation</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NB01A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Exploratory analysis — extended panel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Coverage audit, crisis event inventory</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NB02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FinBERT setup and test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Model load verification</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NB03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FinBERT inference on BIS speeches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bis_sentiment_raw.csv (16,622 speeches)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NB04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Sentiment aggregation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jst_sentiment_master.csv</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NB05A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Model training — M1, M2, 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OOS predictions, SHAP values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NB05B</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EBM training — M2.5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EBM OOS predictions, shape functions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NB06B</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Results analysis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Bootstrap CIs, calibration, figures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NB07B</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Granger causality and panel 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Granger p-values, logistic coefficients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NB08B</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Robustness checks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jc w:val="left"/>
            </w:pPr>
            <w:r>
              <w:rPr>
                <w:sz w:val="18"/>
              </w:rPr>
              <w:t xml:space="preserve">Strict temporal validation, LOCO</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NB09B</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Ensemble extension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jc w:val="left"/>
            </w:pPr>
            <w:r>
              <w:rPr>
                <w:sz w:val="18"/>
              </w:rPr>
              <w:t xml:space="preserve">E1-EBM results, disagreement analysis</w:t>
            </w:r>
          </w:p>
        </w:tc>
      </w:tr>
    </w:tbl>
    <w:p>
      <w:r>
        <w:pict>
          <v:rect style="width:0;height:1.5pt" o:hralign="center" o:hrstd="t" o:hr="t"/>
        </w:pict>
      </w:r>
    </w:p>
    <w:bookmarkEnd w:id="46"/>
    <w:bookmarkStart w:id="47" w:name="limitations-of-the-research-design"/>
    <w:p>
      <w:pPr>
        <w:pStyle w:val="Heading2"/>
      </w:pPr>
      <w:r>
        <w:t xml:space="preserve">3.10 Limitations of the Research Design</w:t>
      </w:r>
    </w:p>
    <w:p>
      <w:pPr>
        <w:pStyle w:val="FirstParagraph"/>
      </w:pPr>
      <w:r>
        <w:t xml:space="preserve">Several design constraints limit the generalisability of the results and are acknowledged here in full before the results are presented.</w:t>
      </w:r>
    </w:p>
    <w:p>
      <w:pPr>
        <w:pStyle w:val="BodyText"/>
      </w:pPr>
      <w:r>
        <w:t xml:space="preserve">The most significant constraint is the single-episode evaluation structure. Stage 2 evaluation rests on crisis events concentrated in a single year — 2007 — across 18 countries. This is cross-sectional country ranking within a known crisis episode rather than temporal predictive validation in the conventional sense. All Stage 2 metrics are upper bounds on prospective performance.</w:t>
      </w:r>
    </w:p>
    <w:p>
      <w:pPr>
        <w:pStyle w:val="BodyText"/>
      </w:pPr>
      <w:r>
        <w:t xml:space="preserve">The training sample is small relative to the model complexity. Stage 2 has 26 positive observations across 319 country-year rows. The feature-to-event ratio of approximately 2.4 features per crisis event for M2 and M2.5, and 2.3 for M3, is close to the threshold at which overfitting is typically a concern in statistical modelling. This limitation is partially mitigated by the expanding-window design and class weighting, but cannot be fully addressed without additional crisis episodes in the evaluation window.</w:t>
      </w:r>
    </w:p>
    <w:p>
      <w:pPr>
        <w:pStyle w:val="BodyText"/>
      </w:pPr>
      <w:r>
        <w:t xml:space="preserve">The sentiment corpus covers 2003–2020 for most countries but has uneven coverage across countries and languages. Countries with smaller or less English-language-rich speech corpora — the Netherlands, Finland, Portugal — receive less stable FinBERT sentiment scores. The rolling-demeaned sentiment features partially address temporal non-stationarity but do not equalise cross-country corpus quality.</w:t>
      </w:r>
    </w:p>
    <w:p>
      <w:pPr>
        <w:pStyle w:val="BodyText"/>
      </w:pPr>
      <w:r>
        <w:t xml:space="preserve">Bootstrap confidence intervals throughout the analysis are indicative only. Panel dependence — crisis events clustered across countries within the same episode — violates the independence assumption of standard bootstrap resampling. The intervals should be interpreted as reflecting sampling variability in the pooled OOS predictions rather than valid inference on a population of crisis episodes.</w:t>
      </w:r>
    </w:p>
    <w:p>
      <w:r>
        <w:pict>
          <v:rect style="width:0;height:1.5pt" o:hralign="center" o:hrstd="t" o:hr="t"/>
        </w:pict>
      </w:r>
    </w:p>
    <w:p>
      <w:pPr>
        <w:pStyle w:val="FirstParagraph"/>
      </w:pPr>
      <w:r>
        <w:rPr>
          <w:iCs/>
          <w:i/>
        </w:rPr>
        <w:t xml:space="preserve">Chapter 3 revision: April 2026</w:t>
      </w:r>
    </w:p>
    <w:bookmarkEnd w:id="47"/>
    <w:bookmarkEnd w:id="48"/>
    <w:p>
      <w:r>
        <w:br w:type="page"/>
      </w:r>
    </w:p>
    <w:p>
      <w:pPr>
        <w:spacing w:after="240"/>
      </w:pPr>
      <w:r>
        <w:rPr>
          <w:b/>
          <w:color w:val="1F4E79"/>
          <w:sz w:val="28"/>
        </w:rPr>
        <w:t>References</w:t>
      </w:r>
    </w:p>
    <w:p>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2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pPr>
        <w:spacing w:after="12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20"/>
        <w:ind w:left="720" w:hanging="720"/>
      </w:pPr>
      <w:r>
        <w:rPr>
          <w:sz w:val="22"/>
        </w:rPr>
        <w:t xml:space="preserve">Yang, Y., UIT-Fintech and Liu, Y. (2020) 'FinBERT: a pretrained language model for financial communications', </w:t>
      </w:r>
      <w:r>
        <w:rPr>
          <w:i/>
          <w:sz w:val="22"/>
        </w:rPr>
        <w:t>arXiv preprint</w:t>
      </w:r>
      <w:r>
        <w:rPr>
          <w:sz w:val="22"/>
        </w:rPr>
        <w:t>, arXiv:2006.08097.</w:t>
      </w:r>
      <w:r>
        <w:rPr>
          <w:sz w:val="22"/>
        </w:rPr>
        <w:t xml:space="preserve"> Available at: https://arxiv.org/abs/2006.08097 (Accessed: 12 April 2026).</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https://github.com/spike2025-art/eportfolio-uoe/tree/main" TargetMode="External"/><Relationship Id="rId45" Type="http://schemas.openxmlformats.org/officeDocument/2006/relationships/hyperlink" Target="https://spike2025-art.github.io/eportfolio-uoe/"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github.com/spike2025-art/eportfolio-uoe/tree/main" TargetMode="External"/><Relationship Id="rId45" Type="http://schemas.openxmlformats.org/officeDocument/2006/relationships/hyperlink" Target="https://spike2025-art.github.io/eportfolio-u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2026-04-12T19:16:26Z</dcterms:created>
  <dcterms:modified xsi:type="dcterms:W3CDTF">2026-04-12T19:16:26Z</dcterms:modified>
</cp:coreProperties>
</file>

<file path=docProps/custom.xml><?xml version="1.0" encoding="utf-8"?>
<Properties xmlns="http://schemas.openxmlformats.org/officeDocument/2006/custom-properties" xmlns:vt="http://schemas.openxmlformats.org/officeDocument/2006/docPropsVTypes"/>
</file>