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hapter-5-discussion"/>
    <w:p>
      <w:pPr>
        <w:pStyle w:val="Heading1"/>
      </w:pPr>
      <w:r>
        <w:t xml:space="preserve">Chapter 5: Discussion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overview-of-findings"/>
    <w:p>
      <w:pPr>
        <w:pStyle w:val="Heading2"/>
      </w:pPr>
      <w:r>
        <w:t xml:space="preserve">5.1 Overview of Findings</w:t>
      </w:r>
    </w:p>
    <w:p>
      <w:pPr>
        <w:pStyle w:val="FirstParagraph"/>
      </w:pPr>
      <w:r>
        <w:t xml:space="preserve">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pPr>
        <w:pStyle w:val="BodyText"/>
      </w:pPr>
      <w:r>
        <w:t xml:space="preserve">The first and most important finding is a negative one: extending macro training history from the original 2003–2020 panel to a 1989–2020 panel spanning multiple pre-GFC crisis episodes does not resolve the EWS generalisation problem. M2 trained on the extended panel achieves AUROC 0.481 in strict temporal validation — below the random classifier threshold — indicating systematic failure under genuinely prospective evaluation. The result advances beyond the original analysis by demonstrating that the failure is not an artefact of short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EWS paradigm, which assumes a single stable mapping between macro-financial indicators and crisis risk, is fundamentally misspecified in the presence of heterogeneous crisis-generating mechanisms.</w:t>
      </w:r>
    </w:p>
    <w:p>
      <w:pPr>
        <w:pStyle w:val="BodyText"/>
      </w:pPr>
      <w:r>
        <w:t xml:space="preserve">The second finding concerns the role of sentiment augmentation. Within the Stage 2 cross-sectional evaluation — the 2007 GFC episode specifically — M3 achieves AUPRC 0.411 against M2-matched’s 0.343, a directional gain of 6.8 percentage points. However, the bootstrap 95 per cent confidence interval spans zero in both the original and augmented designs, all auxiliary statistical tests find no significant relationship between sentiment and crisis outcomes, and SHAP attribution shows that individual sentiment feature rankings are unstable across specifications. The directional AUPRC gain is best characterised as a sample-specific pattern within the GFC cross-section rather than evidence of a generalisable predictive channel.</w:t>
      </w:r>
    </w:p>
    <w:p>
      <w:pPr>
        <w:pStyle w:val="BodyText"/>
      </w:pPr>
      <w:r>
        <w:t xml:space="preserve">The third finding — and the most important addition relative to the original study — concerns the EBM interpretability benchmark. M2.5, the Explainable Boosting Machine trained on the same 41 macro features as M2, appears to achieve higher point estimates than both M2 and M3 within the expanding-window evaluation setting (Stage 1 AUROC 0.753 versus M2’s 0.636; Stage 2 AUPRC 0.532 versus M3’s 0.411), while providing natively interpretable shape functions that require no post-hoc attribution. These expanding-window metrics are subject to the same evaluation constraints as all other models and cannot be taken as evidence of superior generalisable predictive performance. The theoretically significant finding is not EBM’s point estimates but its prospective collapse: in Split B strict temporal validation, EBM achieves AUROC 0.333 — substantially below M2’s 0.481 and below random. This result directly confronts the implicit assumption that interpretable models might be more robust by virtue of their simpler representations. The opposite is observed: EBM’s higher representational flexibility causes it to overfit the regime-specific training distribution more aggressively than Random Forest, producing a worse prospective failure. The central theoretical implication is that the failure of machine learning-based EWS is not a consequence of model opacity — removing opacity through EBM makes the failure more severe, not less, because the underlying cause is non-stationarity in the data-generating process, not a limitation of any particular model class.</w:t>
      </w:r>
    </w:p>
    <w:p>
      <w:pPr>
        <w:pStyle w:val="BodyText"/>
      </w:pPr>
      <w:r>
        <w:t xml:space="preserve">The fourth finding concerns the ensemble extension. E1-EBM, defined as the equal-weighted average of M2-matched and EBM M2.5 out-of-sample predicted probabilities, achieves AUROC 0.955 and Brier Score 0.056 — the best calibration of any model or ensemble in the Stage 2 evaluation — while E1-Orig (M4, the original M2-matched and M3 ensemble) achieves comparable AUPRC (0.440 versus E1-EBM’s 0.433) but slightly worse Brier (0.057). The ensemble results are subject to the same single-episode evaluation constraint as their constituent models.</w:t>
      </w:r>
    </w:p>
    <w:p>
      <w:pPr>
        <w:pStyle w:val="BodyText"/>
      </w:pPr>
      <w:r>
        <w:t xml:space="preserve">The fifth finding is the crisis type discrimination result from the 2007 cross-sectional ranking under E1-EBM. The ensemble assigns a mean probability of 0.695 to countries whose 2007–2008 stress is characterised as fundamentally credit-boom driven, against 0.298 for contagion-driven cases and 0.417 for countries that experienced no systemic event. This stratification, whilst based on qualitative crisis type annotation and confined to a single year, indicates that the model’s macro features carry mechanism-specific signal. Together, these five findings indicate that model uncertainty, feature instability, and the absence of causal structure are manifestations of the same underlying issue: non-stationarity in the crisis-generating process across regimes. Taken together, they demonstrate that the failure of early-warning systems is not primarily a function of model choice, feature design, or data availability, but of a deeper structural instability in the mapping between predictors and crisis outcomes across regimes.</w:t>
      </w:r>
    </w:p>
    <w:p>
      <w:r>
        <w:pict>
          <v:rect style="width:0;height:1.5pt" o:hralign="center" o:hrstd="t" o:hr="t"/>
        </w:pict>
      </w:r>
    </w:p>
    <w:bookmarkEnd w:id="20"/>
    <w:bookmarkStart w:id="21" w:name="X6c7cb47f4b9704f3839bf5ed850b21f2f80adfa"/>
    <w:p>
      <w:pPr>
        <w:pStyle w:val="Heading2"/>
      </w:pPr>
      <w:r>
        <w:t xml:space="preserve">5.2 The EBM Interpretability Benchmark: What Native Transparency Reveals</w:t>
      </w:r>
    </w:p>
    <w:p>
      <w:pPr>
        <w:pStyle w:val="FirstParagraph"/>
      </w:pPr>
      <w:r>
        <w:t xml:space="preserve">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pPr>
        <w:pStyle w:val="BodyText"/>
      </w:pPr>
      <w:r>
        <w:t xml:space="preserve">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model assigns increasingly negative contributions at high credit values. This instability is not an artefact of SHAP approximation; it is a direct, readable property of what the model has learned.</w:t>
      </w:r>
    </w:p>
    <w:p>
      <w:pPr>
        <w:pStyle w:val="BodyText"/>
      </w:pPr>
      <w:r>
        <w:t xml:space="preserve">The implications extend beyond the specific features. The instability of EBM shape functions confirms that the mapping from macro-financial indicators to crisis risk is not invariant across time — violating the core assumption underlying all static EWS models. This places crisis prediction within the broader class of non-stationary learning problems, where models trained under one data distribution cannot be expected to generalise when the underlying process evolves. Early-warning systems are therefore not merely empirically limited in their generalisation; they are conceptually misaligned with structural break environments, where the data-generating process evolves faster than any static model can adapt.</w:t>
      </w:r>
    </w:p>
    <w:p>
      <w:pPr>
        <w:pStyle w:val="BodyText"/>
      </w:pPr>
      <w:r>
        <w:t xml:space="preserve">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r>
        <w:pict>
          <v:rect style="width:0;height:1.5pt" o:hralign="center" o:hrstd="t" o:hr="t"/>
        </w:pict>
      </w:r>
    </w:p>
    <w:bookmarkEnd w:id="21"/>
    <w:bookmarkStart w:id="22" w:name="X3d2542b05e00442d2cc94f91fc48d05b3cf8eb4"/>
    <w:p>
      <w:pPr>
        <w:pStyle w:val="Heading2"/>
      </w:pPr>
      <w:r>
        <w:t xml:space="preserve">5.3 The Ensemble as a Response to Model Uncertainty</w:t>
      </w:r>
    </w:p>
    <w:p>
      <w:pPr>
        <w:pStyle w:val="FirstParagraph"/>
      </w:pPr>
      <w:r>
        <w:t xml:space="preserve">The ensemble extensions operationalise the insight from Holopainen and Sarlin (2017) that in small-sample, crisis-concentrated evaluation settings, combining predictions across models with different architectures is preferable to selecting a single best performer. Equal weighting is used throughout: any performance-weighted scheme that derives weights from the same out-of-sample pool used for evaluation is circular, and given the similar AUROCs of the component models, the equal-weight and AUROC-weight schemes are numerically indistinguishable.</w:t>
      </w:r>
    </w:p>
    <w:p>
      <w:pPr>
        <w:pStyle w:val="BodyText"/>
      </w:pPr>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This is the condition Holopainen and Sarlin (2017) identify as the primary motivation for ensemble averaging.</w:t>
      </w:r>
    </w:p>
    <w:p>
      <w:pPr>
        <w:pStyle w:val="BodyText"/>
      </w:pPr>
      <w:r>
        <w:t xml:space="preserve">One notable feature of the E1-EBM result is that it achieves lower AUPRC (0.433) than EBM alone (0.532), because averaging with M2-matched (AUPRC 0.343) pulls the combined precision-recall performance below EBM’s individual level. The Brier Score of 0.056 for E1-EBM — the best of any Stage 2 configuration — is the more robust metric of ensemble benefit. Where the evaluation objective is producing well-calibrated probability estimates for policy thresholds, the ensemble is preferable; where the primary concern is ranking crisis countries within a known episode, EBM alone achieves higher point estimates within the constrained evaluation setting.</w:t>
      </w:r>
    </w:p>
    <w:p>
      <w:r>
        <w:pict>
          <v:rect style="width:0;height:1.5pt" o:hralign="center" o:hrstd="t" o:hr="t"/>
        </w:pict>
      </w:r>
    </w:p>
    <w:bookmarkEnd w:id="22"/>
    <w:bookmarkStart w:id="23" w:name="crisis-heterogeneity-and-model-scope"/>
    <w:p>
      <w:pPr>
        <w:pStyle w:val="Heading2"/>
      </w:pPr>
      <w:r>
        <w:t xml:space="preserve">5.4 Crisis Heterogeneity and Model Scope</w:t>
      </w:r>
    </w:p>
    <w:p>
      <w:pPr>
        <w:pStyle w:val="FirstParagraph"/>
      </w:pPr>
      <w:r>
        <w:t xml:space="preserve">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pPr>
        <w:pStyle w:val="BodyText"/>
      </w:pPr>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Speculative attack episodes, such as the ERM crisis of 1992, represent a third mechanism: self-fulfilling expectations against a fixed exchange rate peg can produce crisis even when domestic fundamentals are sound (Obstfeld, 1996). Exogenous real shocks constitute the fourth type, of which the COVID-19 shock is the most recent example. The 2020 observation is appropriately excluded from the crisis chronology on the grounds that it does not satisfy Laeven and Valencia’s systemic banking crisis criteria.</w:t>
      </w:r>
    </w:p>
    <w:p>
      <w:pPr>
        <w:pStyle w:val="BodyText"/>
      </w:pPr>
      <w:r>
        <w:t xml:space="preserve">The 2007 cross-sectional ranking under E1-EBM provides qualified empirical evidence of mechanism-specific discrimination. The mean E1-EBM probability for fundamental crisis countries (0.695, n = 9) substantially exceeds both the no-crisis group (0.417, n = 5) and contagion-driven cases (0.298, n = 4).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pPr>
        <w:pStyle w:val="BodyText"/>
      </w:pPr>
      <w:r>
        <w:t xml:space="preserve">Two country-level results warrant explicit discussion. Sweden (E1-EBM probability 0.783, rank 5, no systemic crisis) is the most prominent false positive. Sweden exhibited elevated credit growth and asset price dynamics in 2007 that the model correctly identifies as precursor-consistent with fundamental crisis conditions; the absence of a systemic crisis reflects institutional buffers — conservative bank regulation, strong capital positions — that are not observable in the macro feature set. The United Kingdom (E1-EBM probability 0.171, rank 15, fundamental crisis) is the most prominent false negative. The UK’s 2007–2008 stress was concentrated in wholesale funding channels — the Northern Rock retail deposit run and broader interbank market seizure — rather than the domestic credit-growth dynamics captured in the feature set. This is a legitimate model limitation: macro precursor features designed around credit cycle dynamics have limited purchase on funding-channel stress mechanisms. Both anomalies illustrate the scope conditions of the macro precursor approach rather than model failure in a general sense, and both are consistent with the crisis heterogeneity argument developed above.</w:t>
      </w:r>
    </w:p>
    <w:p>
      <w:r>
        <w:pict>
          <v:rect style="width:0;height:1.5pt" o:hralign="center" o:hrstd="t" o:hr="t"/>
        </w:pict>
      </w:r>
    </w:p>
    <w:bookmarkEnd w:id="23"/>
    <w:bookmarkStart w:id="24" w:name="Xfd50be060f4ea3cfba507a25885033d3e68ba2f"/>
    <w:p>
      <w:pPr>
        <w:pStyle w:val="Heading2"/>
      </w:pPr>
      <w:r>
        <w:t xml:space="preserve">5.5 Implications for Early-Warning System Design</w:t>
      </w:r>
    </w:p>
    <w:p>
      <w:pPr>
        <w:pStyle w:val="FirstParagraph"/>
      </w:pPr>
      <w:r>
        <w:t xml:space="preserve">Four practical implications follow from the augmented analysis, stated with appropriate caution given the evaluation constraints throughout Chapter 4.</w:t>
      </w:r>
    </w:p>
    <w:p>
      <w:pPr>
        <w:pStyle w:val="BodyText"/>
      </w:pPr>
      <w:r>
        <w:t xml:space="preserve">First, extending training history is necessary but not sufficient for prospective EWS performance. The augmented Stage 1 analysis demonstrates that including fifteen additional years of crisis history does not resolve the generalisation problem. The dominant constraint on EWS performance is regime heterogeneity — models trained on one type of crisis precursor pattern do not generalise to structurally different episodes — rather than training data length per se. An operational EWS would require either a regime-classification layer that identifies the current crisis type before applying model predictions, or a portfolio of models each calibrated to a specific crisis mechanism, rather than a single general-purpose classifier.</w:t>
      </w:r>
    </w:p>
    <w:p>
      <w:pPr>
        <w:pStyle w:val="BodyText"/>
      </w:pPr>
      <w:r>
        <w:t xml:space="preserve">Second, interpretable non-linear models such as EBM offer a distinct capability that black-box models cannot provide: direct observation of whether the learned feature-risk relationships are regime-stable. The shape function instability documented in Section 4.7.3 converts what would otherwise be an opaque model failure into a legible, regime-specific misspecification. In a policy context, this matters: a regulator who can see that the model’s term spread relationship has a different shape in the current regime than in the training regime can apply appropriate scepticism to the model’s output, whereas a regulator using SHAP attributions from a black-box model receives no direct signal that the underlying learned mapping has shifted. This suggests that interpretable models should be preferred for EWS applications not primarily because of their expanding-window metrics, but because their transparency allows practitioners to detect and communicate the conditions under which their outputs cannot be trusted. However, this recommendation comes with the qualification established by the temporal validation: greater interpretability via EBM does not confer prospective robustness, and may increase sensitivity to regime-specific overfitting.</w:t>
      </w:r>
    </w:p>
    <w:p>
      <w:pPr>
        <w:pStyle w:val="BodyText"/>
      </w:pPr>
      <w:r>
        <w:t xml:space="preserve">Third, the ensemble design remains the most defensible approach within the constrained single-episode evaluation setting, but for calibration rather than discrimination reasons. M2-matched and M3 cannot be definitively ranked on AUPRC (confidence interval spans zero), and the same uncertainty applies to comparisons between any pair of Stage 2 models. The ensemble consistently produces lower Brier Score than either component — E1-EBM achieves Brier 0.056, better than M2-matched (0.060) and EBM alone (0.067) — which is a practically important property for any system that must assign concrete probability thresholds for policy review. This recommendation is qualified by the absence of prospective validation across multiple crisis episodes.</w:t>
      </w:r>
    </w:p>
    <w:p>
      <w:pPr>
        <w:pStyle w:val="BodyText"/>
      </w:pPr>
      <w:r>
        <w:t xml:space="preserve">Fourth, central bank sentiment contributes a complementary but unstable signal. The SHAP attribution shift from 14.1 per cent to 26.2 per cent of aggregate attribution across the original and augmented analyses reflects model re-weighting under different sample configurations rather than a change in the underlying economic relationship. An operational sentiment channel would require more stable textual features and validation across multiple crisis episodes before it could be relied upon as a robust early-warning signal. The panel logistic result — sentiment pseudo-R² increment of only 0.034 with non-significant individual coefficients (p = 0.103) — reinforces this caution.</w:t>
      </w:r>
    </w:p>
    <w:p>
      <w:r>
        <w:pict>
          <v:rect style="width:0;height:1.5pt" o:hralign="center" o:hrstd="t" o:hr="t"/>
        </w:pict>
      </w:r>
    </w:p>
    <w:bookmarkEnd w:id="24"/>
    <w:bookmarkStart w:id="25" w:name="limitations"/>
    <w:p>
      <w:pPr>
        <w:pStyle w:val="Heading2"/>
      </w:pPr>
      <w:r>
        <w:t xml:space="preserve">5.6 Limitations</w:t>
      </w:r>
    </w:p>
    <w:p>
      <w:pPr>
        <w:pStyle w:val="FirstParagraph"/>
      </w:pPr>
      <w:r>
        <w:t xml:space="preserve">Several limitations constrain the interpretation of results throughout this analysis.</w:t>
      </w:r>
    </w:p>
    <w:p>
      <w:pPr>
        <w:pStyle w:val="BodyText"/>
      </w:pPr>
      <w:r>
        <w:t xml:space="preserve">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pPr>
        <w:pStyle w:val="BodyText"/>
      </w:pPr>
      <w:r>
        <w:t xml:space="preserve">The EBM prospective collapse (AUROC 0.333 in Split B) introduces a specific limitation on the interpretability contribution. The shape function analysis correctly identifies regime instability as a structural property of the data-generating process. However, the worse prospective performance of EBM relative to Random Forest indicates that higher representational flexibility can itself exacerbate regime-specific overfitting. The practical implication is that interpretable models should be adopted for their transparency value rather than their prospective predictive superiority, and that their higher in-sample performance should be treated with the same scepticism applied to all expanding-window metrics.</w:t>
      </w:r>
    </w:p>
    <w:p>
      <w:pPr>
        <w:pStyle w:val="BodyText"/>
      </w:pPr>
      <w:r>
        <w:t xml:space="preserve">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pPr>
        <w:pStyle w:val="BodyText"/>
      </w:pPr>
      <w:r>
        <w:t xml:space="preserve">The sentiment corpus is unevenly distributed across countries and time. BIS central bank speech coverage reflects differences in speech volume and linguistic register across national central banks. Countries with smaller or less English-language-rich corpora will receive less stable FinBERT sentiment scores. The rolling-demeaned sentiment features partially address temporal non-stationarity but do not equalise cross-country corpus quality.</w:t>
      </w:r>
    </w:p>
    <w:p>
      <w:pPr>
        <w:pStyle w:val="BodyText"/>
      </w:pPr>
      <w:r>
        <w:t xml:space="preserve">Bootstrap confidence intervals throughout Chapter 4 are indicative only. Panel dependence — crisis events clustered across countries in the same episode — violates the independence assumption of standard bootstrap resampling. The reported intervals should be interpreted as reflecting sampling variability in the pooled OOS predictions, not as valid inference on the population of crisis episodes.</w:t>
      </w:r>
    </w:p>
    <w:p>
      <w:r>
        <w:pict>
          <v:rect style="width:0;height:1.5pt" o:hralign="center" o:hrstd="t" o:hr="t"/>
        </w:pict>
      </w:r>
    </w:p>
    <w:bookmarkEnd w:id="25"/>
    <w:bookmarkStart w:id="26" w:name="future-research-directions"/>
    <w:p>
      <w:pPr>
        <w:pStyle w:val="Heading2"/>
      </w:pPr>
      <w:r>
        <w:t xml:space="preserve">5.7 Future Research Directions</w:t>
      </w:r>
    </w:p>
    <w:p>
      <w:pPr>
        <w:pStyle w:val="FirstParagraph"/>
      </w:pPr>
      <w:r>
        <w:t xml:space="preserve">Three extensions follow directly from the present analysis, ordered by feasibility and proximity to the existing framework.</w:t>
      </w:r>
    </w:p>
    <w:p>
      <w:pPr>
        <w:pStyle w:val="BodyText"/>
      </w:pPr>
      <w:r>
        <w:rPr>
          <w:bCs/>
          <w:b/>
        </w:rPr>
        <w:t xml:space="preserve">Extension 1 — Most feasible: topic-specific text features.</w:t>
      </w:r>
      <w:r>
        <w:t xml:space="preserve"> </w:t>
      </w:r>
      <w:r>
        <w:t xml:space="preserve">The most immediately implementable extension is a text-as-data approach following Ho, Moench, and Steeley (2022), who demonstrate that replacing generic sentiment polarity scores with topic-specific prevalence measures — identifying the proportion of central bank speech devoted to credit risk, housing markets, or systemic vulnerability — produces more granular and stable textual features than aggregate sentiment indices. The existing 16,622 BIS speeches are the input corpus; no additional data collection is required. Latent Dirichlet Allocation topic modelling or a domain-specific central bank lexicon along the lines of Loughran and McDonald (2011) could generate topic prevalence time series at the country-year level for direct substitution or augmentation of the existing FinBERT features. Whether topic-specific signals provide more stable cross-episode early-warning information than aggregated sentiment polarity remains an open empirical question that the present corpus is well-suited to address.</w:t>
      </w:r>
    </w:p>
    <w:p>
      <w:pPr>
        <w:pStyle w:val="BodyText"/>
      </w:pPr>
      <w:r>
        <w:rPr>
          <w:bCs/>
          <w:b/>
        </w:rPr>
        <w:t xml:space="preserve">Extension 2 — Most impactful: regime-conditional modelling.</w:t>
      </w:r>
      <w:r>
        <w:t xml:space="preserve"> </w:t>
      </w:r>
      <w:r>
        <w:t xml:space="preserve">The shape function instability documented in Section 4.7.3 implies that a single static model cannot represent the feature-risk mapping across all crisis regimes. A regime-conditional framework — applied not to replace the ML models but to condition their outputs on a regime indicator — would allow the prediction step to use a different mapping depending on whether the current economic environment resembles a credit-boom regime, a post-crisis repair regime, or a stable expansion. 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 This extension directly addresses the core finding of this dissertation and would constitute the most substantive methodological advancement.</w:t>
      </w:r>
    </w:p>
    <w:p>
      <w:pPr>
        <w:pStyle w:val="BodyText"/>
      </w:pPr>
      <w:r>
        <w:rPr>
          <w:bCs/>
          <w:b/>
        </w:rPr>
        <w:t xml:space="preserve">Extension 3 — Most ambitious: network contagion features.</w:t>
      </w:r>
      <w:r>
        <w:t xml:space="preserve"> </w:t>
      </w:r>
      <w:r>
        <w:t xml:space="preserve">The cross-country financial linkages through which GFC stress propagated — documented via bank balance sheet network data (Cetorelli and Goldberg, 2011) — are absent from the present feature set, which treats each country independently. Incorporating network-based contagion measures — bilateral bank exposure, cross-border capital flow intensity, or systemic importance weights derived from the BIS consolidated banking statistics — would allow the model to distinguish between countries facing domestic stress and those exposed primarily through external transmission. This extension requires substantial additional data collection and represents a more fundamental departure from the present modelling framework, but would directly address the crisis heterogeneity limitation identified in Section 5.4.</w:t>
      </w:r>
    </w:p>
    <w:p>
      <w:r>
        <w:pict>
          <v:rect style="width:0;height:1.5pt" o:hralign="center" o:hrstd="t" o:hr="t"/>
        </w:pict>
      </w:r>
    </w:p>
    <w:bookmarkEnd w:id="26"/>
    <w:bookmarkStart w:id="27" w:name="conclusion"/>
    <w:p>
      <w:pPr>
        <w:pStyle w:val="Heading2"/>
      </w:pPr>
      <w:r>
        <w:t xml:space="preserve">5.8 Conclusion</w:t>
      </w:r>
    </w:p>
    <w:p>
      <w:pPr>
        <w:pStyle w:val="FirstParagraph"/>
      </w:pPr>
      <w:r>
        <w:t xml:space="preserve">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demonstrates that the EWS generalisation failure is a structural property of non-stationarity in the data-generating process, not a correctable consequence of model opacity or algorithm choice.</w:t>
      </w:r>
    </w:p>
    <w:p>
      <w:pPr>
        <w:pStyle w:val="BodyText"/>
      </w:pPr>
      <w:r>
        <w:t xml:space="preserve">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p>
      <w:pPr>
        <w:pStyle w:val="BodyText"/>
      </w:pPr>
      <w:r>
        <w:rPr>
          <w:iCs/>
          <w:i/>
        </w:rPr>
        <w:t xml:space="preserve">Chapter 5 revision: April 2026</w:t>
      </w:r>
    </w:p>
    <w:bookmarkEnd w:id="27"/>
    <w:bookmarkEnd w:id="28"/>
    <w:p>
      <w:r>
        <w:br w:type="page"/>
      </w:r>
    </w:p>
    <w:p>
      <w:pPr>
        <w:spacing w:after="240"/>
      </w:pPr>
      <w:r>
        <w:rPr>
          <w:b/>
          <w:color w:val="1F4E79"/>
          <w:sz w:val="28"/>
        </w:rPr>
        <w:t>References</w:t>
      </w:r>
    </w:p>
    <w:p>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pPr>
        <w:spacing w:after="120"/>
        <w:ind w:left="720" w:hanging="720"/>
      </w:pPr>
      <w:r>
        <w:rPr>
          <w:sz w:val="22"/>
        </w:rPr>
        <w:t xml:space="preserve">Laeven, L. and Valencia, F. (2020) 'Systemic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pPr>
        <w:spacing w:after="120"/>
        <w:ind w:left="720" w:hanging="720"/>
      </w:pPr>
      <w:r>
        <w:rPr>
          <w:sz w:val="22"/>
        </w:rPr>
        <w:t xml:space="preserve">Obstfeld, M. (1996) 'Models of currency crises with self-fulfilling features', </w:t>
      </w:r>
      <w:r>
        <w:rPr>
          <w:i/>
          <w:sz w:val="22"/>
        </w:rPr>
        <w:t>European Economic Review</w:t>
      </w:r>
      <w:r>
        <w:rPr>
          <w:sz w:val="22"/>
        </w:rPr>
        <w:t>, 40(3–5), pp. 1037–1047.</w:t>
      </w:r>
    </w:p>
    <w:p>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2026-04-12T18:42:24Z</dcterms:created>
  <dcterms:modified xsi:type="dcterms:W3CDTF">2026-04-12T18:42:24Z</dcterms:modified>
</cp:coreProperties>
</file>

<file path=docProps/custom.xml><?xml version="1.0" encoding="utf-8"?>
<Properties xmlns="http://schemas.openxmlformats.org/officeDocument/2006/custom-properties" xmlns:vt="http://schemas.openxmlformats.org/officeDocument/2006/docPropsVTypes"/>
</file>