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p>
      <w:pPr>
        <w:pStyle w:val="FirstParagraph"/>
      </w:pPr>
      <w:r>
        <w:t xml:space="preserve">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pPr>
        <w:pStyle w:val="BodyText"/>
      </w:pPr>
      <w:r>
        <w:t xml:space="preserve">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as a natively interpretable non-linear benchmark whose fitted shape functions provide direct, post-hoc-free evidence about the feature-risk mapping learned by the model.</w:t>
      </w:r>
    </w:p>
    <w:p>
      <w:pPr>
        <w:pStyle w:val="BodyText"/>
      </w:pPr>
      <w:r>
        <w:t xml:space="preserve">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demonstrating that greater representational flexibility exacerbates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is better attributed to algorithm non-linearity than to a stable sentiment signal.</w:t>
      </w:r>
    </w:p>
    <w:p>
      <w:pPr>
        <w:pStyle w:val="BodyText"/>
      </w:pPr>
      <w:r>
        <w:t xml:space="preserve">Taken together, these findings demonstrate that the failure of machine learning-based EWS is not primarily a function of model choice, feature design, or data availability, but of a deeper structural instability in the mapping between predictors and crisis outcomes across regimes — a limitation that cannot be resolved through additional data, model complexity, or interpretability enhancements.</w:t>
      </w:r>
    </w:p>
    <w:bookmarkEnd w:id="20"/>
    <w:p>
      <w:pPr>
        <w:spacing w:after="240"/>
      </w:pPr>
      <w:r>
        <w:rPr>
          <w:b/>
          <w:color w:val="1F4E79"/>
          <w:sz w:val="28"/>
        </w:rPr>
        <w:t>References</w:t>
      </w:r>
    </w:p>
    <w:p>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w:t>
      </w:r>
      <w:r>
        <w:rPr>
          <w:sz w:val="22"/>
        </w:rPr>
        <w:t xml:space="preserve"> Available at: https://arxiv.org/abs/1905.03151 (Accessed: 12 April 2026).</w:t>
      </w:r>
    </w:p>
    <w:p>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pPr>
        <w:spacing w:after="100"/>
        <w:ind w:left="720" w:hanging="720"/>
      </w:pPr>
      <w:r>
        <w:rPr>
          <w:sz w:val="22"/>
        </w:rPr>
        <w:t xml:space="preserve">Laeven, L. and Valencia, F. (2020) 'Systemic banking crises database II', </w:t>
      </w:r>
      <w:r>
        <w:rPr>
          <w:i/>
          <w:sz w:val="22"/>
        </w:rPr>
        <w:t>IMF Economic Review</w:t>
      </w:r>
      <w:r>
        <w:rPr>
          <w:sz w:val="22"/>
        </w:rPr>
        <w:t>, 68(2), pp. 307–361.</w:t>
      </w:r>
    </w:p>
    <w:p>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0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footerReference w:type="default" r:id="rId9"/>
      <w:pgSz w:h="16838" w:orient="portrait" w:w="11906"/>
      <w:pgMar w:bottom="1440" w:footer="708" w:gutter="0" w:header="708" w:left="1440" w:right="1440" w:top="1440"/>
      <w:pgNumType/>
      <w:docGrid w:linePitch="360"/>
    </w:sectPr>
    <w:p>
      <w:r>
        <w:br w:type="page"/>
      </w:r>
    </w:p>
    <w:bookmarkStart w:id="28" w:name="chapter-1-introduction"/>
    <w:p>
      <w:pPr>
        <w:pStyle w:val="Heading1"/>
      </w:pPr>
      <w:r>
        <w:t xml:space="preserve">Chapter 1: Introduction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background-and-motivation"/>
    <w:p>
      <w:pPr>
        <w:pStyle w:val="Heading2"/>
      </w:pPr>
      <w:r>
        <w:t xml:space="preserve">1.1 Background and Motivation</w:t>
      </w:r>
    </w:p>
    <w:p>
      <w:pPr>
        <w:pStyle w:val="FirstParagraph"/>
      </w:pPr>
      <w:r>
        <w:t xml:space="preserve">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pPr>
        <w:pStyle w:val="BodyText"/>
      </w:pPr>
      <w:r>
        <w:t xml:space="preserve">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pPr>
        <w:pStyle w:val="BodyText"/>
      </w:pPr>
      <w:r>
        <w:t xml:space="preserve">A parallel development introduced textual data from central bank communications as a complementary signal. Sentiment extraction from BIS speeches using FinBERT (Yang, UIT-Fintech and Liu,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r>
        <w:pict>
          <v:rect style="width:0;height:1.5pt" o:hralign="center" o:hrstd="t" o:hr="t"/>
        </w:pict>
      </w:r>
    </w:p>
    <w:bookmarkEnd w:id="20"/>
    <w:bookmarkStart w:id="21" w:name="research-problem"/>
    <w:p>
      <w:pPr>
        <w:pStyle w:val="Heading2"/>
      </w:pPr>
      <w:r>
        <w:t xml:space="preserve">1.2 Research Problem</w:t>
      </w:r>
    </w:p>
    <w:p>
      <w:pPr>
        <w:pStyle w:val="FirstParagraph"/>
      </w:pPr>
      <w:r>
        <w:t xml:space="preserve">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r>
        <w:pict>
          <v:rect style="width:0;height:1.5pt" o:hralign="center" o:hrstd="t" o:hr="t"/>
        </w:pict>
      </w:r>
    </w:p>
    <w:bookmarkEnd w:id="21"/>
    <w:bookmarkStart w:id="22" w:name="aim-objectives-and-hypotheses"/>
    <w:p>
      <w:pPr>
        <w:pStyle w:val="Heading2"/>
      </w:pPr>
      <w:r>
        <w:t xml:space="preserve">1.3 Aim, Objectives and Hypotheses</w:t>
      </w:r>
    </w:p>
    <w:p>
      <w:pPr>
        <w:pStyle w:val="FirstParagraph"/>
      </w:pPr>
      <w:r>
        <w:rPr>
          <w:bCs/>
          <w:b/>
        </w:rPr>
        <w:t xml:space="preserve">Research Aim:</w:t>
      </w:r>
      <w:r>
        <w:t xml:space="preserve"> </w:t>
      </w:r>
      <w:r>
        <w:t xml:space="preserve">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pPr>
        <w:pStyle w:val="BodyText"/>
      </w:pPr>
      <w:r>
        <w:rPr>
          <w:bCs/>
          <w:b/>
        </w:rPr>
        <w:t xml:space="preserve">Objectives:</w:t>
      </w:r>
      <w:r>
        <w:t xml:space="preserve"> </w:t>
      </w:r>
      <w:r>
        <w:t xml:space="preserve">(O1) Extend the JST panel from 2003–2020 to 1989–2020 incorporating multiple pre-GFC episodes; (O2) evaluate a model sequence — M1 (logistic regression), M2 (Random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pPr>
        <w:pStyle w:val="BodyText"/>
      </w:pPr>
      <w:r>
        <w:rPr>
          <w:bCs/>
          <w:b/>
        </w:rPr>
        <w:t xml:space="preserve">Hypotheses:</w:t>
      </w:r>
      <w:r>
        <w:t xml:space="preserve"> </w:t>
      </w:r>
      <w:r>
        <w:t xml:space="preserve">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r>
        <w:pict>
          <v:rect style="width:0;height:1.5pt" o:hralign="center" o:hrstd="t" o:hr="t"/>
        </w:pict>
      </w:r>
    </w:p>
    <w:bookmarkEnd w:id="22"/>
    <w:bookmarkStart w:id="23" w:name="contribution"/>
    <w:p>
      <w:pPr>
        <w:pStyle w:val="Heading2"/>
      </w:pPr>
      <w:r>
        <w:t xml:space="preserve">1.4 Contribution</w:t>
      </w:r>
    </w:p>
    <w:p>
      <w:pPr>
        <w:pStyle w:val="FirstParagraph"/>
      </w:pPr>
      <w:r>
        <w:t xml:space="preserve">The dissertation makes four contributions.</w:t>
      </w:r>
      <w:r>
        <w:t xml:space="preserve"> </w:t>
      </w:r>
      <w:r>
        <w:rPr>
          <w:bCs/>
          <w:b/>
        </w:rPr>
        <w:t xml:space="preserve">Empirical:</w:t>
      </w:r>
      <w:r>
        <w:t xml:space="preserve"> </w:t>
      </w:r>
      <w:r>
        <w:t xml:space="preserve">extending training history across diverse crisis episodes does not resolve prospective generalisation failure.</w:t>
      </w:r>
      <w:r>
        <w:t xml:space="preserve"> </w:t>
      </w:r>
      <w:r>
        <w:rPr>
          <w:bCs/>
          <w:b/>
        </w:rPr>
        <w:t xml:space="preserve">Methodological:</w:t>
      </w:r>
      <w:r>
        <w:t xml:space="preserve"> </w:t>
      </w:r>
      <w:r>
        <w:t xml:space="preserve">quantifying the evaluation bias in expanding-window designs by comparing OOS metrics against strict temporal results.</w:t>
      </w:r>
      <w:r>
        <w:t xml:space="preserve"> </w:t>
      </w:r>
      <w:r>
        <w:rPr>
          <w:bCs/>
          <w:b/>
        </w:rPr>
        <w:t xml:space="preserve">Interpretability:</w:t>
      </w:r>
      <w:r>
        <w:t xml:space="preserve"> </w:t>
      </w:r>
      <w:r>
        <w:t xml:space="preserve">EBM shape functions expose regime-specific misspecification directly, without post-hoc attribution approximation.</w:t>
      </w:r>
      <w:r>
        <w:t xml:space="preserve"> </w:t>
      </w:r>
      <w:r>
        <w:rPr>
          <w:bCs/>
          <w:b/>
        </w:rPr>
        <w:t xml:space="preserve">Theoretical:</w:t>
      </w:r>
      <w:r>
        <w:t xml:space="preserve"> </w:t>
      </w:r>
      <w:r>
        <w:t xml:space="preserve">EBM’s stronger prospective collapse relative to Random Forest demonstrates that the EWS failure is a structural property of non-stationarity, not model opacity — placing the problem within the ML literature on distribution shift.</w:t>
      </w:r>
    </w:p>
    <w:p>
      <w:r>
        <w:pict>
          <v:rect style="width:0;height:1.5pt" o:hralign="center" o:hrstd="t" o:hr="t"/>
        </w:pict>
      </w:r>
    </w:p>
    <w:bookmarkEnd w:id="23"/>
    <w:bookmarkStart w:id="26" w:name="msc-ai-requirement"/>
    <w:p>
      <w:pPr>
        <w:pStyle w:val="Heading2"/>
      </w:pPr>
      <w:r>
        <w:t xml:space="preserve">1.5 MSc AI Requirement</w:t>
      </w:r>
    </w:p>
    <w:p>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w:t>
      </w:r>
      <w:r>
        <w:t xml:space="preserve"> </w:t>
      </w:r>
      <w:hyperlink r:id="rId10">
        <w:r>
          <w:rPr>
            <w:rStyle w:val="Hyperlink"/>
          </w:rPr>
          <w:t xml:space="preserve">https://github.com/spike2025-art/eportfolio-uoe/tree/main</w:t>
        </w:r>
      </w:hyperlink>
      <w:r>
        <w:t xml:space="preserve"> </w:t>
      </w:r>
      <w:r>
        <w:t xml:space="preserve">and the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6"/>
    <w:bookmarkStart w:id="27" w:name="dissertation-structure"/>
    <w:p>
      <w:pPr>
        <w:pStyle w:val="Heading2"/>
      </w:pPr>
      <w:r>
        <w:t xml:space="preserve">1.6 Dissertation Structure</w:t>
      </w:r>
    </w:p>
    <w:p>
      <w:pPr>
        <w:pStyle w:val="FirstParagraph"/>
      </w:pPr>
      <w:r>
        <w:t xml:space="preserve">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r>
        <w:pict>
          <v:rect style="width:0;height:1.5pt" o:hralign="center" o:hrstd="t" o:hr="t"/>
        </w:pict>
      </w:r>
    </w:p>
    <w:p>
      <w:pPr>
        <w:pStyle w:val="FirstParagraph"/>
      </w:pPr>
      <w:r>
        <w:rPr>
          <w:iCs/>
          <w:i/>
        </w:rPr>
        <w:t xml:space="preserve">Chapter 1 revision: April 2026</w:t>
      </w:r>
    </w:p>
    <w:bookmarkEnd w:id="27"/>
    <w:bookmarkEnd w:id="28"/>
    <w:p>
      <w:r>
        <w:br w:type="page"/>
      </w:r>
    </w:p>
    <w:bookmarkStart w:id="26" w:name="chapter-2-literature-review"/>
    <w:p>
      <w:pPr>
        <w:pStyle w:val="Heading1"/>
      </w:pPr>
      <w:r>
        <w:t xml:space="preserve">Chapter 2: Literature Review</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early-warning-systems-for-banking-crises"/>
    <w:p>
      <w:pPr>
        <w:pStyle w:val="Heading2"/>
      </w:pPr>
      <w:r>
        <w:t xml:space="preserve">2.1 Early-Warning Systems for Banking Crises</w:t>
      </w:r>
    </w:p>
    <w:p>
      <w:pPr>
        <w:pStyle w:val="FirstParagraph"/>
      </w:pPr>
      <w:r>
        <w:t xml:space="preserve">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pPr>
        <w:pStyle w:val="BodyText"/>
      </w:pPr>
      <w:r>
        <w:t xml:space="preserve">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r>
        <w:pict>
          <v:rect style="width:0;height:1.5pt" o:hralign="center" o:hrstd="t" o:hr="t"/>
        </w:pict>
      </w:r>
    </w:p>
    <w:bookmarkEnd w:id="20"/>
    <w:bookmarkStart w:id="21" w:name="machine-learning-in-crisis-prediction"/>
    <w:p>
      <w:pPr>
        <w:pStyle w:val="Heading2"/>
      </w:pPr>
      <w:r>
        <w:t xml:space="preserve">2.2 Machine Learning in Crisis Prediction</w:t>
      </w:r>
    </w:p>
    <w:p>
      <w:pPr>
        <w:pStyle w:val="FirstParagraph"/>
      </w:pPr>
      <w:r>
        <w:t xml:space="preserve">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pPr>
        <w:pStyle w:val="BodyText"/>
      </w:pPr>
      <w:r>
        <w:t xml:space="preserve">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r>
        <w:pict>
          <v:rect style="width:0;height:1.5pt" o:hralign="center" o:hrstd="t" o:hr="t"/>
        </w:pict>
      </w:r>
    </w:p>
    <w:bookmarkEnd w:id="21"/>
    <w:bookmarkStart w:id="22" w:name="Xac1760e4bd5e9ff9cb7c80e30412e348fab1c01"/>
    <w:p>
      <w:pPr>
        <w:pStyle w:val="Heading2"/>
      </w:pPr>
      <w:r>
        <w:t xml:space="preserve">2.3 Central Bank Communication and Text Analysis</w:t>
      </w:r>
    </w:p>
    <w:p>
      <w:pPr>
        <w:pStyle w:val="FirstParagraph"/>
      </w:pPr>
      <w:r>
        <w:t xml:space="preserve">The BIS Central Bank Speech Archive provides a consistent multilingual corpus spanning over two decades for the countries in the EWS panel. FinBERT (Yang, UIT-Fintech and Liu, 2020), 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r>
        <w:pict>
          <v:rect style="width:0;height:1.5pt" o:hralign="center" o:hrstd="t" o:hr="t"/>
        </w:pict>
      </w:r>
    </w:p>
    <w:bookmarkEnd w:id="22"/>
    <w:bookmarkStart w:id="23" w:name="interpretability-in-machine-learning"/>
    <w:p>
      <w:pPr>
        <w:pStyle w:val="Heading2"/>
      </w:pPr>
      <w:r>
        <w:t xml:space="preserve">2.4 Interpretability in Machine Learning</w:t>
      </w:r>
    </w:p>
    <w:p>
      <w:pPr>
        <w:pStyle w:val="FirstParagraph"/>
      </w:pPr>
      <w:r>
        <w:t xml:space="preserve">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pPr>
        <w:pStyle w:val="BodyText"/>
      </w:pPr>
      <w:r>
        <w:t xml:space="preserve">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must reflect a property of the data-generating process rather than approximation error — a property that is central to the regime instability analysis in Section 4.7.</w:t>
      </w:r>
    </w:p>
    <w:p>
      <w:r>
        <w:pict>
          <v:rect style="width:0;height:1.5pt" o:hralign="center" o:hrstd="t" o:hr="t"/>
        </w:pict>
      </w:r>
    </w:p>
    <w:bookmarkEnd w:id="23"/>
    <w:bookmarkStart w:id="24" w:name="ensemble-methods-and-financial-contagion"/>
    <w:p>
      <w:pPr>
        <w:pStyle w:val="Heading2"/>
      </w:pPr>
      <w:r>
        <w:t xml:space="preserve">2.5 Ensemble Methods and Financial Contagion</w:t>
      </w:r>
    </w:p>
    <w:p>
      <w:pPr>
        <w:pStyle w:val="FirstParagraph"/>
      </w:pPr>
      <w:r>
        <w:t xml:space="preserve">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pPr>
        <w:pStyle w:val="BodyText"/>
      </w:pPr>
      <w:r>
        <w:t xml:space="preserve">The cross-country financial linkages through which GFC stress propagated — documented via bank balance sheet network data by Cetorelli and Goldberg (2011) — are absent from the present feature set, which treats each country independently. This structural gap explains the model’s false negatives for contagion-driven crises (Germany, Belgium, Switzerland in 2007–2008) and is identified as the most ambitious future extension in Chapter 5.</w:t>
      </w:r>
    </w:p>
    <w:p>
      <w:r>
        <w:pict>
          <v:rect style="width:0;height:1.5pt" o:hralign="center" o:hrstd="t" o:hr="t"/>
        </w:pict>
      </w:r>
    </w:p>
    <w:bookmarkEnd w:id="24"/>
    <w:bookmarkStart w:id="25" w:name="research-gap"/>
    <w:p>
      <w:pPr>
        <w:pStyle w:val="Heading2"/>
      </w:pPr>
      <w:r>
        <w:t xml:space="preserve">2.6 Research Gap</w:t>
      </w:r>
    </w:p>
    <w:p>
      <w:pPr>
        <w:pStyle w:val="FirstParagraph"/>
      </w:pPr>
      <w:r>
        <w:t xml:space="preserve">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r>
        <w:pict>
          <v:rect style="width:0;height:1.5pt" o:hralign="center" o:hrstd="t" o:hr="t"/>
        </w:pict>
      </w:r>
    </w:p>
    <w:p>
      <w:pPr>
        <w:pStyle w:val="FirstParagraph"/>
      </w:pPr>
      <w:r>
        <w:rPr>
          <w:iCs/>
          <w:i/>
        </w:rPr>
        <w:t xml:space="preserve">Chapter 2 revision: April 2026</w:t>
      </w:r>
    </w:p>
    <w:bookmarkEnd w:id="25"/>
    <w:bookmarkEnd w:id="26"/>
    <w:p>
      <w:r>
        <w:br w:type="page"/>
      </w:r>
    </w:p>
    <w:bookmarkStart w:id="28" w:name="chapter-3-methodology"/>
    <w:p>
      <w:pPr>
        <w:pStyle w:val="Heading1"/>
      </w:pPr>
      <w:r>
        <w:t xml:space="preserve">Chapter 3: Methodology</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research-design"/>
    <w:p>
      <w:pPr>
        <w:pStyle w:val="Heading2"/>
      </w:pPr>
      <w:r>
        <w:t xml:space="preserve">3.1 Research Design</w:t>
      </w:r>
    </w:p>
    <w:p>
      <w:pPr>
        <w:pStyle w:val="FirstParagraph"/>
      </w:pPr>
      <w:r>
        <w:t xml:space="preserve">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r>
        <w:pict>
          <v:rect style="width:0;height:1.5pt" o:hralign="center" o:hrstd="t" o:hr="t"/>
        </w:pict>
      </w:r>
    </w:p>
    <w:bookmarkEnd w:id="20"/>
    <w:bookmarkStart w:id="23" w:name="data-sources-and-ethics"/>
    <w:p>
      <w:pPr>
        <w:pStyle w:val="Heading2"/>
      </w:pPr>
      <w:r>
        <w:t xml:space="preserve">3.2 Data Sources and Ethics</w:t>
      </w:r>
    </w:p>
    <w:p>
      <w:pPr>
        <w:pStyle w:val="FirstParagraph"/>
      </w:pPr>
      <w:r>
        <w:rPr>
          <w:bCs/>
          <w:b/>
        </w:rPr>
        <w:t xml:space="preserve">JST Macrohistory Database R6</w:t>
      </w:r>
      <w:r>
        <w:t xml:space="preserve"> </w:t>
      </w:r>
      <w:r>
        <w:t xml:space="preserve">(Jordà,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pPr>
        <w:pStyle w:val="BodyText"/>
      </w:pPr>
      <w:r>
        <w:rPr>
          <w:bCs/>
          <w:b/>
        </w:rPr>
        <w:t xml:space="preserve">BIS Central Bank Speeches:</w:t>
      </w:r>
      <w:r>
        <w:t xml:space="preserve"> </w:t>
      </w:r>
      <w:r>
        <w:t xml:space="preserve">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pPr>
        <w:pStyle w:val="BodyText"/>
      </w:pPr>
      <w:r>
        <w:rPr>
          <w:bCs/>
          <w:b/>
        </w:rPr>
        <w:t xml:space="preserve">Ethics:</w:t>
      </w:r>
      <w:r>
        <w:t xml:space="preserve"> </w:t>
      </w:r>
      <w:r>
        <w:t xml:space="preserve">Exclusively publicly available secondary data. No human participants. Ethics review: low risk, no further action required. Random seeds fixed at 42 throughout. Full code at</w:t>
      </w:r>
      <w:r>
        <w:t xml:space="preserve"> </w:t>
      </w:r>
      <w:hyperlink r:id="rId10">
        <w:r>
          <w:rPr>
            <w:rStyle w:val="Hyperlink"/>
          </w:rPr>
          <w:t xml:space="preserve">https://github.com/spike2025-art/eportfolio-uoe/tree/main</w:t>
        </w:r>
      </w:hyperlink>
      <w:r>
        <w:t xml:space="preserv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3"/>
    <w:bookmarkStart w:id="24" w:name="target-variable-and-features"/>
    <w:p>
      <w:pPr>
        <w:pStyle w:val="Heading2"/>
      </w:pPr>
      <w:r>
        <w:t xml:space="preserve">3.3 Target Variable and Features</w:t>
      </w:r>
    </w:p>
    <w:p>
      <w:pPr>
        <w:pStyle w:val="FirstParagraph"/>
      </w:pPr>
      <w:r>
        <w:t xml:space="preserve">The primary target</w:t>
      </w:r>
      <w:r>
        <w:t xml:space="preserve"> </w:t>
      </w:r>
      <w:r>
        <w:rPr>
          <w:rStyle w:val="VerbatimChar"/>
        </w:rPr>
        <w:t xml:space="preserve">target_h2</w:t>
      </w:r>
      <w:r>
        <w:t xml:space="preserve"> </w:t>
      </w:r>
      <w:r>
        <w:t xml:space="preserve">marks a country-year positive if crisis onset falls within the following two years (37 positives at 6.5% in Stage 1; 26 at 8.15% in Stage 2). COVID-19 (2020) is excluded from the crisis chronology; the observation is retained in the held-out set.</w:t>
      </w:r>
    </w:p>
    <w:p>
      <w:pPr>
        <w:pStyle w:val="BodyText"/>
      </w:pPr>
      <w:r>
        <w:rPr>
          <w:bCs/>
          <w:b/>
        </w:rPr>
        <w:t xml:space="preserve">Macro features (41):</w:t>
      </w:r>
      <w:r>
        <w:t xml:space="preserve"> </w:t>
      </w:r>
      <w:r>
        <w:t xml:space="preserve">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pPr>
        <w:pStyle w:val="BodyText"/>
      </w:pPr>
      <w:r>
        <w:rPr>
          <w:bCs/>
          <w:b/>
        </w:rPr>
        <w:t xml:space="preserve">Sentiment features (20):</w:t>
      </w:r>
      <w:r>
        <w:t xml:space="preserve"> </w:t>
      </w:r>
      <w:r>
        <w:t xml:space="preserve">Six FinBERT measures (P_pos, P_neg, P_neutral, net_sentiment, annual changes) at lags 1–2 plus rolling derivatives, three-year rolling-window demeaned.</w:t>
      </w:r>
    </w:p>
    <w:p>
      <w:r>
        <w:pict>
          <v:rect style="width:0;height:1.5pt" o:hralign="center" o:hrstd="t" o:hr="t"/>
        </w:pict>
      </w:r>
    </w:p>
    <w:bookmarkEnd w:id="24"/>
    <w:bookmarkStart w:id="25" w:name="model-specifications"/>
    <w:p>
      <w:pPr>
        <w:pStyle w:val="Heading2"/>
      </w:pPr>
      <w:r>
        <w:t xml:space="preserve">3.4 Model Specifications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Algorithm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Key settings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Logistic Regression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19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L2 C=0.1, balanced weights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M1b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Logistic Regression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Bridge specification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500 trees, depth 5, balanced weights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M2.5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Explainable Boosting Machine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5,000 rounds, 5 interactions, sample weights, no isotonic calibration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XGBoost + 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61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300 trees, depth 4, isotonic calibration (CalibratedClassifierCV)</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M2-matched / M2.5-matched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RF /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Trained on 2003–2020 only</w:t>
            </w:r>
          </w:p>
        </w:tc>
      </w:tr>
    </w:tbl>
    <w:p>
      <w:pPr>
        <w:pStyle w:val="BodyText"/>
      </w:pPr>
      <w:r>
        <w:rPr>
          <w:iCs/>
          <w:i/>
        </w:rPr>
        <w:t xml:space="preserve">Table 3.1. Model specifications summary.</w:t>
      </w:r>
    </w:p>
    <w:p>
      <w:pPr>
        <w:pStyle w:val="BodyText"/>
      </w:pPr>
      <w:r>
        <w:t xml:space="preserve">Class imbalance is handled by per-fold sample weights: fold_spw = n_neg / n_pos applied within each expanding-window training fold. EBM uses the</w:t>
      </w:r>
      <w:r>
        <w:t xml:space="preserve"> </w:t>
      </w:r>
      <w:r>
        <w:rPr>
          <w:rStyle w:val="VerbatimChar"/>
        </w:rPr>
        <w:t xml:space="preserve">interpret</w:t>
      </w:r>
      <w:r>
        <w:t xml:space="preserve"> </w:t>
      </w:r>
      <w:r>
        <w:t xml:space="preserve">package v0.7.8.</w:t>
      </w:r>
    </w:p>
    <w:p>
      <w:r>
        <w:pict>
          <v:rect style="width:0;height:1.5pt" o:hralign="center" o:hrstd="t" o:hr="t"/>
        </w:pict>
      </w:r>
    </w:p>
    <w:bookmarkEnd w:id="25"/>
    <w:bookmarkStart w:id="26" w:name="evaluation-framework"/>
    <w:p>
      <w:pPr>
        <w:pStyle w:val="Heading2"/>
      </w:pPr>
      <w:r>
        <w:t xml:space="preserve">3.5 Evaluation Framework</w:t>
      </w:r>
    </w:p>
    <w:p>
      <w:pPr>
        <w:pStyle w:val="FirstParagraph"/>
      </w:pPr>
      <w:r>
        <w:rPr>
          <w:bCs/>
          <w:b/>
        </w:rPr>
        <w:t xml:space="preserve">Expanding-window CV:</w:t>
      </w:r>
      <w:r>
        <w:t xml:space="preserve"> </w:t>
      </w:r>
      <w:r>
        <w:t xml:space="preserve">Stage 1 uses 26 evaluation folds (1993–2018) with a four-year burn-in; Stage 2 uses 12 folds (2007–2018). Years 2019–2020 are held out in both stages. OOS predictions are pooled for aggregate metric computation.</w:t>
      </w:r>
    </w:p>
    <w:p>
      <w:pPr>
        <w:pStyle w:val="BodyText"/>
      </w:pPr>
      <w:r>
        <w:rPr>
          <w:bCs/>
          <w:b/>
        </w:rPr>
        <w:t xml:space="preserve">Strict temporal validation</w:t>
      </w:r>
      <w:r>
        <w:t xml:space="preserve"> </w:t>
      </w:r>
      <w:r>
        <w:t xml:space="preserve">(the primary prospective test) trains exclusively on pre-crisis data: Split A (Pre-Nordic: 1988–1990 → 1991–1997) and Split B (Pre-GFC: 1988–2002 → 2003–2011). Split C (2003–2005 → 2006–2009) is infeasible due to zero training positives.</w:t>
      </w:r>
    </w:p>
    <w:p>
      <w:pPr>
        <w:pStyle w:val="BodyText"/>
      </w:pPr>
      <w:r>
        <w:rPr>
          <w:bCs/>
          <w:b/>
        </w:rPr>
        <w:t xml:space="preserve">LOCO validation</w:t>
      </w:r>
      <w:r>
        <w:t xml:space="preserve"> </w:t>
      </w:r>
      <w:r>
        <w:t xml:space="preserve">holds out each country in turn across 15 countries with hold-out crisis events (AUS, CAN, NOR excluded — no hold-out positives).</w:t>
      </w:r>
    </w:p>
    <w:p>
      <w:pPr>
        <w:pStyle w:val="BodyText"/>
      </w:pPr>
      <w:r>
        <w:rPr>
          <w:bCs/>
          <w:b/>
        </w:rPr>
        <w:t xml:space="preserve">Metrics:</w:t>
      </w:r>
      <w:r>
        <w:t xml:space="preserve"> </w:t>
      </w:r>
      <w:r>
        <w:t xml:space="preserve">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r>
        <w:pict>
          <v:rect style="width:0;height:1.5pt" o:hralign="center" o:hrstd="t" o:hr="t"/>
        </w:pict>
      </w:r>
    </w:p>
    <w:bookmarkEnd w:id="26"/>
    <w:bookmarkStart w:id="27" w:name="Xe536ff00d0325a10c54aab171064833af215fcf"/>
    <w:p>
      <w:pPr>
        <w:pStyle w:val="Heading2"/>
      </w:pPr>
      <w:r>
        <w:t xml:space="preserve">3.6 EBM Shape Function Analysis and Ensemble Design</w:t>
      </w:r>
    </w:p>
    <w:p>
      <w:pPr>
        <w:pStyle w:val="FirstParagraph"/>
      </w:pPr>
      <w:r>
        <w:t xml:space="preserve">To test regime stability, EBM is fitted separately on two sub-periods — Pre-GFC (2003–2006) and GFC-inclusive (2003–2010) — and shape functions compared for term spread and credit across all three lag horizons. Instability in shape functions reflects data-generating process properties rather than attribution approximation.</w:t>
      </w:r>
    </w:p>
    <w:p>
      <w:pPr>
        <w:pStyle w:val="BodyText"/>
      </w:pPr>
      <w:r>
        <w:t xml:space="preserve">Two ensembles use equal-weighted OOS probability averaging (performance-weighted schemes are circular when weights are derived from the same OOS pool):</w:t>
      </w:r>
      <w:r>
        <w:t xml:space="preserve"> </w:t>
      </w:r>
      <w:r>
        <w:rPr>
          <w:bCs/>
          <w:b/>
        </w:rPr>
        <w:t xml:space="preserve">E1-Orig (M4)</w:t>
      </w:r>
      <w:r>
        <w:t xml:space="preserve"> </w:t>
      </w:r>
      <w:r>
        <w:t xml:space="preserve">= avg(M2-matched, M3) and</w:t>
      </w:r>
      <w:r>
        <w:t xml:space="preserve"> </w:t>
      </w:r>
      <w:r>
        <w:rPr>
          <w:bCs/>
          <w:b/>
        </w:rPr>
        <w:t xml:space="preserve">E1-EBM</w:t>
      </w:r>
      <w:r>
        <w:t xml:space="preserve"> </w:t>
      </w:r>
      <w:r>
        <w:t xml:space="preserve">= avg(M2-matched, M2.5-matched). Model disagreement is quantified as mean absolute difference between component probabilities separately at crisis and non-crisis observations.</w:t>
      </w:r>
    </w:p>
    <w:p>
      <w:pPr>
        <w:pStyle w:val="BodyText"/>
      </w:pPr>
      <w:r>
        <w:t xml:space="preserve">The full notebook pipeline (NB00–NB09B) is documented in Appendix A.</w:t>
      </w:r>
    </w:p>
    <w:p>
      <w:r>
        <w:pict>
          <v:rect style="width:0;height:1.5pt" o:hralign="center" o:hrstd="t" o:hr="t"/>
        </w:pict>
      </w:r>
    </w:p>
    <w:p>
      <w:pPr>
        <w:pStyle w:val="FirstParagraph"/>
      </w:pPr>
      <w:r>
        <w:rPr>
          <w:iCs/>
          <w:i/>
        </w:rPr>
        <w:t xml:space="preserve">Chapter 3 revision: April 2026</w:t>
      </w:r>
    </w:p>
    <w:bookmarkEnd w:id="27"/>
    <w:bookmarkEnd w:id="28"/>
    <w:p>
      <w:r>
        <w:br w:type="page"/>
      </w:r>
    </w:p>
    <w:bookmarkStart w:id="80" w:name="chapter-4-results-and-interpretation"/>
    <w:p>
      <w:pPr>
        <w:pStyle w:val="Heading1"/>
      </w:pPr>
      <w:r>
        <w:t xml:space="preserve">Chapter 4: Results and Interpretation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dataset-and-experimental-setup"/>
    <w:p>
      <w:pPr>
        <w:pStyle w:val="Heading2"/>
      </w:pPr>
      <w:r>
        <w:t xml:space="preserve">4.1 Dataset and Experimental Setup</w:t>
      </w:r>
    </w:p>
    <w:p>
      <w:pPr>
        <w:pStyle w:val="FirstParagraph"/>
      </w:pPr>
      <w: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pPr>
        <w:pStyle w:val="BodyText"/>
      </w:pPr>
      <w:r>
        <w:t xml:space="preserve">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pPr>
        <w:pStyle w:val="BodyText"/>
      </w:pPr>
      <w:r>
        <w:t xml:space="preserve">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pPr>
        <w:pStyle w:val="BodyText"/>
      </w:pPr>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represent a cross-sectional discrimination test within a single crisis episode — evaluating how well each model ranks 18 countries by crisis probability in 2007 — rather 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r>
        <w:pict>
          <v:rect style="width:0;height:1.5pt" o:hralign="center" o:hrstd="t" o:hr="t"/>
        </w:pict>
      </w:r>
    </w:p>
    <w:bookmarkEnd w:id="20"/>
    <w:bookmarkStart w:id="27" w:name="primary-model-comparison"/>
    <w:p>
      <w:pPr>
        <w:pStyle w:val="Heading2"/>
      </w:pPr>
      <w:r>
        <w:t xml:space="preserve">4.2 Primary Model Comparison</w:t>
      </w:r>
    </w:p>
    <w:p>
      <w:pPr>
        <w:pStyle w:val="FirstParagraph"/>
      </w:pPr>
      <w:r>
        <w:t xml:space="preserve">Table 4.1 presents Stage 1 post-calibration metrics for M1, M1b, M2 and M2.5 (EBM) on the extended panel. Table 4.2 presents Stage 2 metrics for M2-matched, M2.5-matched, M3 and M4. Bootstrap 95 per cent confidence intervals from 1,000 resamples are indicative only.</w:t>
      </w:r>
    </w:p>
    <w:p>
      <w:pPr>
        <w:pStyle w:val="BodyText"/>
      </w:pPr>
      <w:r>
        <w:rPr>
          <w:bCs/>
          <w:b/>
        </w:rPr>
        <w:t xml:space="preserve">Table 4.1. Stage 1 — Model comparison on extended macro panel (H2 target, 1989–2020)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Logistic Regression (macro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[0.477, 0.739]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bridge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Random Forest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[0.484, 0.781]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3.4×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[0.649, 0.855]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pPr>
        <w:pStyle w:val="BodyText"/>
      </w:pPr>
      <w:r>
        <w:rPr>
          <w:bCs/>
          <w:b/>
        </w:rPr>
        <w:t xml:space="preserve">Table 4.2. Stage 2 — Model comparison on sentiment overlap period (H2 target, 2003–2020)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[0.897, 0.970]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[0.927, 0.988]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XGBoost + FinBERT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61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M4: Ensemble avg(M2-matched,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0.057</w:t>
            </w:r>
          </w:p>
        </w:tc>
      </w:tr>
    </w:tbl>
    <w:p>
      <w:pPr>
        <w:pStyle w:val="BodyText"/>
      </w:pPr>
      <w:r>
        <w:rPr>
          <w:iCs/>
          <w:i/>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pPr>
        <w:pStyle w:val="BodyText"/>
      </w:pPr>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pPr>
        <w:pStyle w:val="CaptionedFigure"/>
      </w:pPr>
      <w:r>
        <w:drawing>
          <wp:inline>
            <wp:extent cx="5727700" cy="2622854"/>
            <wp:effectExtent b="0" l="0" r="0" t="0"/>
            <wp:docPr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title="" id="22" name="Picture"/>
            <a:graphic>
              <a:graphicData uri="http://schemas.openxmlformats.org/drawingml/2006/picture">
                <pic:pic>
                  <pic:nvPicPr>
                    <pic:cNvPr descr="fig1.png" id="23" name="Picture"/>
                    <pic:cNvPicPr>
                      <a:picLocks noChangeArrowheads="1" noChangeAspect="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pPr>
        <w:pStyle w:val="ImageCaption"/>
      </w:pPr>
      <w:r>
        <w:t xml:space="preserve">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pPr>
        <w:pStyle w:val="BodyText"/>
      </w:pPr>
      <w:r>
        <w:t xml:space="preserve">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pPr>
        <w:pStyle w:val="BodyText"/>
      </w:pPr>
      <w:r>
        <w:t xml:space="preserve">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M1b, and indicating that the observed M3 advantage over M2-matched is better attributed to algorithm choice than to a stable sentiment signal.</w:t>
      </w:r>
    </w:p>
    <w:p>
      <w:pPr>
        <w:pStyle w:val="BodyText"/>
      </w:pPr>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pPr>
        <w:pStyle w:val="CaptionedFigure"/>
      </w:pPr>
      <w:r>
        <w:drawing>
          <wp:inline>
            <wp:extent cx="5727700" cy="4462821"/>
            <wp:effectExtent b="0" l="0" r="0" t="0"/>
            <wp:docPr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title="" id="25" name="Picture"/>
            <a:graphic>
              <a:graphicData uri="http://schemas.openxmlformats.org/drawingml/2006/picture">
                <pic:pic>
                  <pic:nvPicPr>
                    <pic:cNvPr descr="fig2.png" id="26" name="Picture"/>
                    <pic:cNvPicPr>
                      <a:picLocks noChangeArrowheads="1" noChangeAspect="1"/>
                    </pic:cNvPicPr>
                  </pic:nvPicPr>
                  <pic:blipFill>
                    <a:blip r:embed="rId15"/>
                    <a:stretch>
                      <a:fillRect/>
                    </a:stretch>
                  </pic:blipFill>
                  <pic:spPr bwMode="auto">
                    <a:xfrm>
                      <a:off x="0" y="0"/>
                      <a:ext cx="5727700" cy="4462821"/>
                    </a:xfrm>
                    <a:prstGeom prst="rect">
                      <a:avLst/>
                    </a:prstGeom>
                    <a:noFill/>
                    <a:ln w="9525">
                      <a:noFill/>
                      <a:headEnd/>
                      <a:tailEnd/>
                    </a:ln>
                  </pic:spPr>
                </pic:pic>
              </a:graphicData>
            </a:graphic>
          </wp:inline>
        </w:drawing>
      </w:r>
    </w:p>
    <w:p>
      <w:pPr>
        <w:pStyle w:val="ImageCaption"/>
      </w:pPr>
      <w:r>
        <w:t xml:space="preserve">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pPr>
        <w:pStyle w:val="BodyText"/>
      </w:pPr>
      <w:r>
        <w:rPr>
          <w:bCs/>
          <w:b/>
        </w:rPr>
        <w:t xml:space="preserve">H1 — Discrimination:</w:t>
      </w:r>
      <w:r>
        <w:t xml:space="preserve"> </w:t>
      </w:r>
      <w:r>
        <w:t xml:space="preserve">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pPr>
        <w:pStyle w:val="BodyText"/>
      </w:pPr>
      <w:r>
        <w:t xml:space="preserve">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r>
        <w:pict>
          <v:rect style="width:0;height:1.5pt" o:hralign="center" o:hrstd="t" o:hr="t"/>
        </w:pict>
      </w:r>
    </w:p>
    <w:bookmarkEnd w:id="27"/>
    <w:bookmarkStart w:id="28" w:name="X42598f23d54a9a53a6e6f7a35d8fe60d81e8479"/>
    <w:p>
      <w:pPr>
        <w:pStyle w:val="Heading2"/>
      </w:pPr>
      <w:r>
        <w:t xml:space="preserve">4.3 Exploratory Decomposition of Model Changes</w:t>
      </w:r>
    </w:p>
    <w:p>
      <w:pPr>
        <w:pStyle w:val="FirstParagraph"/>
      </w:pPr>
      <w:r>
        <w:t xml:space="preserve">Table 4.3 extends the M1-to-M2 decomposition to include M2.5, making the full model sequence explicit. The M2 → M2.5 transition holds the feature set constant (41 macro features) while varying the algorithm, isolating the algorithm effect under identical data conditions.</w:t>
      </w:r>
    </w:p>
    <w:p>
      <w:pPr>
        <w:pStyle w:val="BodyText"/>
      </w:pPr>
      <w:r>
        <w:rPr>
          <w:bCs/>
          <w:b/>
        </w:rPr>
        <w:t xml:space="preserve">Table 4.3. Exploratory decomposition on H2 target, Stage 1 (1989–2020)</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Class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LR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RF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4.3. Exploratory decomposition, Stage 1. Base rate = 0.065. Transitions are not orthogonal treatments. All metrics are upper bounds on prospective performance.</w:t>
      </w:r>
    </w:p>
    <w:p>
      <w:pPr>
        <w:pStyle w:val="BodyText"/>
      </w:pPr>
      <w:r>
        <w:t xml:space="preserve">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pPr>
        <w:pStyle w:val="BodyText"/>
      </w:pPr>
      <w:r>
        <w:rPr>
          <w:bCs/>
          <w:b/>
        </w:rPr>
        <w:t xml:space="preserve">H3 — Interpretability trade-off:</w:t>
      </w:r>
      <w:r>
        <w:t xml:space="preserve"> </w:t>
      </w:r>
      <w:r>
        <w:t xml:space="preserve">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r>
        <w:pict>
          <v:rect style="width:0;height:1.5pt" o:hralign="center" o:hrstd="t" o:hr="t"/>
        </w:pict>
      </w:r>
    </w:p>
    <w:bookmarkEnd w:id="28"/>
    <w:bookmarkStart w:id="29" w:name="multi-horizon-analysis"/>
    <w:p>
      <w:pPr>
        <w:pStyle w:val="Heading2"/>
      </w:pPr>
      <w:r>
        <w:t xml:space="preserve">4.4 Multi-Horizon Analysis</w:t>
      </w:r>
    </w:p>
    <w:p>
      <w:pPr>
        <w:pStyle w:val="FirstParagraph"/>
      </w:pPr>
      <w:r>
        <w:t xml:space="preserve">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r>
        <w:pict>
          <v:rect style="width:0;height:1.5pt" o:hralign="center" o:hrstd="t" o:hr="t"/>
        </w:pict>
      </w:r>
    </w:p>
    <w:bookmarkEnd w:id="29"/>
    <w:bookmarkStart w:id="35" w:name="Xf54214aabfafa9b1ed794ccf9e0cddc7bb4e81c"/>
    <w:p>
      <w:pPr>
        <w:pStyle w:val="Heading2"/>
      </w:pPr>
      <w:r>
        <w:t xml:space="preserve">4.5 Robustness: Temporal Validation and Leave-One-Country-Out</w:t>
      </w:r>
    </w:p>
    <w:bookmarkStart w:id="30" w:name="strict-temporal-validation"/>
    <w:p>
      <w:pPr>
        <w:pStyle w:val="Heading3"/>
      </w:pPr>
      <w:r>
        <w:t xml:space="preserve">4.5.1 Strict Temporal Validation</w:t>
      </w:r>
    </w:p>
    <w:p>
      <w:pPr>
        <w:pStyle w:val="FirstParagraph"/>
      </w:pPr>
      <w:r>
        <w:t xml:space="preserve">The strict temporal validation constitutes the central empirical finding of the augmented analysis and should be read as the primary result against which all expanding-window metrics are calibrated. Table 4.4 presents results for both M2 (Random Forest) and M2.5 (EBM).</w:t>
      </w:r>
    </w:p>
    <w:p>
      <w:pPr>
        <w:pStyle w:val="BodyText"/>
      </w:pPr>
      <w:r>
        <w:rPr>
          <w:bCs/>
          <w:b/>
        </w:rPr>
        <w:t xml:space="preserve">Table 4.4. Strict temporal validation — M2 RF and M2.5 EBM (macro lag1–3)</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Split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M2 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Benchmark</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A: Pre-Nordic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1988–1990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1991–1997</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0.572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B: Pre-GFC extended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1988–2002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2003–2011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0.333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C: Pre-GFC short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2003–2005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2006–2009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r>
    </w:tbl>
    <w:p>
      <w:pPr>
        <w:pStyle w:val="BodyText"/>
      </w:pPr>
      <w:r>
        <w:rPr>
          <w:iCs/>
          <w:i/>
        </w:rPr>
        <w:t xml:space="preserve">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pPr>
        <w:pStyle w:val="BodyText"/>
      </w:pPr>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pPr>
        <w:pStyle w:val="BodyText"/>
      </w:pPr>
      <w:r>
        <w:t xml:space="preserve">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bookmarkEnd w:id="30"/>
    <w:bookmarkStart w:id="34" w:name="leave-one-country-out-validation"/>
    <w:p>
      <w:pPr>
        <w:pStyle w:val="Heading3"/>
      </w:pPr>
      <w:r>
        <w:t xml:space="preserve">4.5.2 Leave-One-Country-Out Validation</w:t>
      </w:r>
    </w:p>
    <w:p>
      <w:pPr>
        <w:pStyle w:val="FirstParagraph"/>
      </w:pPr>
      <w:r>
        <w:t xml:space="preserve">Figure 4.3 presents the LOCO AUROC comparison for M2 RF and M2.5 EBM across 15 countries with hold-out crisis events. Three countries with no hold-out crisis events (Australia, Canada, Norway) are excluded.</w:t>
      </w:r>
    </w:p>
    <w:p>
      <w:pPr>
        <w:pStyle w:val="CaptionedFigure"/>
      </w:pPr>
      <w:r>
        <w:drawing>
          <wp:inline>
            <wp:extent cx="5727700" cy="2020086"/>
            <wp:effectExtent b="0" l="0" r="0" t="0"/>
            <wp:docPr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title="" id="32" name="Picture"/>
            <a:graphic>
              <a:graphicData uri="http://schemas.openxmlformats.org/drawingml/2006/picture">
                <pic:pic>
                  <pic:nvPicPr>
                    <pic:cNvPr descr="fig3.png" id="33" name="Picture"/>
                    <pic:cNvPicPr>
                      <a:picLocks noChangeArrowheads="1" noChangeAspect="1"/>
                    </pic:cNvPicPr>
                  </pic:nvPicPr>
                  <pic:blipFill>
                    <a:blip r:embed="rId16"/>
                    <a:stretch>
                      <a:fillRect/>
                    </a:stretch>
                  </pic:blipFill>
                  <pic:spPr bwMode="auto">
                    <a:xfrm>
                      <a:off x="0" y="0"/>
                      <a:ext cx="5727700" cy="2020086"/>
                    </a:xfrm>
                    <a:prstGeom prst="rect">
                      <a:avLst/>
                    </a:prstGeom>
                    <a:noFill/>
                    <a:ln w="9525">
                      <a:noFill/>
                      <a:headEnd/>
                      <a:tailEnd/>
                    </a:ln>
                  </pic:spPr>
                </pic:pic>
              </a:graphicData>
            </a:graphic>
          </wp:inline>
        </w:drawing>
      </w:r>
    </w:p>
    <w:p>
      <w:pPr>
        <w:pStyle w:val="ImageCaption"/>
      </w:pPr>
      <w:r>
        <w:t xml:space="preserve">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pPr>
        <w:pStyle w:val="BodyText"/>
      </w:pPr>
      <w:r>
        <w:rPr>
          <w:bCs/>
          <w:b/>
        </w:rPr>
        <w:t xml:space="preserve">Table 4.5. Leave-one-country-out summary — M2 RF vs M2.5 EBM, Stage 1</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Country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Hold-out events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BEL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CHE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DEU</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0.548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DNK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ESP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FIN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FRA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GBR</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IRL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ITA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JPN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NLD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PRT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0.862</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SWE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USA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Cs/>
                <w:b w:val="0"/>
                <w:color w:val="000000"/>
                <w:sz w:val="18"/>
              </w:rPr>
              <w:t xml:space="preserve">Mean (std)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pP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0.839 (0.254)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0.893 (0.215)</w:t>
            </w:r>
          </w:p>
        </w:tc>
      </w:tr>
    </w:tbl>
    <w:p>
      <w:pPr>
        <w:pStyle w:val="BodyText"/>
      </w:pPr>
      <w:r>
        <w:rPr>
          <w:iCs/>
          <w:i/>
        </w:rPr>
        <w:t xml:space="preserve">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pPr>
        <w:pStyle w:val="BodyText"/>
      </w:pPr>
      <w:r>
        <w:t xml:space="preserve">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r>
        <w:pict>
          <v:rect style="width:0;height:1.5pt" o:hralign="center" o:hrstd="t" o:hr="t"/>
        </w:pict>
      </w:r>
    </w:p>
    <w:bookmarkEnd w:id="34"/>
    <w:bookmarkEnd w:id="35"/>
    <w:bookmarkStart w:id="45" w:name="shap-feature-attribution"/>
    <w:p>
      <w:pPr>
        <w:pStyle w:val="Heading2"/>
      </w:pPr>
      <w:r>
        <w:t xml:space="preserve">4.6 SHAP Feature Attribution</w:t>
      </w:r>
    </w:p>
    <w:bookmarkStart w:id="39" w:name="aggregate-attribution-by-lag-group"/>
    <w:p>
      <w:pPr>
        <w:pStyle w:val="Heading3"/>
      </w:pPr>
      <w:r>
        <w:t xml:space="preserve">4.6.1 Aggregate Attribution by Lag Group</w:t>
      </w:r>
    </w:p>
    <w:p>
      <w:pPr>
        <w:pStyle w:val="FirstParagraph"/>
      </w:pPr>
      <w:r>
        <w:t xml:space="preserve">Figure 4.4 presents SHAP attribution for M3 in Stage 2 decomposed by lag group. The total macro share is 73.8 per cent and the FinBERT sentiment share is 26.2 per cent.</w:t>
      </w:r>
    </w:p>
    <w:p>
      <w:pPr>
        <w:pStyle w:val="CaptionedFigure"/>
      </w:pPr>
      <w:r>
        <w:drawing>
          <wp:inline>
            <wp:extent cx="5727700" cy="2820311"/>
            <wp:effectExtent b="0" l="0" r="0" t="0"/>
            <wp:docPr descr="Figure 4.4. M3 SHAP signal by lag horizon (Stage 2, 2003–2020). Dark blue = macro lag1 (2.816); light blue = macro lag3 (2.735); medium blue = macro lag2 (1.249); orange tones = FinBERT sentiment lag1 (1.325) and lag2 (1.083). Macro features account for 73.8% of total attribution; sentiment 26.2%." title="" id="37" name="Picture"/>
            <a:graphic>
              <a:graphicData uri="http://schemas.openxmlformats.org/drawingml/2006/picture">
                <pic:pic>
                  <pic:nvPicPr>
                    <pic:cNvPr descr="fig4.png" id="38" name="Picture"/>
                    <pic:cNvPicPr>
                      <a:picLocks noChangeArrowheads="1" noChangeAspect="1"/>
                    </pic:cNvPicPr>
                  </pic:nvPicPr>
                  <pic:blipFill>
                    <a:blip r:embed="rId17"/>
                    <a:stretch>
                      <a:fillRect/>
                    </a:stretch>
                  </pic:blipFill>
                  <pic:spPr bwMode="auto">
                    <a:xfrm>
                      <a:off x="0" y="0"/>
                      <a:ext cx="5727700" cy="2820311"/>
                    </a:xfrm>
                    <a:prstGeom prst="rect">
                      <a:avLst/>
                    </a:prstGeom>
                    <a:noFill/>
                    <a:ln w="9525">
                      <a:noFill/>
                      <a:headEnd/>
                      <a:tailEnd/>
                    </a:ln>
                  </pic:spPr>
                </pic:pic>
              </a:graphicData>
            </a:graphic>
          </wp:inline>
        </w:drawing>
      </w:r>
    </w:p>
    <w:p>
      <w:pPr>
        <w:pStyle w:val="ImageCaption"/>
      </w:pPr>
      <w:r>
        <w:t xml:space="preserve">Figure 4.4. M3 SHAP signal by lag horizon (Stage 2, 2003–2020). Dark blue = macro lag1 (2.816); light blue = macro lag3 (2.735); medium blue = macro lag2 (1.249); orange tones = FinBERT sentiment lag1 (1.325) and lag2 (1.083). Macro features account for 73.8% of total attribution; sentiment 26.2%.</w:t>
      </w:r>
    </w:p>
    <w:p>
      <w:pPr>
        <w:pStyle w:val="BodyText"/>
      </w:pPr>
      <w:r>
        <w:t xml:space="preserve">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bookmarkEnd w:id="39"/>
    <w:bookmarkStart w:id="40" w:name="individual-feature-rankings"/>
    <w:p>
      <w:pPr>
        <w:pStyle w:val="Heading3"/>
      </w:pPr>
      <w:r>
        <w:t xml:space="preserve">4.6.2 Individual Feature Rankings</w:t>
      </w:r>
    </w:p>
    <w:p>
      <w:pPr>
        <w:pStyle w:val="FirstParagraph"/>
      </w:pPr>
      <w:r>
        <w:t xml:space="preserve">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pPr>
        <w:pStyle w:val="BodyText"/>
      </w:pPr>
      <w:r>
        <w:rPr>
          <w:bCs/>
          <w:b/>
        </w:rPr>
        <w:t xml:space="preserve">H2 — Feature relevance:</w:t>
      </w:r>
      <w:r>
        <w:t xml:space="preserve"> </w:t>
      </w:r>
      <w:r>
        <w:t xml:space="preserve">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bookmarkEnd w:id="40"/>
    <w:bookmarkStart w:id="44" w:name="convergence-with-ebm-native-importance"/>
    <w:p>
      <w:pPr>
        <w:pStyle w:val="Heading3"/>
      </w:pPr>
      <w:r>
        <w:t xml:space="preserve">4.6.3 Convergence with EBM Native Importance</w:t>
      </w:r>
    </w:p>
    <w:p>
      <w:pPr>
        <w:pStyle w:val="FirstParagraph"/>
      </w:pPr>
      <w:r>
        <w:t xml:space="preserve">Figure 4.5 presents SHAP feature rankings for M3 alongside EBM native feature importance for M2.5, derived without post-hoc attribution.</w:t>
      </w:r>
    </w:p>
    <w:p>
      <w:pPr>
        <w:pStyle w:val="CaptionedFigure"/>
      </w:pPr>
      <w:r>
        <w:drawing>
          <wp:inline>
            <wp:extent cx="5727700" cy="2520273"/>
            <wp:effectExtent b="0" l="0" r="0" t="0"/>
            <wp:docPr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title="" id="42" name="Picture"/>
            <a:graphic>
              <a:graphicData uri="http://schemas.openxmlformats.org/drawingml/2006/picture">
                <pic:pic>
                  <pic:nvPicPr>
                    <pic:cNvPr descr="fig5.png" id="43" name="Picture"/>
                    <pic:cNvPicPr>
                      <a:picLocks noChangeArrowheads="1" noChangeAspect="1"/>
                    </pic:cNvPicPr>
                  </pic:nvPicPr>
                  <pic:blipFill>
                    <a:blip r:embed="rId18"/>
                    <a:stretch>
                      <a:fillRect/>
                    </a:stretch>
                  </pic:blipFill>
                  <pic:spPr bwMode="auto">
                    <a:xfrm>
                      <a:off x="0" y="0"/>
                      <a:ext cx="5727700" cy="2520273"/>
                    </a:xfrm>
                    <a:prstGeom prst="rect">
                      <a:avLst/>
                    </a:prstGeom>
                    <a:noFill/>
                    <a:ln w="9525">
                      <a:noFill/>
                      <a:headEnd/>
                      <a:tailEnd/>
                    </a:ln>
                  </pic:spPr>
                </pic:pic>
              </a:graphicData>
            </a:graphic>
          </wp:inline>
        </w:drawing>
      </w:r>
    </w:p>
    <w:p>
      <w:pPr>
        <w:pStyle w:val="ImageCaption"/>
      </w:pPr>
      <w:r>
        <w:t xml:space="preserve">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pPr>
        <w:pStyle w:val="BodyText"/>
      </w:pPr>
      <w:r>
        <w:t xml:space="preserve">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r>
        <w:pict>
          <v:rect style="width:0;height:1.5pt" o:hralign="center" o:hrstd="t" o:hr="t"/>
        </w:pict>
      </w:r>
    </w:p>
    <w:bookmarkEnd w:id="44"/>
    <w:bookmarkEnd w:id="45"/>
    <w:bookmarkStart w:id="55" w:name="ebm-interpretability-benchmark"/>
    <w:p>
      <w:pPr>
        <w:pStyle w:val="Heading2"/>
      </w:pPr>
      <w:r>
        <w:t xml:space="preserve">4.7 EBM Interpretability Benchmark</w:t>
      </w:r>
    </w:p>
    <w:bookmarkStart w:id="46" w:name="motivation-and-design"/>
    <w:p>
      <w:pPr>
        <w:pStyle w:val="Heading3"/>
      </w:pPr>
      <w:r>
        <w:t xml:space="preserve">4.7.1 Motivation and Design</w:t>
      </w:r>
    </w:p>
    <w:p>
      <w:pPr>
        <w:pStyle w:val="FirstParagraph"/>
      </w:pPr>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bookmarkEnd w:id="46"/>
    <w:bookmarkStart w:id="50" w:name="feature-importance"/>
    <w:p>
      <w:pPr>
        <w:pStyle w:val="Heading3"/>
      </w:pPr>
      <w:r>
        <w:t xml:space="preserve">4.7.2 Feature Importance</w:t>
      </w:r>
    </w:p>
    <w:p>
      <w:pPr>
        <w:pStyle w:val="FirstParagraph"/>
      </w:pPr>
      <w:r>
        <w:t xml:space="preserve">Figure 4.6 presents EBM’s global feature importance for the Stage 2 full-data fit.</w:t>
      </w:r>
    </w:p>
    <w:p>
      <w:pPr>
        <w:pStyle w:val="CaptionedFigure"/>
      </w:pPr>
      <w:r>
        <w:drawing>
          <wp:inline>
            <wp:extent cx="5727700" cy="4282932"/>
            <wp:effectExtent b="0" l="0" r="0" t="0"/>
            <wp:docPr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title="" id="48" name="Picture"/>
            <a:graphic>
              <a:graphicData uri="http://schemas.openxmlformats.org/drawingml/2006/picture">
                <pic:pic>
                  <pic:nvPicPr>
                    <pic:cNvPr descr="fig6.png" id="49" name="Picture"/>
                    <pic:cNvPicPr>
                      <a:picLocks noChangeArrowheads="1" noChangeAspect="1"/>
                    </pic:cNvPicPr>
                  </pic:nvPicPr>
                  <pic:blipFill>
                    <a:blip r:embed="rId19"/>
                    <a:stretch>
                      <a:fillRect/>
                    </a:stretch>
                  </pic:blipFill>
                  <pic:spPr bwMode="auto">
                    <a:xfrm>
                      <a:off x="0" y="0"/>
                      <a:ext cx="5727700" cy="4282932"/>
                    </a:xfrm>
                    <a:prstGeom prst="rect">
                      <a:avLst/>
                    </a:prstGeom>
                    <a:noFill/>
                    <a:ln w="9525">
                      <a:noFill/>
                      <a:headEnd/>
                      <a:tailEnd/>
                    </a:ln>
                  </pic:spPr>
                </pic:pic>
              </a:graphicData>
            </a:graphic>
          </wp:inline>
        </w:drawing>
      </w:r>
    </w:p>
    <w:p>
      <w:pPr>
        <w:pStyle w:val="ImageCaption"/>
      </w:pPr>
      <w:r>
        <w:t xml:space="preserve">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p>
    <w:p>
      <w:pPr>
        <w:pStyle w:val="BodyText"/>
      </w:pPr>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bookmarkEnd w:id="50"/>
    <w:bookmarkStart w:id="54" w:name="Xe8787fd1ed17058f2f7f919c59d3e746f8e2621"/>
    <w:p>
      <w:pPr>
        <w:pStyle w:val="Heading3"/>
      </w:pPr>
      <w:r>
        <w:t xml:space="preserve">4.7.3 Shape Function Analysis: Regime Instability</w:t>
      </w:r>
    </w:p>
    <w:p>
      <w:pPr>
        <w:pStyle w:val="FirstParagraph"/>
      </w:pPr>
      <w:r>
        <w:t xml:space="preserve">Figure 4.7 presents EBM shape functions for term spread and total credit across all three lag horizons, estimated separately on a pre-GFC window (2003–2006) and a GFC-inclusive window (2003–2010). This is the centrepiece analysis of the EBM contribution.</w:t>
      </w:r>
    </w:p>
    <w:p>
      <w:pPr>
        <w:pStyle w:val="CaptionedFigure"/>
      </w:pPr>
      <w:r>
        <w:drawing>
          <wp:inline>
            <wp:extent cx="5727700" cy="3149808"/>
            <wp:effectExtent b="0" l="0" r="0" t="0"/>
            <wp:docPr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title="" id="52" name="Picture"/>
            <a:graphic>
              <a:graphicData uri="http://schemas.openxmlformats.org/drawingml/2006/picture">
                <pic:pic>
                  <pic:nvPicPr>
                    <pic:cNvPr descr="fig7.png" id="53" name="Picture"/>
                    <pic:cNvPicPr>
                      <a:picLocks noChangeArrowheads="1" noChangeAspect="1"/>
                    </pic:cNvPicPr>
                  </pic:nvPicPr>
                  <pic:blipFill>
                    <a:blip r:embed="rId20"/>
                    <a:stretch>
                      <a:fillRect/>
                    </a:stretch>
                  </pic:blipFill>
                  <pic:spPr bwMode="auto">
                    <a:xfrm>
                      <a:off x="0" y="0"/>
                      <a:ext cx="5727700" cy="3149808"/>
                    </a:xfrm>
                    <a:prstGeom prst="rect">
                      <a:avLst/>
                    </a:prstGeom>
                    <a:noFill/>
                    <a:ln w="9525">
                      <a:noFill/>
                      <a:headEnd/>
                      <a:tailEnd/>
                    </a:ln>
                  </pic:spPr>
                </pic:pic>
              </a:graphicData>
            </a:graphic>
          </wp:inline>
        </w:drawing>
      </w:r>
    </w:p>
    <w:p>
      <w:pPr>
        <w:pStyle w:val="ImageCaption"/>
      </w:pPr>
      <w:r>
        <w:t xml:space="preserve">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w:t>
      </w:r>
    </w:p>
    <w:p>
      <w:pPr>
        <w:pStyle w:val="BodyText"/>
      </w:pPr>
      <w:r>
        <w:t xml:space="preserve">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pPr>
        <w:pStyle w:val="BodyText"/>
      </w:pPr>
      <w:r>
        <w:t xml:space="preserve">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pPr>
        <w:pStyle w:val="BodyText"/>
      </w:pPr>
      <w:r>
        <w:t xml:space="preserve">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r>
        <w:pict>
          <v:rect style="width:0;height:1.5pt" o:hralign="center" o:hrstd="t" o:hr="t"/>
        </w:pict>
      </w:r>
    </w:p>
    <w:bookmarkEnd w:id="54"/>
    <w:bookmarkEnd w:id="55"/>
    <w:bookmarkStart w:id="59" w:name="calibration-analysis"/>
    <w:p>
      <w:pPr>
        <w:pStyle w:val="Heading2"/>
      </w:pPr>
      <w:r>
        <w:t xml:space="preserve">4.8 Calibration Analysis</w:t>
      </w:r>
    </w:p>
    <w:p>
      <w:pPr>
        <w:pStyle w:val="FirstParagraph"/>
      </w:pPr>
      <w:r>
        <w:t xml:space="preserve">Figure 4.8 presents the calibration reliability diagrams for all three Stage 2 models.</w:t>
      </w:r>
    </w:p>
    <w:p>
      <w:pPr>
        <w:pStyle w:val="CaptionedFigure"/>
      </w:pPr>
      <w:r>
        <w:drawing>
          <wp:inline>
            <wp:extent cx="5727700" cy="1897268"/>
            <wp:effectExtent b="0" l="0" r="0" t="0"/>
            <wp:docPr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title="" id="57" name="Picture"/>
            <a:graphic>
              <a:graphicData uri="http://schemas.openxmlformats.org/drawingml/2006/picture">
                <pic:pic>
                  <pic:nvPicPr>
                    <pic:cNvPr descr="fig8.png" id="58" name="Picture"/>
                    <pic:cNvPicPr>
                      <a:picLocks noChangeArrowheads="1" noChangeAspect="1"/>
                    </pic:cNvPicPr>
                  </pic:nvPicPr>
                  <pic:blipFill>
                    <a:blip r:embed="rId21"/>
                    <a:stretch>
                      <a:fillRect/>
                    </a:stretch>
                  </pic:blipFill>
                  <pic:spPr bwMode="auto">
                    <a:xfrm>
                      <a:off x="0" y="0"/>
                      <a:ext cx="5727700" cy="1897268"/>
                    </a:xfrm>
                    <a:prstGeom prst="rect">
                      <a:avLst/>
                    </a:prstGeom>
                    <a:noFill/>
                    <a:ln w="9525">
                      <a:noFill/>
                      <a:headEnd/>
                      <a:tailEnd/>
                    </a:ln>
                  </pic:spPr>
                </pic:pic>
              </a:graphicData>
            </a:graphic>
          </wp:inline>
        </w:drawing>
      </w:r>
    </w:p>
    <w:p>
      <w:pPr>
        <w:pStyle w:val="ImageCaption"/>
      </w:pPr>
      <w:r>
        <w:t xml:space="preserve">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pPr>
        <w:pStyle w:val="BodyText"/>
      </w:pPr>
      <w:r>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r>
        <w:pict>
          <v:rect style="width:0;height:1.5pt" o:hralign="center" o:hrstd="t" o:hr="t"/>
        </w:pict>
      </w:r>
    </w:p>
    <w:bookmarkEnd w:id="59"/>
    <w:bookmarkStart w:id="65" w:name="auxiliary-statistical-tests"/>
    <w:p>
      <w:pPr>
        <w:pStyle w:val="Heading2"/>
      </w:pPr>
      <w:r>
        <w:t xml:space="preserve">4.9 Auxiliary Statistical Tests</w:t>
      </w:r>
    </w:p>
    <w:bookmarkStart w:id="60" w:name="granger-causality-credit-growth"/>
    <w:p>
      <w:pPr>
        <w:pStyle w:val="Heading3"/>
      </w:pPr>
      <w:r>
        <w:t xml:space="preserve">4.9.1 Granger Causality: Credit Growth</w:t>
      </w:r>
    </w:p>
    <w:p>
      <w:pPr>
        <w:pStyle w:val="FirstParagraph"/>
      </w:pPr>
      <w:r>
        <w:t xml:space="preserve">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bookmarkEnd w:id="60"/>
    <w:bookmarkStart w:id="61" w:name="granger-causality-term-spread"/>
    <w:p>
      <w:pPr>
        <w:pStyle w:val="Heading3"/>
      </w:pPr>
      <w:r>
        <w:t xml:space="preserve">4.9.2 Granger Causality: Term Spread</w:t>
      </w:r>
    </w:p>
    <w:p>
      <w:pPr>
        <w:pStyle w:val="FirstParagraph"/>
      </w:pPr>
      <w:r>
        <w:t xml:space="preserve">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bookmarkEnd w:id="61"/>
    <w:bookmarkStart w:id="62" w:name="panel-logistic-term-spread"/>
    <w:p>
      <w:pPr>
        <w:pStyle w:val="Heading3"/>
      </w:pPr>
      <w:r>
        <w:t xml:space="preserve">4.9.3 Panel Logistic: Term Spread</w:t>
      </w:r>
    </w:p>
    <w:p>
      <w:pPr>
        <w:pStyle w:val="FirstParagraph"/>
      </w:pPr>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bookmarkEnd w:id="62"/>
    <w:bookmarkStart w:id="63" w:name="panel-logistic-sentiment"/>
    <w:p>
      <w:pPr>
        <w:pStyle w:val="Heading3"/>
      </w:pPr>
      <w:r>
        <w:t xml:space="preserve">4.9.4 Panel Logistic: Sentiment</w:t>
      </w:r>
    </w:p>
    <w:p>
      <w:pPr>
        <w:pStyle w:val="FirstParagraph"/>
      </w:pPr>
      <w:r>
        <w:t xml:space="preserve">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bookmarkEnd w:id="63"/>
    <w:bookmarkStart w:id="64" w:name="ml-discrimination-vs-statistical-tests"/>
    <w:p>
      <w:pPr>
        <w:pStyle w:val="Heading3"/>
      </w:pPr>
      <w:r>
        <w:t xml:space="preserve">4.9.5 ML Discrimination vs Statistical Tests</w:t>
      </w:r>
    </w:p>
    <w:p>
      <w:pPr>
        <w:pStyle w:val="FirstParagraph"/>
      </w:pPr>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achieve high expanding-window discrimination while failing under genuine prospective evaluation.</w:t>
      </w:r>
    </w:p>
    <w:p>
      <w:r>
        <w:pict>
          <v:rect style="width:0;height:1.5pt" o:hralign="center" o:hrstd="t" o:hr="t"/>
        </w:pict>
      </w:r>
    </w:p>
    <w:bookmarkEnd w:id="64"/>
    <w:bookmarkEnd w:id="65"/>
    <w:bookmarkStart w:id="78" w:name="ebm-ensemble-extension"/>
    <w:p>
      <w:pPr>
        <w:pStyle w:val="Heading2"/>
      </w:pPr>
      <w:r>
        <w:t xml:space="preserve">4.10 EBM Ensemble Extension</w:t>
      </w:r>
    </w:p>
    <w:bookmarkStart w:id="69" w:name="design-and-primary-results"/>
    <w:p>
      <w:pPr>
        <w:pStyle w:val="Heading3"/>
      </w:pPr>
      <w:r>
        <w:t xml:space="preserve">4.10.1 Design and Primary Results</w:t>
      </w:r>
    </w:p>
    <w:p>
      <w:pPr>
        <w:pStyle w:val="FirstParagraph"/>
      </w:pPr>
      <w:r>
        <w:t xml:space="preserve">Following Holopainen and Sarlin (2017), an EBM-based ensemble is constructed as E1-EBM = 0.5 · P(M2-matched) + 0.5 · P(M2.5-matched) using equal weights throughout. Figure 4.9 presents the ROC and PR curves for all ensemble variants.</w:t>
      </w:r>
    </w:p>
    <w:p>
      <w:pPr>
        <w:pStyle w:val="CaptionedFigure"/>
      </w:pPr>
      <w:r>
        <w:drawing>
          <wp:inline>
            <wp:extent cx="5727700" cy="2688079"/>
            <wp:effectExtent b="0" l="0" r="0" t="0"/>
            <wp:docPr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title="" id="67" name="Picture"/>
            <a:graphic>
              <a:graphicData uri="http://schemas.openxmlformats.org/drawingml/2006/picture">
                <pic:pic>
                  <pic:nvPicPr>
                    <pic:cNvPr descr="fig9.png" id="68" name="Picture"/>
                    <pic:cNvPicPr>
                      <a:picLocks noChangeArrowheads="1" noChangeAspect="1"/>
                    </pic:cNvPicPr>
                  </pic:nvPicPr>
                  <pic:blipFill>
                    <a:blip r:embed="rId22"/>
                    <a:stretch>
                      <a:fillRect/>
                    </a:stretch>
                  </pic:blipFill>
                  <pic:spPr bwMode="auto">
                    <a:xfrm>
                      <a:off x="0" y="0"/>
                      <a:ext cx="5727700" cy="2688079"/>
                    </a:xfrm>
                    <a:prstGeom prst="rect">
                      <a:avLst/>
                    </a:prstGeom>
                    <a:noFill/>
                    <a:ln w="9525">
                      <a:noFill/>
                      <a:headEnd/>
                      <a:tailEnd/>
                    </a:ln>
                  </pic:spPr>
                </pic:pic>
              </a:graphicData>
            </a:graphic>
          </wp:inline>
        </w:drawing>
      </w:r>
    </w:p>
    <w:p>
      <w:pPr>
        <w:pStyle w:val="ImageCaption"/>
      </w:pPr>
      <w:r>
        <w:t xml:space="preserve">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pPr>
        <w:pStyle w:val="BodyText"/>
      </w:pPr>
      <w:r>
        <w:t xml:space="preserve">Table 4.6 presents the primary comparison. Metrics are computed on the inner-merged OOS sample (215 observations, 11 crisis events, base rate 5.12 per cent); absolute AUPRC levels are not directly comparable to Tables 4.1–4.2 due to the different crisis event count.</w:t>
      </w:r>
    </w:p>
    <w:p>
      <w:pPr>
        <w:pStyle w:val="BodyText"/>
      </w:pPr>
      <w:r>
        <w:rPr>
          <w:bCs/>
          <w:b/>
        </w:rPr>
        <w:t xml:space="preserve">Table 4.6. EBM ensemble results — Stage 2 (inner-merged OOS, 11 crisis events)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[0.894, 0.971]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[0.924, 0.986]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[0.869,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E1-EBM: avg(M2-matched,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[0.918, 0.982]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0.433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0.056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E1-Orig: avg(M2m, M3) [M4 ref]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0.057</w:t>
            </w:r>
          </w:p>
        </w:tc>
      </w:tr>
    </w:tbl>
    <w:p>
      <w:pPr>
        <w:pStyle w:val="BodyText"/>
      </w:pPr>
      <w:r>
        <w:rPr>
          <w:iCs/>
          <w:i/>
        </w:rPr>
        <w:t xml:space="preserve">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pPr>
        <w:pStyle w:val="BodyText"/>
      </w:pPr>
      <w:r>
        <w:t xml:space="preserve">E1-EBM achieves AUROC 0.955 and Brier Score 0.056 — the best calibration of any configuration in Table 4.6 — but AUPRC falls to 0.433 from EBM’s standalone 0.532, as averaging with M2-matched (AUPRC 0.343) pulls the combined result below EBM’s individual level.</w:t>
      </w:r>
    </w:p>
    <w:bookmarkEnd w:id="69"/>
    <w:bookmarkStart w:id="73" w:name="disagreement-analysis"/>
    <w:p>
      <w:pPr>
        <w:pStyle w:val="Heading3"/>
      </w:pPr>
      <w:r>
        <w:t xml:space="preserve">4.10.2 Disagreement Analysis</w:t>
      </w:r>
    </w:p>
    <w:p>
      <w:pPr>
        <w:pStyle w:val="FirstParagraph"/>
      </w:pPr>
      <w:r>
        <w:t xml:space="preserve">Figure 4.10 presents the model disagreement analysis for all three model pairs.</w:t>
      </w:r>
    </w:p>
    <w:p>
      <w:pPr>
        <w:pStyle w:val="CaptionedFigure"/>
      </w:pPr>
      <w:r>
        <w:drawing>
          <wp:inline>
            <wp:extent cx="5727700" cy="1581306"/>
            <wp:effectExtent b="0" l="0" r="0" t="0"/>
            <wp:docPr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title="" id="71" name="Picture"/>
            <a:graphic>
              <a:graphicData uri="http://schemas.openxmlformats.org/drawingml/2006/picture">
                <pic:pic>
                  <pic:nvPicPr>
                    <pic:cNvPr descr="fig10.png" id="72" name="Picture"/>
                    <pic:cNvPicPr>
                      <a:picLocks noChangeArrowheads="1" noChangeAspect="1"/>
                    </pic:cNvPicPr>
                  </pic:nvPicPr>
                  <pic:blipFill>
                    <a:blip r:embed="rId13"/>
                    <a:stretch>
                      <a:fillRect/>
                    </a:stretch>
                  </pic:blipFill>
                  <pic:spPr bwMode="auto">
                    <a:xfrm>
                      <a:off x="0" y="0"/>
                      <a:ext cx="5727700" cy="1581306"/>
                    </a:xfrm>
                    <a:prstGeom prst="rect">
                      <a:avLst/>
                    </a:prstGeom>
                    <a:noFill/>
                    <a:ln w="9525">
                      <a:noFill/>
                      <a:headEnd/>
                      <a:tailEnd/>
                    </a:ln>
                  </pic:spPr>
                </pic:pic>
              </a:graphicData>
            </a:graphic>
          </wp:inline>
        </w:drawing>
      </w:r>
    </w:p>
    <w:p>
      <w:pPr>
        <w:pStyle w:val="ImageCaption"/>
      </w:pPr>
      <w:r>
        <w:t xml:space="preserve">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w:t>
      </w:r>
    </w:p>
    <w:p>
      <w:pPr>
        <w:pStyle w:val="BodyText"/>
      </w:pPr>
      <w:r>
        <w:t xml:space="preserve">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bookmarkEnd w:id="73"/>
    <w:bookmarkStart w:id="77" w:name="cross-sectional-ranking"/>
    <w:p>
      <w:pPr>
        <w:pStyle w:val="Heading3"/>
      </w:pPr>
      <w:r>
        <w:t xml:space="preserve">4.10.3 2007 Cross-Sectional Ranking</w:t>
      </w:r>
    </w:p>
    <w:p>
      <w:pPr>
        <w:pStyle w:val="FirstParagraph"/>
      </w:pPr>
      <w:r>
        <w:t xml:space="preserve">Figure 4.11 presents the E1-EBM 2007 country ranking by crisis type.</w:t>
      </w:r>
    </w:p>
    <w:p>
      <w:pPr>
        <w:pStyle w:val="CaptionedFigure"/>
      </w:pPr>
      <w:r>
        <w:drawing>
          <wp:inline>
            <wp:extent cx="5727700" cy="2009092"/>
            <wp:effectExtent b="0" l="0" r="0" t="0"/>
            <wp:docPr descr="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 title="" id="75" name="Picture"/>
            <a:graphic>
              <a:graphicData uri="http://schemas.openxmlformats.org/drawingml/2006/picture">
                <pic:pic>
                  <pic:nvPicPr>
                    <pic:cNvPr descr="fig11.png" id="76" name="Picture"/>
                    <pic:cNvPicPr>
                      <a:picLocks noChangeArrowheads="1" noChangeAspect="1"/>
                    </pic:cNvPicPr>
                  </pic:nvPicPr>
                  <pic:blipFill>
                    <a:blip r:embed="rId14"/>
                    <a:stretch>
                      <a:fillRect/>
                    </a:stretch>
                  </pic:blipFill>
                  <pic:spPr bwMode="auto">
                    <a:xfrm>
                      <a:off x="0" y="0"/>
                      <a:ext cx="5727700" cy="2009092"/>
                    </a:xfrm>
                    <a:prstGeom prst="rect">
                      <a:avLst/>
                    </a:prstGeom>
                    <a:noFill/>
                    <a:ln w="9525">
                      <a:noFill/>
                      <a:headEnd/>
                      <a:tailEnd/>
                    </a:ln>
                  </pic:spPr>
                </pic:pic>
              </a:graphicData>
            </a:graphic>
          </wp:inline>
        </w:drawing>
      </w:r>
    </w:p>
    <w:p>
      <w:pPr>
        <w:pStyle w:val="ImageCaption"/>
      </w:pPr>
      <w:r>
        <w:t xml:space="preserve">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w:t>
      </w:r>
    </w:p>
    <w:p>
      <w:pPr>
        <w:pStyle w:val="BodyText"/>
      </w:pPr>
      <w:r>
        <w:t xml:space="preserve">Countries experiencing fundamental credit-boom crises receive a mean E1-EBM probability of 0.695, compared with 0.298 for contagion-driven cases and 0.417 for countries with no systemic event. The model correctly discriminates crisis mechanism within the 2007 cross-section: macro precursor-based models assign higher probabilities to crises driven by domestic credit dynamics than to those driven by cross-border contagion or exogenous shocks. Two notable exceptions — Sweden (high probability, no crisis) and the United Kingdom (low probability, fundamental crisis) — illustrate the scope conditions of the macro precursor approach rather than model failure in a general sense. 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r>
        <w:pict>
          <v:rect style="width:0;height:1.5pt" o:hralign="center" o:hrstd="t" o:hr="t"/>
        </w:pict>
      </w:r>
    </w:p>
    <w:bookmarkEnd w:id="77"/>
    <w:bookmarkEnd w:id="78"/>
    <w:bookmarkStart w:id="79" w:name="hypothesis-assessment"/>
    <w:p>
      <w:pPr>
        <w:pStyle w:val="Heading2"/>
      </w:pPr>
      <w:r>
        <w:t xml:space="preserve">4.11 Hypothesis Assessment</w:t>
      </w:r>
    </w:p>
    <w:p>
      <w:pPr>
        <w:pStyle w:val="FirstParagraph"/>
      </w:pPr>
      <w:r>
        <w:rPr>
          <w:bCs/>
          <w:b/>
        </w:rPr>
        <w:t xml:space="preserve">Table 4.7. Hypothesis assessment under the augmented two-stage pipeline with EBM extension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Hypothesis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Stated prediction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Key evidence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Verdict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H1: Discrimination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achieves higher AUROC/AUPRC than macro-only benchmark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Stage 2: M3 AUPRC 0.411 &gt; M2-matched 0.343 within GFC cross-section. M2.5 EBM appears to achieve AUPRC 0.532 without sentiment, indicating algorithm non-linearity drives Stage 2 performance differences more than the sentiment signal. CI [−0.130, +0.312] spans zero.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directionally on AUPRC within a single-episode evaluation. EBM result indicates discrimination gains are driven by algorithm choice more than sentiment signal. Not statistically confirmed.</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H2: Feature relevance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At least one FinBERT feature ranks top-5 by SHAP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 sentiment features in top 20; SHAP share 26.2%. EBM native importance corroborates macro dominance independently. Agreement between methods reflects shared sample-specific correlation structure, not causal evidence. All statistical tests non-significant.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Not supported in strict formulation. Weakly and conditionally observed. Two independent attribution methods converge on macro dominance within the GFC sample.</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H3: Interpretability trade-off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Quantifiable accuracy-interpretability trade-off across M1–M2–M3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and refined. Trade-off is not binary within the non-linear model class under expanding-window evaluation. This refinement does not alter the central conclusion: neither interpretability nor algorithm choice resolves the regime instability problem.</w:t>
            </w:r>
          </w:p>
        </w:tc>
      </w:tr>
    </w:tbl>
    <w:p>
      <w:pPr>
        <w:pStyle w:val="BodyText"/>
      </w:pPr>
      <w:r>
        <w:rPr>
          <w:iCs/>
          <w:i/>
        </w:rPr>
        <w:t xml:space="preserve">Table 4.7. Hypothesis assessment under the augmented two-stage pipeline (NB01A–NB09B). AUPRC at H2 is the primary metric. All Stage 2 verdicts reflect cross-sectional discrimination within the GFC episode only. Final revision: April 2026.</w:t>
      </w:r>
    </w:p>
    <w:p>
      <w:pPr>
        <w:pStyle w:val="BodyText"/>
      </w:pPr>
      <w:r>
        <w:t xml:space="preserve">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pPr>
        <w:pStyle w:val="BodyText"/>
      </w:pPr>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bookmarkEnd w:id="79"/>
    <w:bookmarkEnd w:id="80"/>
    <w:p>
      <w:r>
        <w:br w:type="page"/>
      </w:r>
    </w:p>
    <w:p>
      <w:r>
        <w:br w:type="page"/>
      </w:r>
    </w:p>
    <w:bookmarkStart w:id="27"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in Chapter 4, situates them in the EWS literature, and draws implications for research design and practice. Five interlocking findings define the contribution of the augmented analysis.</w:t>
      </w:r>
    </w:p>
    <w:p>
      <w:pPr>
        <w:pStyle w:val="BodyText"/>
      </w:pPr>
      <w:r>
        <w:t xml:space="preserve">The first is that extending macro training history does not resolve the EWS generalisation problem. M2 achieves AUROC 0.481 in Split B strict temporal validation — below random — indicating systematic failure under prospective evaluation. Neither fifteen additional years of crisis history nor greater algorithmic sophistication closes the gap. The second finding concerns sentiment augmentation: within the Stage 2 cross-sectional evaluation, M3 achieves AUPRC 0.411 against M2-matched’s 0.343, a directional gain of 6.8 percentage points, but the bootstrap 95% CI spans zero, all auxiliary statistical tests are non-significant, and EBM achieves higher AUPRC (0.532) without any sentiment features. The third finding is the most theoretically significant: EBM’s shape functions — estimated on disjoint sub-periods — are qualitatively distinct across regimes at every lag horizon, making the learned feature-risk instability directly visible without post-hoc approximation. The fourth is that EBM collapses more severely than RF under prospective evaluation (AUROC 0.333 versus 0.481), demonstrating that higher representational flexibility exacerbates regime-specific overfitting even in natively interpretable models. The fifth is that E1-EBM achieves the best ensemble calibration (Brier 0.056), with disagreement 2.8 times higher at crisis than non-crisis observations, consistent with Holopainen and Sarlin (2017).</w:t>
      </w:r>
    </w:p>
    <w:p>
      <w:pPr>
        <w:pStyle w:val="BodyText"/>
      </w:pPr>
      <w:r>
        <w:t xml:space="preserve">Taken together, these findings demonstrate that the failure of early-warning systems is not primarily a function of model choice, feature design, or data availability, but of a deeper structural instability in the mapping between predictors and crisis outcomes across regimes.</w:t>
      </w:r>
    </w:p>
    <w:p>
      <w:r>
        <w:pict>
          <v:rect style="width:0;height:1.5pt" o:hralign="center" o:hrstd="t" o:hr="t"/>
        </w:pict>
      </w:r>
    </w:p>
    <w:bookmarkEnd w:id="20"/>
    <w:bookmarkStart w:id="21" w:name="X7c163bc05252841945ef711e90f86a34b8f2445"/>
    <w:p>
      <w:pPr>
        <w:pStyle w:val="Heading2"/>
      </w:pPr>
      <w:r>
        <w:t xml:space="preserve">5.2 What EBM Reveals About the Failure Mechanism</w:t>
      </w:r>
    </w:p>
    <w:p>
      <w:pPr>
        <w:pStyle w:val="FirstParagraph"/>
      </w:pPr>
      <w:r>
        <w:t xml:space="preserve">Because EBM’s shape functions are the model itself rather than post-hoc approximations, the instability observed when fitting on disjoint sub-periods must reflect a property of the data-generating process. For term spread at lag three — the highest-ranked feature (native importance 1.717) — the pre-GFC and GFC-inclusive shape functions are structurally distinct and cross: the same feature value is associated with reduced risk under one regime-specific model and increased risk under the other. For credit features, the pre-GFC model assigns near-zero contributions while the GFC-inclusive model assigns increasingly negative contributions at high credit values.</w:t>
      </w:r>
    </w:p>
    <w:p>
      <w:pPr>
        <w:pStyle w:val="BodyText"/>
      </w:pPr>
      <w:r>
        <w:t xml:space="preserve">This instability implies that the mapping from macro-financial indicators to crisis risk is not invariant across time, violating the core EWS assumption. This places crisis prediction within the broader class of non-stationary learning problems, where models trained under one data distribution cannot be expected to generalise when the underlying process evolves. Early-warning systems are not merely empirically limited — they are conceptually misaligned with structural break environments where the data-generating process evolves faster than any static model can adapt.</w:t>
      </w:r>
    </w:p>
    <w:p>
      <w:pPr>
        <w:pStyle w:val="BodyText"/>
      </w:pPr>
      <w:r>
        <w:t xml:space="preserve">The convergence of SHAP attribution (M3) and EBM native importance on term_spread_lag3_dm as the dominant signal reflects shared sample-specific correlation structure rather than causal invariance. The Granger confirmation (5 of 14 countries significant at lag three) and the logistic sign reversal (lag1 β = −0.646, p = 0.004; lag3 β = +0.630, p = 0.003) provide independent parametric support for a non-monotonic lag structure that EBM’s shape functions make directly visible.</w:t>
      </w:r>
    </w:p>
    <w:p>
      <w:r>
        <w:pict>
          <v:rect style="width:0;height:1.5pt" o:hralign="center" o:hrstd="t" o:hr="t"/>
        </w:pict>
      </w:r>
    </w:p>
    <w:bookmarkEnd w:id="21"/>
    <w:bookmarkStart w:id="22" w:name="Xfc6c6b5af3d282369c3ece8ab6805ca7328a0b8"/>
    <w:p>
      <w:pPr>
        <w:pStyle w:val="Heading2"/>
      </w:pPr>
      <w:r>
        <w:t xml:space="preserve">5.3 Crisis Heterogeneity and Ensemble Results</w:t>
      </w:r>
    </w:p>
    <w:p>
      <w:pPr>
        <w:pStyle w:val="FirstParagraph"/>
      </w:pPr>
      <w:r>
        <w:t xml:space="preserve">The 2007 cross-sectional ranking under E1-EBM demonstrates mechanism-specific discrimination: fundamental crisis countries receive mean probability 0.695, contagion-driven cases 0.298, and no-crisis countries 0.417. Macro precursor features carry more signal for domestically generated credit-boom dynamics than for externally transmitted stress — explaining the false negative for the United Kingdom (GBR probability 0.171; funding-channel stress not captured by domestic credit features) and the false positive for Sweden (probability 0.783; genuine macro expansion without systemic crisis due to institutional buffers).</w:t>
      </w:r>
    </w:p>
    <w:p>
      <w:pPr>
        <w:pStyle w:val="BodyText"/>
      </w:pPr>
      <w:r>
        <w:t xml:space="preserve">The E1-EBM ensemble achieves Brier Score 0.056 — best of any Stage 2 configuration — while AUPRC falls to 0.433 from EBM’s standalone 0.532, as averaging with M2-matched (AUPRC 0.343) pulls the combined result down. The ensemble gain is concentrated in calibration. All results are subject to the single-episode evaluation constraint of Section 4.1.</w:t>
      </w:r>
    </w:p>
    <w:p>
      <w:r>
        <w:pict>
          <v:rect style="width:0;height:1.5pt" o:hralign="center" o:hrstd="t" o:hr="t"/>
        </w:pict>
      </w:r>
    </w:p>
    <w:bookmarkEnd w:id="22"/>
    <w:bookmarkStart w:id="23" w:name="implications-for-ews-design"/>
    <w:p>
      <w:pPr>
        <w:pStyle w:val="Heading2"/>
      </w:pPr>
      <w:r>
        <w:t xml:space="preserve">5.4 Implications for EWS Design</w:t>
      </w:r>
    </w:p>
    <w:p>
      <w:pPr>
        <w:pStyle w:val="FirstParagraph"/>
      </w:pPr>
      <w:r>
        <w:t xml:space="preserve">Four practical implications follow. First, prospective validation across crisis regimes must be a mandatory evaluation step — expanding-window metrics substantially overstate forward-looking performance when the evaluation dataset is dominated by a single episode. Second, interpretable non-linear models such as EBM should be adopted for EWS applications not primarily for their in-sample metrics but for their diagnostic capability: shape functions allow practitioners to detect when the model’s learned mapping no longer reflects the current regime. Third, ensemble averaging should be preferred over single-model outputs for operational probability estimates, given its consistent Brier Score advantage. Fourth, sentiment augmentation requires multi-episode validation before operational deployment; the current signal is unstable across specifications and not statistically confirmed.</w:t>
      </w:r>
    </w:p>
    <w:p>
      <w:r>
        <w:pict>
          <v:rect style="width:0;height:1.5pt" o:hralign="center" o:hrstd="t" o:hr="t"/>
        </w:pict>
      </w:r>
    </w:p>
    <w:bookmarkEnd w:id="23"/>
    <w:bookmarkStart w:id="24" w:name="limitations"/>
    <w:p>
      <w:pPr>
        <w:pStyle w:val="Heading2"/>
      </w:pPr>
      <w:r>
        <w:t xml:space="preserve">5.5 Limitations</w:t>
      </w:r>
    </w:p>
    <w:p>
      <w:pPr>
        <w:pStyle w:val="FirstParagraph"/>
      </w:pPr>
      <w:r>
        <w:t xml:space="preserve">The dominant constraint is the single-episode evaluation structure: Stage 2 rests on crisis events in a single year — 2007 — across 18 countries, constituting cross-sectional country ranking rather than temporal validation. EBM’s stronger prospective collapse relative to RF confirms that higher representational flexibility can exacerbate regime-specific overfitting; interpretable models should be adopted for transparency value, not prospective superiority. The sentiment corpus has uneven coverage across countries, and bootstrap confidence intervals are indicative only due to panel dependence.</w:t>
      </w:r>
    </w:p>
    <w:p>
      <w:r>
        <w:pict>
          <v:rect style="width:0;height:1.5pt" o:hralign="center" o:hrstd="t" o:hr="t"/>
        </w:pict>
      </w:r>
    </w:p>
    <w:bookmarkEnd w:id="24"/>
    <w:bookmarkStart w:id="25" w:name="future-research"/>
    <w:p>
      <w:pPr>
        <w:pStyle w:val="Heading2"/>
      </w:pPr>
      <w:r>
        <w:t xml:space="preserve">5.6 Future Research</w:t>
      </w:r>
    </w:p>
    <w:p>
      <w:pPr>
        <w:pStyle w:val="FirstParagraph"/>
      </w:pPr>
      <w:r>
        <w:t xml:space="preserve">Three extensions, ranked by feasibility: (1)</w:t>
      </w:r>
      <w:r>
        <w:t xml:space="preserve"> </w:t>
      </w:r>
      <w:r>
        <w:rPr>
          <w:bCs/>
          <w:b/>
        </w:rPr>
        <w:t xml:space="preserve">Most feasible</w:t>
      </w:r>
      <w:r>
        <w:t xml:space="preserve"> </w:t>
      </w:r>
      <w:r>
        <w:t xml:space="preserve">— topic-specific text features from the existing BIS corpus following Ho, Moench and Steeley (2022) and Loughran and McDonald (2011), replacing aggregate sentiment polarity with prevalence measures for credit risk discussion. (2)</w:t>
      </w:r>
      <w:r>
        <w:t xml:space="preserve"> </w:t>
      </w:r>
      <w:r>
        <w:rPr>
          <w:bCs/>
          <w:b/>
        </w:rPr>
        <w:t xml:space="preserve">Most impactful</w:t>
      </w:r>
      <w:r>
        <w:t xml:space="preserve"> </w:t>
      </w:r>
      <w:r>
        <w:t xml:space="preserve">— regime-conditional modelling using EBM shape functions as inputs to a clustering algorithm to identify distinct crisis regimes, directly addressing the non-stationarity finding. (3)</w:t>
      </w:r>
      <w:r>
        <w:t xml:space="preserve"> </w:t>
      </w:r>
      <w:r>
        <w:rPr>
          <w:bCs/>
          <w:b/>
        </w:rPr>
        <w:t xml:space="preserve">Most ambitious</w:t>
      </w:r>
      <w:r>
        <w:t xml:space="preserve"> </w:t>
      </w:r>
      <w:r>
        <w:t xml:space="preserve">— network contagion features from BIS consolidated banking statistics (Cetorelli and Goldberg, 2011), allowing the model to distinguish domestic stress from externally transmitted risk.</w:t>
      </w:r>
    </w:p>
    <w:p>
      <w:r>
        <w:pict>
          <v:rect style="width:0;height:1.5pt" o:hralign="center" o:hrstd="t" o:hr="t"/>
        </w:pict>
      </w:r>
    </w:p>
    <w:bookmarkEnd w:id="25"/>
    <w:bookmarkStart w:id="26" w:name="conclusion"/>
    <w:p>
      <w:pPr>
        <w:pStyle w:val="Heading2"/>
      </w:pPr>
      <w:r>
        <w:t xml:space="preserve">5.7 Conclusion</w:t>
      </w:r>
    </w:p>
    <w:p>
      <w:pPr>
        <w:pStyle w:val="FirstParagraph"/>
      </w:pPr>
      <w:r>
        <w:t xml:space="preserve">The augmented analysis advances the original study on four dimensions: empirically demonstrating that additional training data does not resolve prospective failure; methodologically exposing expanding-window evaluation bias; using EBM to make the regime-specific misspecification directly visible; and theoretically showing that the failure is a structural property of non-stationarity, not model opacity. The failure of machine learning-based early-warning systems reflects a broader limitation of predictive modelling under distribution shift, where models trained on historical data cannot reliably extrapolate to future states drawn from a different underlying process. Progress requires not better models trained on the same framework, but a reconceptualisation of the EWS problem that incorporates regime-awareness as a first-class design principle.</w:t>
      </w:r>
    </w:p>
    <w:p>
      <w:r>
        <w:pict>
          <v:rect style="width:0;height:1.5pt" o:hralign="center" o:hrstd="t" o:hr="t"/>
        </w:pict>
      </w:r>
    </w:p>
    <w:p>
      <w:pPr>
        <w:pStyle w:val="FirstParagraph"/>
      </w:pPr>
      <w:r>
        <w:rPr>
          <w:iCs/>
          <w:i/>
        </w:rPr>
        <w:t xml:space="preserve">Chapter 5 revision: April 2026</w:t>
      </w:r>
    </w:p>
    <w:bookmarkEnd w:id="26"/>
    <w:bookmarkEnd w:id="27"/>
    <w:p>
      <w:r>
        <w:br w:type="page"/>
      </w:r>
    </w:p>
    <w:bookmarkStart w:id="28"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
    <w:p>
      <w:pPr>
        <w:pStyle w:val="Heading2"/>
      </w:pPr>
      <w:r>
        <w:t xml:space="preserve">6.1 Summary</w:t>
      </w:r>
    </w:p>
    <w:p>
      <w:pPr>
        <w:pStyle w:val="FirstParagraph"/>
      </w:pPr>
      <w:r>
        <w:t xml:space="preserve">This dissertation investigated the conditions under which ML-based early-warning systems for banking crises achieve genuinely prospective predictive performance, and characterised the structural conditions under which their generalisation fails. The central finding is that the failure is structural rather than technical: it reflects non-stationarity in the data-generating process, not a correctable consequence of model choice, feature design, or data availability.</w:t>
      </w:r>
    </w:p>
    <w:p>
      <w:r>
        <w:pict>
          <v:rect style="width:0;height:1.5pt" o:hralign="center" o:hrstd="t" o:hr="t"/>
        </w:pict>
      </w:r>
    </w:p>
    <w:bookmarkEnd w:id="20"/>
    <w:bookmarkStart w:id="21" w:name="principal-conclusions"/>
    <w:p>
      <w:pPr>
        <w:pStyle w:val="Heading2"/>
      </w:pPr>
      <w:r>
        <w:t xml:space="preserve">6.2 Principal Conclusions</w:t>
      </w:r>
    </w:p>
    <w:p>
      <w:pPr>
        <w:pStyle w:val="FirstParagraph"/>
      </w:pPr>
      <w:r>
        <w:rPr>
          <w:bCs/>
          <w:b/>
        </w:rPr>
        <w:t xml:space="preserve">Conclusion 1: Extended training history does not resolve the generalisation problem.</w:t>
      </w:r>
      <w:r>
        <w:t xml:space="preserve"> </w:t>
      </w:r>
      <w:r>
        <w:t xml:space="preserve">M2 (Random Forest) trained on the 1989–2020 panel achieves AUROC 0.481 in Split B strict temporal validation — below random. Adding fifteen years of diverse crisis history does not produce a model that generalises to the GFC. The regime discontinuity between pre-GFC crisis types and GFC credit-cycle dynamics is too large for aggregate macro features to bridge.</w:t>
      </w:r>
    </w:p>
    <w:p>
      <w:pPr>
        <w:pStyle w:val="BodyText"/>
      </w:pPr>
      <w:r>
        <w:rPr>
          <w:bCs/>
          <w:b/>
        </w:rPr>
        <w:t xml:space="preserve">Conclusion 2: The interpretability-accuracy trade-off is not binary within the non-linear class.</w:t>
      </w:r>
      <w:r>
        <w:t xml:space="preserve"> </w:t>
      </w:r>
      <w:r>
        <w:t xml:space="preserve">Within the expanding-window evaluation, EBM achieves higher point estimates than both M2 (Stage 1 AUROC 0.753 vs 0.636) and M3 (Stage 2 AUPRC 0.532 vs 0.411) while providing natively interpretable shape functions. However, EBM’s prospective collapse (AUROC 0.333) is more severe than RF’s (0.481). Greater representational flexibility fits the training regime more precisely, producing worse prospective failure when the regime changes. The trade-off must be understood in regime-conditional terms.</w:t>
      </w:r>
    </w:p>
    <w:p>
      <w:pPr>
        <w:pStyle w:val="BodyText"/>
      </w:pPr>
      <w:r>
        <w:rPr>
          <w:bCs/>
          <w:b/>
        </w:rPr>
        <w:t xml:space="preserve">Conclusion 3: EBM shape functions make the failure mechanism directly visible.</w:t>
      </w:r>
      <w:r>
        <w:t xml:space="preserve"> </w:t>
      </w:r>
      <w:r>
        <w:t xml:space="preserve">The pre-GFC and GFC-inclusive shape functions for term_spread_lag3 — the highest-ranked feature — are qualitatively distinct rather than scaled versions of each other, with the two curves crossing. This is a direct observation of data-generating process non-stationarity, not an artefact of an attribution tool. EWS are not merely empirically limited but conceptually misaligned with structural break environments where the DGP evolves faster than any static model can adapt.</w:t>
      </w:r>
    </w:p>
    <w:p>
      <w:pPr>
        <w:pStyle w:val="BodyText"/>
      </w:pPr>
      <w:r>
        <w:rPr>
          <w:bCs/>
          <w:b/>
        </w:rPr>
        <w:t xml:space="preserve">Conclusion 4: FinBERT sentiment contributes a directional but unstable signal.</w:t>
      </w:r>
      <w:r>
        <w:t xml:space="preserve"> </w:t>
      </w:r>
      <w:r>
        <w:t xml:space="preserve">M3’s AUPRC gain over M2-matched (6.8 percentage points) has a confidence interval spanning zero, is not confirmed by statistical tests, and is better attributed to algorithm non-linearity than a stable sentiment channel. SHAP and EBM independently confirm macro dominance (73.8% of attribution).</w:t>
      </w:r>
    </w:p>
    <w:p>
      <w:pPr>
        <w:pStyle w:val="BodyText"/>
      </w:pPr>
      <w:r>
        <w:rPr>
          <w:bCs/>
          <w:b/>
        </w:rPr>
        <w:t xml:space="preserve">Conclusion 5: Ensemble averaging provides calibration benefits.</w:t>
      </w:r>
      <w:r>
        <w:t xml:space="preserve"> </w:t>
      </w:r>
      <w:r>
        <w:t xml:space="preserve">E1-EBM achieves Brier Score 0.056 — best of any Stage 2 configuration — with disagreement 2.8× higher at crisis than non-crisis observations. The gain is concentrated in calibration rather than AUPRC, as averaging pulls the combined precision-recall below EBM’s individual level.</w:t>
      </w:r>
    </w:p>
    <w:p>
      <w:r>
        <w:pict>
          <v:rect style="width:0;height:1.5pt" o:hralign="center" o:hrstd="t" o:hr="t"/>
        </w:pict>
      </w:r>
    </w:p>
    <w:bookmarkEnd w:id="21"/>
    <w:bookmarkStart w:id="22" w:name="practical-recommendations"/>
    <w:p>
      <w:pPr>
        <w:pStyle w:val="Heading2"/>
      </w:pPr>
      <w:r>
        <w:t xml:space="preserve">6.3 Practical Recommendations</w:t>
      </w:r>
    </w:p>
    <w:p>
      <w:pPr>
        <w:pStyle w:val="FirstParagraph"/>
      </w:pPr>
      <w:r>
        <w:rPr>
          <w:bCs/>
          <w:b/>
        </w:rPr>
        <w:t xml:space="preserve">R1 — Mandatory prospective validation.</w:t>
      </w:r>
      <w:r>
        <w:t xml:space="preserve"> </w:t>
      </w:r>
      <w:r>
        <w:t xml:space="preserve">Expanding-window metrics must be accompanied by strict temporal validation before any EWS model is characterised as predictively useful. Models that pass the former but fail the latter should not be deployed.</w:t>
      </w:r>
    </w:p>
    <w:p>
      <w:pPr>
        <w:pStyle w:val="BodyText"/>
      </w:pPr>
      <w:r>
        <w:rPr>
          <w:bCs/>
          <w:b/>
        </w:rPr>
        <w:t xml:space="preserve">R2 — EBM as a regime stability diagnostic.</w:t>
      </w:r>
      <w:r>
        <w:t xml:space="preserve"> </w:t>
      </w:r>
      <w:r>
        <w:t xml:space="preserve">Interpretable models should be maintained alongside operational black-box models not for their in-sample metrics but for their diagnostic capability: shape functions reveal when the model’s learned mapping no longer applies to the current regime — information with direct regulatory value.</w:t>
      </w:r>
    </w:p>
    <w:p>
      <w:pPr>
        <w:pStyle w:val="BodyText"/>
      </w:pPr>
      <w:r>
        <w:rPr>
          <w:bCs/>
          <w:b/>
        </w:rPr>
        <w:t xml:space="preserve">R3 — Ensemble averaging for operational outputs.</w:t>
      </w:r>
      <w:r>
        <w:t xml:space="preserve"> </w:t>
      </w:r>
      <w:r>
        <w:t xml:space="preserve">Equal-weighted ensemble averaging consistently produces better-calibrated probability estimates (lower Brier Score) than any single component model and should be preferred as the operational output mechanism.</w:t>
      </w:r>
    </w:p>
    <w:p>
      <w:pPr>
        <w:pStyle w:val="BodyText"/>
      </w:pPr>
      <w:r>
        <w:rPr>
          <w:bCs/>
          <w:b/>
        </w:rPr>
        <w:t xml:space="preserve">R4 — Multi-episode validation before sentiment deployment.</w:t>
      </w:r>
      <w:r>
        <w:t xml:space="preserve"> </w:t>
      </w:r>
      <w:r>
        <w:t xml:space="preserve">The FinBERT sentiment channel requires validation across at least two structurally distinct crisis episodes and confirmation that gains survive algorithm-controlled comparisons before operational deployment.</w:t>
      </w:r>
    </w:p>
    <w:p>
      <w:r>
        <w:pict>
          <v:rect style="width:0;height:1.5pt" o:hralign="center" o:hrstd="t" o:hr="t"/>
        </w:pict>
      </w:r>
    </w:p>
    <w:bookmarkEnd w:id="22"/>
    <w:bookmarkStart w:id="25" w:name="msc-ai-contribution"/>
    <w:p>
      <w:pPr>
        <w:pStyle w:val="Heading2"/>
      </w:pPr>
      <w:r>
        <w:t xml:space="preserve">6.4 MSc AI Contribution</w:t>
      </w:r>
    </w:p>
    <w:p>
      <w:pPr>
        <w:pStyle w:val="FirstParagraph"/>
      </w:pPr>
      <w:r>
        <w:t xml:space="preserve">This dissertation satisfies the MSc in Artificial Intelligence requirements through: implementation and critical evaluation of three ML model classes (XGBoost, Random Forest, EBM) and a transformer NLP pipeline (FinBERT); rigorous evaluation methodology including expanding-window CV, bootstrap CIs, Granger causality, SHAP, and EBM shape function analysis; and a theoretical contribution connecting the EWS problem to the ML literature on distribution shift and non-stationary learning. The research uses exclusively publicly available secondary data (ethics clearance: low risk). Code is available at</w:t>
      </w:r>
      <w:r>
        <w:t xml:space="preserve"> </w:t>
      </w:r>
      <w:hyperlink r:id="rId10">
        <w:r>
          <w:rPr>
            <w:rStyle w:val="Hyperlink"/>
          </w:rPr>
          <w:t xml:space="preserve">https://github.com/spike2025-art/eportfolio-uoe/tree/main</w:t>
        </w:r>
      </w:hyperlink>
      <w:r>
        <w:t xml:space="preserv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5"/>
    <w:bookmarkStart w:id="26" w:name="future-directions"/>
    <w:p>
      <w:pPr>
        <w:pStyle w:val="Heading2"/>
      </w:pPr>
      <w:r>
        <w:t xml:space="preserve">6.5 Future Directions</w:t>
      </w:r>
    </w:p>
    <w:p>
      <w:pPr>
        <w:pStyle w:val="FirstParagraph"/>
      </w:pPr>
      <w:r>
        <w:t xml:space="preserve">Three extensions, ranked: (1)</w:t>
      </w:r>
      <w:r>
        <w:t xml:space="preserve"> </w:t>
      </w:r>
      <w:r>
        <w:rPr>
          <w:bCs/>
          <w:b/>
        </w:rPr>
        <w:t xml:space="preserve">Most feasible</w:t>
      </w:r>
      <w:r>
        <w:t xml:space="preserve"> </w:t>
      </w:r>
      <w:r>
        <w:t xml:space="preserve">— topic-specific text features from the existing BIS corpus. (2)</w:t>
      </w:r>
      <w:r>
        <w:t xml:space="preserve"> </w:t>
      </w:r>
      <w:r>
        <w:rPr>
          <w:bCs/>
          <w:b/>
        </w:rPr>
        <w:t xml:space="preserve">Most impactful</w:t>
      </w:r>
      <w:r>
        <w:t xml:space="preserve"> </w:t>
      </w:r>
      <w:r>
        <w:t xml:space="preserve">— regime-conditional modelling using EBM shape functions to identify crisis regimes, directly addressing the non-stationarity finding. (3)</w:t>
      </w:r>
      <w:r>
        <w:t xml:space="preserve"> </w:t>
      </w:r>
      <w:r>
        <w:rPr>
          <w:bCs/>
          <w:b/>
        </w:rPr>
        <w:t xml:space="preserve">Most ambitious</w:t>
      </w:r>
      <w:r>
        <w:t xml:space="preserve"> </w:t>
      </w:r>
      <w:r>
        <w:t xml:space="preserve">— network contagion features from BIS banking statistics following Cetorelli and Goldberg (2011).</w:t>
      </w:r>
    </w:p>
    <w:p>
      <w:r>
        <w:pict>
          <v:rect style="width:0;height:1.5pt" o:hralign="center" o:hrstd="t" o:hr="t"/>
        </w:pict>
      </w:r>
    </w:p>
    <w:bookmarkEnd w:id="26"/>
    <w:bookmarkStart w:id="27" w:name="final-reflection"/>
    <w:p>
      <w:pPr>
        <w:pStyle w:val="Heading2"/>
      </w:pPr>
      <w:r>
        <w:t xml:space="preserve">6.6 Final Reflection</w:t>
      </w:r>
    </w:p>
    <w:p>
      <w:pPr>
        <w:pStyle w:val="FirstParagraph"/>
      </w:pPr>
      <w:r>
        <w:t xml:space="preserve">The most important lesson from this analysis is not about any specific model or feature. It is about the relationship between machine learning and non-stationarity: a model trained on historical data is a representation of the past, and when the process that generated that past changes, the model’s learned representation becomes a misrepresentation. EBM’s contribution is to make this misrepresentation visible — converting an opaque model failure into a legible, regime-specific misspecification. That visibility is not a solution to the non-stationarity problem, but it is a prerequisite for addressing it. The value of interpretable machine learning in high-stakes prediction domains lies not in the accuracy of the models it produces, but in the quality of the understanding it provides.</w:t>
      </w:r>
    </w:p>
    <w:p>
      <w:r>
        <w:pict>
          <v:rect style="width:0;height:1.5pt" o:hralign="center" o:hrstd="t" o:hr="t"/>
        </w:pict>
      </w:r>
    </w:p>
    <w:p>
      <w:pPr>
        <w:pStyle w:val="FirstParagraph"/>
      </w:pPr>
      <w:r>
        <w:rPr>
          <w:iCs/>
          <w:i/>
        </w:rPr>
        <w:t xml:space="preserve">Chapter 6 revision: April 2026</w:t>
      </w:r>
    </w:p>
    <w:bookmarkEnd w:id="27"/>
    <w:bookmarkEnd w:id="28"/>
    <w:p>
      <w:r>
        <w:br w:type="page"/>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yperlink" Target="https://github.com/spike2025-art/eportfolio-uoe/tree/main" TargetMode="External"/><Relationship Id="rId11" Type="http://schemas.openxmlformats.org/officeDocument/2006/relationships/hyperlink" Target="https://spike2025-art.github.io/eportfolio-uoe/" TargetMode="External"/><Relationship Id="rId12" Type="http://schemas.openxmlformats.org/officeDocument/2006/relationships/image" Target="media/rId21.png"/><Relationship Id="rId13" Type="http://schemas.openxmlformats.org/officeDocument/2006/relationships/image" Target="media/rId70.png"/><Relationship Id="rId14" Type="http://schemas.openxmlformats.org/officeDocument/2006/relationships/image" Target="media/rId74.png"/><Relationship Id="rId15" Type="http://schemas.openxmlformats.org/officeDocument/2006/relationships/image" Target="media/rId24.png"/><Relationship Id="rId16" Type="http://schemas.openxmlformats.org/officeDocument/2006/relationships/image" Target="media/rId31.png"/><Relationship Id="rId17" Type="http://schemas.openxmlformats.org/officeDocument/2006/relationships/image" Target="media/rId36.png"/><Relationship Id="rId18" Type="http://schemas.openxmlformats.org/officeDocument/2006/relationships/image" Target="media/rId41.png"/><Relationship Id="rId19" Type="http://schemas.openxmlformats.org/officeDocument/2006/relationships/image" Target="media/rId47.png"/><Relationship Id="rId20" Type="http://schemas.openxmlformats.org/officeDocument/2006/relationships/image" Target="media/rId51.png"/><Relationship Id="rId21" Type="http://schemas.openxmlformats.org/officeDocument/2006/relationships/image" Target="media/rId56.png"/><Relationship Id="rId22"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2026-04-12T19:03:14Z</dcterms:created>
  <dcterms:modified xsi:type="dcterms:W3CDTF">2026-04-12T19:03:14Z</dcterms:modified>
</cp:coreProperties>
</file>

<file path=docProps/custom.xml><?xml version="1.0" encoding="utf-8"?>
<Properties xmlns="http://schemas.openxmlformats.org/officeDocument/2006/custom-properties" xmlns:vt="http://schemas.openxmlformats.org/officeDocument/2006/docPropsVTypes"/>
</file>