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hapter-4-results-and-interpretation"/>
    <w:p>
      <w:pPr>
        <w:pStyle w:val="Heading1"/>
      </w:pPr>
      <w:r>
        <w:t xml:space="preserve">Chapter 4: Results and Interpretation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dataset-and-experimental-setup"/>
    <w:p>
      <w:pPr>
        <w:pStyle w:val="Heading2"/>
      </w:pPr>
      <w:r>
        <w:t xml:space="preserve">4.1 Dataset and Experimental Setup</w:t>
      </w:r>
    </w:p>
    <w:p>
      <w:pPr>
        <w:pStyle w:val="FirstParagraph"/>
      </w:pPr>
      <w:r>
        <w:t xml:space="preserve">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pPr>
        <w:pStyle w:val="BodyText"/>
      </w:pPr>
      <w:r>
        <w:t xml:space="preserve">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pPr>
        <w:pStyle w:val="BodyText"/>
      </w:pPr>
      <w:r>
        <w:t xml:space="preserve">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pPr>
        <w:pStyle w:val="BodyText"/>
      </w:pPr>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represent a cross-sectional discrimination test within a single crisis episode — evaluating how well each model ranks 18 countries by crisis probability in 2007 — rather than temporal predictive validation in the conventional sense.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r>
        <w:pict>
          <v:rect style="width:0;height:1.5pt" o:hralign="center" o:hrstd="t" o:hr="t"/>
        </w:pict>
      </w:r>
    </w:p>
    <w:bookmarkEnd w:id="20"/>
    <w:bookmarkStart w:id="27" w:name="primary-model-comparison"/>
    <w:p>
      <w:pPr>
        <w:pStyle w:val="Heading2"/>
      </w:pPr>
      <w:r>
        <w:t xml:space="preserve">4.2 Primary Model Comparison</w:t>
      </w:r>
    </w:p>
    <w:p>
      <w:pPr>
        <w:pStyle w:val="FirstParagraph"/>
      </w:pPr>
      <w:r>
        <w:t xml:space="preserve">Table 4.1 presents Stage 1 post-calibration metrics for M1, M1b, M2 and M2.5 (EBM) on the extended panel. Table 4.2 presents Stage 2 metrics for M2-matched, M2.5-matched, M3 and M4. Bootstrap 95 per cent confidence intervals from 1,000 resamples are indicative only.</w:t>
      </w:r>
    </w:p>
    <w:p>
      <w:pPr>
        <w:pStyle w:val="BodyText"/>
      </w:pPr>
      <w:r>
        <w:rPr>
          <w:bCs/>
          <w:b/>
        </w:rPr>
        <w:t xml:space="preserve">Table 4.1. Stage 1 — Model comparison on extended macro panel (H2 target, 1989–2020)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Logistic Regression (macro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[0.477, 0.739]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bridge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Random Forest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[0.484, 0.781]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3.4×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[0.649, 0.855]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pPr>
        <w:pStyle w:val="BodyText"/>
      </w:pPr>
      <w:r>
        <w:rPr>
          <w:bCs/>
          <w:b/>
        </w:rPr>
        <w:t xml:space="preserve">Table 4.2. Stage 2 — Model comparison on sentiment overlap period (H2 target, 2003–2020)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[0.897, 0.970]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[0.927, 0.988]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XGBoost + FinBERT (macro + sent)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61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M4: Ensemble avg(M2-matched, 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0.057</w:t>
            </w:r>
          </w:p>
        </w:tc>
      </w:tr>
    </w:tbl>
    <w:p>
      <w:pPr>
        <w:pStyle w:val="BodyText"/>
      </w:pPr>
      <w:r>
        <w:rPr>
          <w:iCs/>
          <w:i/>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w:t>
      </w:r>
    </w:p>
    <w:p>
      <w:pPr>
        <w:pStyle w:val="BodyText"/>
      </w:pPr>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pPr>
        <w:pStyle w:val="CaptionedFigure"/>
      </w:pPr>
      <w:r>
        <w:drawing>
          <wp:inline>
            <wp:extent cx="5727700" cy="2622854"/>
            <wp:effectExtent b="0" l="0" r="0" t="0"/>
            <wp:docPr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title="" id="22" name="Picture"/>
            <a:graphic>
              <a:graphicData uri="http://schemas.openxmlformats.org/drawingml/2006/picture">
                <pic:pic>
                  <pic:nvPicPr>
                    <pic:cNvPr descr="fig1.png" id="23" name="Picture"/>
                    <pic:cNvPicPr>
                      <a:picLocks noChangeArrowheads="1" noChangeAspect="1"/>
                    </pic:cNvPicPr>
                  </pic:nvPicPr>
                  <pic:blipFill>
                    <a:blip r:embed="rId21"/>
                    <a:stretch>
                      <a:fillRect/>
                    </a:stretch>
                  </pic:blipFill>
                  <pic:spPr bwMode="auto">
                    <a:xfrm>
                      <a:off x="0" y="0"/>
                      <a:ext cx="5727700" cy="2622854"/>
                    </a:xfrm>
                    <a:prstGeom prst="rect">
                      <a:avLst/>
                    </a:prstGeom>
                    <a:noFill/>
                    <a:ln w="9525">
                      <a:noFill/>
                      <a:headEnd/>
                      <a:tailEnd/>
                    </a:ln>
                  </pic:spPr>
                </pic:pic>
              </a:graphicData>
            </a:graphic>
          </wp:inline>
        </w:drawing>
      </w:r>
    </w:p>
    <w:p>
      <w:pPr>
        <w:pStyle w:val="ImageCaption"/>
      </w:pPr>
      <w:r>
        <w:t xml:space="preserve">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pPr>
        <w:pStyle w:val="BodyText"/>
      </w:pPr>
      <w:r>
        <w:t xml:space="preserve">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pPr>
        <w:pStyle w:val="BodyText"/>
      </w:pPr>
      <w:r>
        <w:t xml:space="preserve">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M2.5-matched appears to achieve higher AUPRC than M3 (0.532 versus 0.411) without any sentiment features — reflecting the same algorithm non-linearity effect that separates M2 from M1b, and indicating that the observed M3 advantage over M2-matched is better attributed to algorithm choice than to a stable sentiment signal.</w:t>
      </w:r>
    </w:p>
    <w:p>
      <w:pPr>
        <w:pStyle w:val="BodyText"/>
      </w:pPr>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pPr>
        <w:pStyle w:val="CaptionedFigure"/>
      </w:pPr>
      <w:r>
        <w:drawing>
          <wp:inline>
            <wp:extent cx="5727700" cy="4462821"/>
            <wp:effectExtent b="0" l="0" r="0" t="0"/>
            <wp:docPr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title="" id="25" name="Picture"/>
            <a:graphic>
              <a:graphicData uri="http://schemas.openxmlformats.org/drawingml/2006/picture">
                <pic:pic>
                  <pic:nvPicPr>
                    <pic:cNvPr descr="fig2.png" id="26" name="Picture"/>
                    <pic:cNvPicPr>
                      <a:picLocks noChangeArrowheads="1" noChangeAspect="1"/>
                    </pic:cNvPicPr>
                  </pic:nvPicPr>
                  <pic:blipFill>
                    <a:blip r:embed="rId24"/>
                    <a:stretch>
                      <a:fillRect/>
                    </a:stretch>
                  </pic:blipFill>
                  <pic:spPr bwMode="auto">
                    <a:xfrm>
                      <a:off x="0" y="0"/>
                      <a:ext cx="5727700" cy="4462821"/>
                    </a:xfrm>
                    <a:prstGeom prst="rect">
                      <a:avLst/>
                    </a:prstGeom>
                    <a:noFill/>
                    <a:ln w="9525">
                      <a:noFill/>
                      <a:headEnd/>
                      <a:tailEnd/>
                    </a:ln>
                  </pic:spPr>
                </pic:pic>
              </a:graphicData>
            </a:graphic>
          </wp:inline>
        </w:drawing>
      </w:r>
    </w:p>
    <w:p>
      <w:pPr>
        <w:pStyle w:val="ImageCaption"/>
      </w:pPr>
      <w:r>
        <w:t xml:space="preserve">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pPr>
        <w:pStyle w:val="BodyText"/>
      </w:pPr>
      <w:r>
        <w:rPr>
          <w:bCs/>
          <w:b/>
        </w:rPr>
        <w:t xml:space="preserve">H1 — Discrimination:</w:t>
      </w:r>
      <w:r>
        <w:t xml:space="preserve"> </w:t>
      </w:r>
      <w:r>
        <w:t xml:space="preserve">Supported directionally on AUPRC in Stage 2 for M3 versus M2-matched (0.411 versus 0.343). The EBM result indicates that algorithm non-linearity drives Stage 2 performance differences more than the sentiment signal. The bootstrap 95% CI [−0.130, +0.312] spans zero; results characterise discrimination within a single-episode evaluation.</w:t>
      </w:r>
    </w:p>
    <w:p>
      <w:pPr>
        <w:pStyle w:val="BodyText"/>
      </w:pPr>
      <w:r>
        <w:t xml:space="preserve">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r>
        <w:pict>
          <v:rect style="width:0;height:1.5pt" o:hralign="center" o:hrstd="t" o:hr="t"/>
        </w:pict>
      </w:r>
    </w:p>
    <w:bookmarkEnd w:id="27"/>
    <w:bookmarkStart w:id="28" w:name="X42598f23d54a9a53a6e6f7a35d8fe60d81e8479"/>
    <w:p>
      <w:pPr>
        <w:pStyle w:val="Heading2"/>
      </w:pPr>
      <w:r>
        <w:t xml:space="preserve">4.3 Exploratory Decomposition of Model Changes</w:t>
      </w:r>
    </w:p>
    <w:p>
      <w:pPr>
        <w:pStyle w:val="FirstParagraph"/>
      </w:pPr>
      <w:r>
        <w:t xml:space="preserve">Table 4.3 extends the M1-to-M2 decomposition to include M2.5, making the full model sequence explicit. The M2 → M2.5 transition holds the feature set constant (41 macro features) while varying the algorithm, isolating the algorithm effect under identical data conditions.</w:t>
      </w:r>
    </w:p>
    <w:p>
      <w:pPr>
        <w:pStyle w:val="BodyText"/>
      </w:pPr>
      <w:r>
        <w:rPr>
          <w:bCs/>
          <w:b/>
        </w:rPr>
        <w:t xml:space="preserve">Table 4.3. Exploratory decomposition on H2 target, Stage 1 (1989–2020)</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Class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LR (lag1 only)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RF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Random Forest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4.3. Exploratory decomposition, Stage 1. Base rate = 0.065. Transitions are not orthogonal treatments. All metrics are upper bounds on prospective performance.</w:t>
      </w:r>
    </w:p>
    <w:p>
      <w:pPr>
        <w:pStyle w:val="BodyText"/>
      </w:pPr>
      <w:r>
        <w:t xml:space="preserve">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pPr>
        <w:pStyle w:val="BodyText"/>
      </w:pPr>
      <w:r>
        <w:rPr>
          <w:bCs/>
          <w:b/>
        </w:rPr>
        <w:t xml:space="preserve">H3 — Interpretability trade-off:</w:t>
      </w:r>
      <w:r>
        <w:t xml:space="preserve"> </w:t>
      </w:r>
      <w:r>
        <w:t xml:space="preserve">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r>
        <w:pict>
          <v:rect style="width:0;height:1.5pt" o:hralign="center" o:hrstd="t" o:hr="t"/>
        </w:pict>
      </w:r>
    </w:p>
    <w:bookmarkEnd w:id="28"/>
    <w:bookmarkStart w:id="29" w:name="multi-horizon-analysis"/>
    <w:p>
      <w:pPr>
        <w:pStyle w:val="Heading2"/>
      </w:pPr>
      <w:r>
        <w:t xml:space="preserve">4.4 Multi-Horizon Analysis</w:t>
      </w:r>
    </w:p>
    <w:p>
      <w:pPr>
        <w:pStyle w:val="FirstParagraph"/>
      </w:pPr>
      <w:r>
        <w:t xml:space="preserve">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r>
        <w:pict>
          <v:rect style="width:0;height:1.5pt" o:hralign="center" o:hrstd="t" o:hr="t"/>
        </w:pict>
      </w:r>
    </w:p>
    <w:bookmarkEnd w:id="29"/>
    <w:bookmarkStart w:id="35" w:name="Xf54214aabfafa9b1ed794ccf9e0cddc7bb4e81c"/>
    <w:p>
      <w:pPr>
        <w:pStyle w:val="Heading2"/>
      </w:pPr>
      <w:r>
        <w:t xml:space="preserve">4.5 Robustness: Temporal Validation and Leave-One-Country-Out</w:t>
      </w:r>
    </w:p>
    <w:bookmarkStart w:id="30" w:name="strict-temporal-validation"/>
    <w:p>
      <w:pPr>
        <w:pStyle w:val="Heading3"/>
      </w:pPr>
      <w:r>
        <w:t xml:space="preserve">4.5.1 Strict Temporal Validation</w:t>
      </w:r>
    </w:p>
    <w:p>
      <w:pPr>
        <w:pStyle w:val="FirstParagraph"/>
      </w:pPr>
      <w:r>
        <w:t xml:space="preserve">The strict temporal validation constitutes the central empirical finding of the augmented analysis and should be read as the primary result against which all expanding-window metrics are calibrated. Table 4.4 presents results for both M2 (Random Forest) and M2.5 (EBM).</w:t>
      </w:r>
    </w:p>
    <w:p>
      <w:pPr>
        <w:pStyle w:val="BodyText"/>
      </w:pPr>
      <w:r>
        <w:rPr>
          <w:bCs/>
          <w:b/>
        </w:rPr>
        <w:t xml:space="preserve">Table 4.4. Strict temporal validation — M2 RF and M2.5 EBM (macro lag1–3)</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Split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M2 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Benchmark</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A: Pre-Nordic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1988–1990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1991–1997</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0.572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B: Pre-GFC extended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1988–2002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2003–2011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0.333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C: Pre-GFC short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2003–2005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2006–2009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r>
    </w:tbl>
    <w:p>
      <w:pPr>
        <w:pStyle w:val="BodyText"/>
      </w:pPr>
      <w:r>
        <w:rPr>
          <w:iCs/>
          <w:i/>
        </w:rPr>
        <w:t xml:space="preserve">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pPr>
        <w:pStyle w:val="BodyText"/>
      </w:pPr>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This suggests that model classes optimised for in-sample interpretability or flexibility may be particularly vulnerable in environments characterised by structural breaks, as they encode regime-specific relationships more precisely — making their fitted structures less transferable when the regime changes.</w:t>
      </w:r>
    </w:p>
    <w:p>
      <w:pPr>
        <w:pStyle w:val="BodyText"/>
      </w:pPr>
      <w:r>
        <w:t xml:space="preserve">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early-warning systems are not merely empirically limited, but conceptually misaligned with environments characterised by structural breaks, where the underlying data-generating process evolves faster than any static model can adapt.</w:t>
      </w:r>
    </w:p>
    <w:bookmarkEnd w:id="30"/>
    <w:bookmarkStart w:id="34" w:name="leave-one-country-out-validation"/>
    <w:p>
      <w:pPr>
        <w:pStyle w:val="Heading3"/>
      </w:pPr>
      <w:r>
        <w:t xml:space="preserve">4.5.2 Leave-One-Country-Out Validation</w:t>
      </w:r>
    </w:p>
    <w:p>
      <w:pPr>
        <w:pStyle w:val="FirstParagraph"/>
      </w:pPr>
      <w:r>
        <w:t xml:space="preserve">Figure 4.3 presents the LOCO AUROC comparison for M2 RF and M2.5 EBM across 15 countries with hold-out crisis events. Three countries with no hold-out crisis events (Australia, Canada, Norway) are excluded.</w:t>
      </w:r>
    </w:p>
    <w:p>
      <w:pPr>
        <w:pStyle w:val="CaptionedFigure"/>
      </w:pPr>
      <w:r>
        <w:drawing>
          <wp:inline>
            <wp:extent cx="5727700" cy="2020086"/>
            <wp:effectExtent b="0" l="0" r="0" t="0"/>
            <wp:docPr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title="" id="32" name="Picture"/>
            <a:graphic>
              <a:graphicData uri="http://schemas.openxmlformats.org/drawingml/2006/picture">
                <pic:pic>
                  <pic:nvPicPr>
                    <pic:cNvPr descr="fig3.png" id="33" name="Picture"/>
                    <pic:cNvPicPr>
                      <a:picLocks noChangeArrowheads="1" noChangeAspect="1"/>
                    </pic:cNvPicPr>
                  </pic:nvPicPr>
                  <pic:blipFill>
                    <a:blip r:embed="rId31"/>
                    <a:stretch>
                      <a:fillRect/>
                    </a:stretch>
                  </pic:blipFill>
                  <pic:spPr bwMode="auto">
                    <a:xfrm>
                      <a:off x="0" y="0"/>
                      <a:ext cx="5727700" cy="2020086"/>
                    </a:xfrm>
                    <a:prstGeom prst="rect">
                      <a:avLst/>
                    </a:prstGeom>
                    <a:noFill/>
                    <a:ln w="9525">
                      <a:noFill/>
                      <a:headEnd/>
                      <a:tailEnd/>
                    </a:ln>
                  </pic:spPr>
                </pic:pic>
              </a:graphicData>
            </a:graphic>
          </wp:inline>
        </w:drawing>
      </w:r>
    </w:p>
    <w:p>
      <w:pPr>
        <w:pStyle w:val="ImageCaption"/>
      </w:pPr>
      <w:r>
        <w:t xml:space="preserve">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pPr>
        <w:pStyle w:val="BodyText"/>
      </w:pPr>
      <w:r>
        <w:rPr>
          <w:bCs/>
          <w:b/>
        </w:rPr>
        <w:t xml:space="preserve">Table 4.5. Leave-one-country-out summary — M2 RF vs M2.5 EBM, Stage 1</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Country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Hold-out events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BEL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CHE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DEU</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0.548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DNK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ESP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FIN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FRA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GBR</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IRL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ITA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JPN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NLD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PRT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0.862</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SWE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USA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Cs/>
                <w:b w:val="0"/>
                <w:color w:val="000000"/>
                <w:sz w:val="18"/>
              </w:rPr>
              <w:t xml:space="preserve">Mean (std)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pP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0.839 (0.254)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0.893 (0.215)</w:t>
            </w:r>
          </w:p>
        </w:tc>
      </w:tr>
    </w:tbl>
    <w:p>
      <w:pPr>
        <w:pStyle w:val="BodyText"/>
      </w:pPr>
      <w:r>
        <w:rPr>
          <w:iCs/>
          <w:i/>
        </w:rPr>
        <w:t xml:space="preserve">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pPr>
        <w:pStyle w:val="BodyText"/>
      </w:pPr>
      <w:r>
        <w:t xml:space="preserve">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r>
        <w:pict>
          <v:rect style="width:0;height:1.5pt" o:hralign="center" o:hrstd="t" o:hr="t"/>
        </w:pict>
      </w:r>
    </w:p>
    <w:bookmarkEnd w:id="34"/>
    <w:bookmarkEnd w:id="35"/>
    <w:bookmarkStart w:id="45" w:name="shap-feature-attribution"/>
    <w:p>
      <w:pPr>
        <w:pStyle w:val="Heading2"/>
      </w:pPr>
      <w:r>
        <w:t xml:space="preserve">4.6 SHAP Feature Attribution</w:t>
      </w:r>
    </w:p>
    <w:bookmarkStart w:id="39" w:name="aggregate-attribution-by-lag-group"/>
    <w:p>
      <w:pPr>
        <w:pStyle w:val="Heading3"/>
      </w:pPr>
      <w:r>
        <w:t xml:space="preserve">4.6.1 Aggregate Attribution by Lag Group</w:t>
      </w:r>
    </w:p>
    <w:p>
      <w:pPr>
        <w:pStyle w:val="FirstParagraph"/>
      </w:pPr>
      <w:r>
        <w:t xml:space="preserve">Figure 4.4 presents SHAP attribution for M3 in Stage 2 decomposed by lag group. The total macro share is 73.8 per cent and the FinBERT sentiment share is 26.2 per cent.</w:t>
      </w:r>
    </w:p>
    <w:p>
      <w:pPr>
        <w:pStyle w:val="CaptionedFigure"/>
      </w:pPr>
      <w:r>
        <w:drawing>
          <wp:inline>
            <wp:extent cx="5727700" cy="2820311"/>
            <wp:effectExtent b="0" l="0" r="0" t="0"/>
            <wp:docPr descr="Figure 4.4. M3 SHAP signal by lag horizon (Stage 2, 2003–2020). Dark blue = macro lag1 (2.816); light blue = macro lag3 (2.735); medium blue = macro lag2 (1.249); orange tones = FinBERT sentiment lag1 (1.325) and lag2 (1.083). Macro features account for 73.8% of total attribution; sentiment 26.2%." title="" id="37" name="Picture"/>
            <a:graphic>
              <a:graphicData uri="http://schemas.openxmlformats.org/drawingml/2006/picture">
                <pic:pic>
                  <pic:nvPicPr>
                    <pic:cNvPr descr="fig4.png" id="38" name="Picture"/>
                    <pic:cNvPicPr>
                      <a:picLocks noChangeArrowheads="1" noChangeAspect="1"/>
                    </pic:cNvPicPr>
                  </pic:nvPicPr>
                  <pic:blipFill>
                    <a:blip r:embed="rId36"/>
                    <a:stretch>
                      <a:fillRect/>
                    </a:stretch>
                  </pic:blipFill>
                  <pic:spPr bwMode="auto">
                    <a:xfrm>
                      <a:off x="0" y="0"/>
                      <a:ext cx="5727700" cy="2820311"/>
                    </a:xfrm>
                    <a:prstGeom prst="rect">
                      <a:avLst/>
                    </a:prstGeom>
                    <a:noFill/>
                    <a:ln w="9525">
                      <a:noFill/>
                      <a:headEnd/>
                      <a:tailEnd/>
                    </a:ln>
                  </pic:spPr>
                </pic:pic>
              </a:graphicData>
            </a:graphic>
          </wp:inline>
        </w:drawing>
      </w:r>
    </w:p>
    <w:p>
      <w:pPr>
        <w:pStyle w:val="ImageCaption"/>
      </w:pPr>
      <w:r>
        <w:t xml:space="preserve">Figure 4.4. M3 SHAP signal by lag horizon (Stage 2, 2003–2020). Dark blue = macro lag1 (2.816); light blue = macro lag3 (2.735); medium blue = macro lag2 (1.249); orange tones = FinBERT sentiment lag1 (1.325) and lag2 (1.083). Macro features account for 73.8% of total attribution; sentiment 26.2%.</w:t>
      </w:r>
    </w:p>
    <w:p>
      <w:pPr>
        <w:pStyle w:val="BodyText"/>
      </w:pPr>
      <w:r>
        <w:t xml:space="preserve">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bookmarkEnd w:id="39"/>
    <w:bookmarkStart w:id="40" w:name="individual-feature-rankings"/>
    <w:p>
      <w:pPr>
        <w:pStyle w:val="Heading3"/>
      </w:pPr>
      <w:r>
        <w:t xml:space="preserve">4.6.2 Individual Feature Rankings</w:t>
      </w:r>
    </w:p>
    <w:p>
      <w:pPr>
        <w:pStyle w:val="FirstParagraph"/>
      </w:pPr>
      <w:r>
        <w:t xml:space="preserve">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pPr>
        <w:pStyle w:val="BodyText"/>
      </w:pPr>
      <w:r>
        <w:rPr>
          <w:bCs/>
          <w:b/>
        </w:rPr>
        <w:t xml:space="preserve">H2 — Feature relevance:</w:t>
      </w:r>
      <w:r>
        <w:t xml:space="preserve"> </w:t>
      </w:r>
      <w:r>
        <w:t xml:space="preserve">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bookmarkEnd w:id="40"/>
    <w:bookmarkStart w:id="44" w:name="convergence-with-ebm-native-importance"/>
    <w:p>
      <w:pPr>
        <w:pStyle w:val="Heading3"/>
      </w:pPr>
      <w:r>
        <w:t xml:space="preserve">4.6.3 Convergence with EBM Native Importance</w:t>
      </w:r>
    </w:p>
    <w:p>
      <w:pPr>
        <w:pStyle w:val="FirstParagraph"/>
      </w:pPr>
      <w:r>
        <w:t xml:space="preserve">Figure 4.5 presents SHAP feature rankings for M3 alongside EBM native feature importance for M2.5, derived without post-hoc attribution.</w:t>
      </w:r>
    </w:p>
    <w:p>
      <w:pPr>
        <w:pStyle w:val="CaptionedFigure"/>
      </w:pPr>
      <w:r>
        <w:drawing>
          <wp:inline>
            <wp:extent cx="5727700" cy="2520273"/>
            <wp:effectExtent b="0" l="0" r="0" t="0"/>
            <wp:docPr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title="" id="42" name="Picture"/>
            <a:graphic>
              <a:graphicData uri="http://schemas.openxmlformats.org/drawingml/2006/picture">
                <pic:pic>
                  <pic:nvPicPr>
                    <pic:cNvPr descr="fig5.png" id="43" name="Picture"/>
                    <pic:cNvPicPr>
                      <a:picLocks noChangeArrowheads="1" noChangeAspect="1"/>
                    </pic:cNvPicPr>
                  </pic:nvPicPr>
                  <pic:blipFill>
                    <a:blip r:embed="rId41"/>
                    <a:stretch>
                      <a:fillRect/>
                    </a:stretch>
                  </pic:blipFill>
                  <pic:spPr bwMode="auto">
                    <a:xfrm>
                      <a:off x="0" y="0"/>
                      <a:ext cx="5727700" cy="2520273"/>
                    </a:xfrm>
                    <a:prstGeom prst="rect">
                      <a:avLst/>
                    </a:prstGeom>
                    <a:noFill/>
                    <a:ln w="9525">
                      <a:noFill/>
                      <a:headEnd/>
                      <a:tailEnd/>
                    </a:ln>
                  </pic:spPr>
                </pic:pic>
              </a:graphicData>
            </a:graphic>
          </wp:inline>
        </w:drawing>
      </w:r>
    </w:p>
    <w:p>
      <w:pPr>
        <w:pStyle w:val="ImageCaption"/>
      </w:pPr>
      <w:r>
        <w:t xml:space="preserve">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pPr>
        <w:pStyle w:val="BodyText"/>
      </w:pPr>
      <w:r>
        <w:t xml:space="preserve">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r>
        <w:pict>
          <v:rect style="width:0;height:1.5pt" o:hralign="center" o:hrstd="t" o:hr="t"/>
        </w:pict>
      </w:r>
    </w:p>
    <w:bookmarkEnd w:id="44"/>
    <w:bookmarkEnd w:id="45"/>
    <w:bookmarkStart w:id="55" w:name="ebm-interpretability-benchmark"/>
    <w:p>
      <w:pPr>
        <w:pStyle w:val="Heading2"/>
      </w:pPr>
      <w:r>
        <w:t xml:space="preserve">4.7 EBM Interpretability Benchmark</w:t>
      </w:r>
    </w:p>
    <w:bookmarkStart w:id="46" w:name="motivation-and-design"/>
    <w:p>
      <w:pPr>
        <w:pStyle w:val="Heading3"/>
      </w:pPr>
      <w:r>
        <w:t xml:space="preserve">4.7.1 Motivation and Design</w:t>
      </w:r>
    </w:p>
    <w:p>
      <w:pPr>
        <w:pStyle w:val="FirstParagraph"/>
      </w:pPr>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bookmarkEnd w:id="46"/>
    <w:bookmarkStart w:id="50" w:name="feature-importance"/>
    <w:p>
      <w:pPr>
        <w:pStyle w:val="Heading3"/>
      </w:pPr>
      <w:r>
        <w:t xml:space="preserve">4.7.2 Feature Importance</w:t>
      </w:r>
    </w:p>
    <w:p>
      <w:pPr>
        <w:pStyle w:val="FirstParagraph"/>
      </w:pPr>
      <w:r>
        <w:t xml:space="preserve">Figure 4.6 presents EBM’s global feature importance for the Stage 2 full-data fit.</w:t>
      </w:r>
    </w:p>
    <w:p>
      <w:pPr>
        <w:pStyle w:val="CaptionedFigure"/>
      </w:pPr>
      <w:r>
        <w:drawing>
          <wp:inline>
            <wp:extent cx="5727700" cy="4282932"/>
            <wp:effectExtent b="0" l="0" r="0" t="0"/>
            <wp:docPr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title="" id="48" name="Picture"/>
            <a:graphic>
              <a:graphicData uri="http://schemas.openxmlformats.org/drawingml/2006/picture">
                <pic:pic>
                  <pic:nvPicPr>
                    <pic:cNvPr descr="fig6.png" id="49" name="Picture"/>
                    <pic:cNvPicPr>
                      <a:picLocks noChangeArrowheads="1" noChangeAspect="1"/>
                    </pic:cNvPicPr>
                  </pic:nvPicPr>
                  <pic:blipFill>
                    <a:blip r:embed="rId47"/>
                    <a:stretch>
                      <a:fillRect/>
                    </a:stretch>
                  </pic:blipFill>
                  <pic:spPr bwMode="auto">
                    <a:xfrm>
                      <a:off x="0" y="0"/>
                      <a:ext cx="5727700" cy="4282932"/>
                    </a:xfrm>
                    <a:prstGeom prst="rect">
                      <a:avLst/>
                    </a:prstGeom>
                    <a:noFill/>
                    <a:ln w="9525">
                      <a:noFill/>
                      <a:headEnd/>
                      <a:tailEnd/>
                    </a:ln>
                  </pic:spPr>
                </pic:pic>
              </a:graphicData>
            </a:graphic>
          </wp:inline>
        </w:drawing>
      </w:r>
    </w:p>
    <w:p>
      <w:pPr>
        <w:pStyle w:val="ImageCaption"/>
      </w:pPr>
      <w:r>
        <w:t xml:space="preserve">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p>
    <w:p>
      <w:pPr>
        <w:pStyle w:val="BodyText"/>
      </w:pPr>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bookmarkEnd w:id="50"/>
    <w:bookmarkStart w:id="54" w:name="Xe8787fd1ed17058f2f7f919c59d3e746f8e2621"/>
    <w:p>
      <w:pPr>
        <w:pStyle w:val="Heading3"/>
      </w:pPr>
      <w:r>
        <w:t xml:space="preserve">4.7.3 Shape Function Analysis: Regime Instability</w:t>
      </w:r>
    </w:p>
    <w:p>
      <w:pPr>
        <w:pStyle w:val="FirstParagraph"/>
      </w:pPr>
      <w:r>
        <w:t xml:space="preserve">Figure 4.7 presents EBM shape functions for term spread and total credit across all three lag horizons, estimated separately on a pre-GFC window (2003–2006) and a GFC-inclusive window (2003–2010). This is the centrepiece analysis of the EBM contribution.</w:t>
      </w:r>
    </w:p>
    <w:p>
      <w:pPr>
        <w:pStyle w:val="CaptionedFigure"/>
      </w:pPr>
      <w:r>
        <w:drawing>
          <wp:inline>
            <wp:extent cx="5727700" cy="3149808"/>
            <wp:effectExtent b="0" l="0" r="0" t="0"/>
            <wp:docPr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title="" id="52" name="Picture"/>
            <a:graphic>
              <a:graphicData uri="http://schemas.openxmlformats.org/drawingml/2006/picture">
                <pic:pic>
                  <pic:nvPicPr>
                    <pic:cNvPr descr="fig7.png" id="53" name="Picture"/>
                    <pic:cNvPicPr>
                      <a:picLocks noChangeArrowheads="1" noChangeAspect="1"/>
                    </pic:cNvPicPr>
                  </pic:nvPicPr>
                  <pic:blipFill>
                    <a:blip r:embed="rId51"/>
                    <a:stretch>
                      <a:fillRect/>
                    </a:stretch>
                  </pic:blipFill>
                  <pic:spPr bwMode="auto">
                    <a:xfrm>
                      <a:off x="0" y="0"/>
                      <a:ext cx="5727700" cy="3149808"/>
                    </a:xfrm>
                    <a:prstGeom prst="rect">
                      <a:avLst/>
                    </a:prstGeom>
                    <a:noFill/>
                    <a:ln w="9525">
                      <a:noFill/>
                      <a:headEnd/>
                      <a:tailEnd/>
                    </a:ln>
                  </pic:spPr>
                </pic:pic>
              </a:graphicData>
            </a:graphic>
          </wp:inline>
        </w:drawing>
      </w:r>
    </w:p>
    <w:p>
      <w:pPr>
        <w:pStyle w:val="ImageCaption"/>
      </w:pPr>
      <w:r>
        <w:t xml:space="preserve">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w:t>
      </w:r>
    </w:p>
    <w:p>
      <w:pPr>
        <w:pStyle w:val="BodyText"/>
      </w:pPr>
      <w:r>
        <w:t xml:space="preserve">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pPr>
        <w:pStyle w:val="BodyText"/>
      </w:pPr>
      <w:r>
        <w:t xml:space="preserve">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pPr>
        <w:pStyle w:val="BodyText"/>
      </w:pPr>
      <w:r>
        <w:t xml:space="preserve">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r>
        <w:pict>
          <v:rect style="width:0;height:1.5pt" o:hralign="center" o:hrstd="t" o:hr="t"/>
        </w:pict>
      </w:r>
    </w:p>
    <w:bookmarkEnd w:id="54"/>
    <w:bookmarkEnd w:id="55"/>
    <w:bookmarkStart w:id="59" w:name="calibration-analysis"/>
    <w:p>
      <w:pPr>
        <w:pStyle w:val="Heading2"/>
      </w:pPr>
      <w:r>
        <w:t xml:space="preserve">4.8 Calibration Analysis</w:t>
      </w:r>
    </w:p>
    <w:p>
      <w:pPr>
        <w:pStyle w:val="FirstParagraph"/>
      </w:pPr>
      <w:r>
        <w:t xml:space="preserve">Figure 4.8 presents the calibration reliability diagrams for all three Stage 2 models.</w:t>
      </w:r>
    </w:p>
    <w:p>
      <w:pPr>
        <w:pStyle w:val="CaptionedFigure"/>
      </w:pPr>
      <w:r>
        <w:drawing>
          <wp:inline>
            <wp:extent cx="5727700" cy="1897268"/>
            <wp:effectExtent b="0" l="0" r="0" t="0"/>
            <wp:docPr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title="" id="57" name="Picture"/>
            <a:graphic>
              <a:graphicData uri="http://schemas.openxmlformats.org/drawingml/2006/picture">
                <pic:pic>
                  <pic:nvPicPr>
                    <pic:cNvPr descr="fig8.png" id="58" name="Picture"/>
                    <pic:cNvPicPr>
                      <a:picLocks noChangeArrowheads="1" noChangeAspect="1"/>
                    </pic:cNvPicPr>
                  </pic:nvPicPr>
                  <pic:blipFill>
                    <a:blip r:embed="rId56"/>
                    <a:stretch>
                      <a:fillRect/>
                    </a:stretch>
                  </pic:blipFill>
                  <pic:spPr bwMode="auto">
                    <a:xfrm>
                      <a:off x="0" y="0"/>
                      <a:ext cx="5727700" cy="1897268"/>
                    </a:xfrm>
                    <a:prstGeom prst="rect">
                      <a:avLst/>
                    </a:prstGeom>
                    <a:noFill/>
                    <a:ln w="9525">
                      <a:noFill/>
                      <a:headEnd/>
                      <a:tailEnd/>
                    </a:ln>
                  </pic:spPr>
                </pic:pic>
              </a:graphicData>
            </a:graphic>
          </wp:inline>
        </w:drawing>
      </w:r>
    </w:p>
    <w:p>
      <w:pPr>
        <w:pStyle w:val="ImageCaption"/>
      </w:pPr>
      <w:r>
        <w:t xml:space="preserve">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pPr>
        <w:pStyle w:val="BodyText"/>
      </w:pPr>
      <w:r>
        <w:t xml:space="preserve">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r>
        <w:pict>
          <v:rect style="width:0;height:1.5pt" o:hralign="center" o:hrstd="t" o:hr="t"/>
        </w:pict>
      </w:r>
    </w:p>
    <w:bookmarkEnd w:id="59"/>
    <w:bookmarkStart w:id="65" w:name="auxiliary-statistical-tests"/>
    <w:p>
      <w:pPr>
        <w:pStyle w:val="Heading2"/>
      </w:pPr>
      <w:r>
        <w:t xml:space="preserve">4.9 Auxiliary Statistical Tests</w:t>
      </w:r>
    </w:p>
    <w:bookmarkStart w:id="60" w:name="granger-causality-credit-growth"/>
    <w:p>
      <w:pPr>
        <w:pStyle w:val="Heading3"/>
      </w:pPr>
      <w:r>
        <w:t xml:space="preserve">4.9.1 Granger Causality: Credit Growth</w:t>
      </w:r>
    </w:p>
    <w:p>
      <w:pPr>
        <w:pStyle w:val="FirstParagraph"/>
      </w:pPr>
      <w:r>
        <w:t xml:space="preserve">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bookmarkEnd w:id="60"/>
    <w:bookmarkStart w:id="61" w:name="granger-causality-term-spread"/>
    <w:p>
      <w:pPr>
        <w:pStyle w:val="Heading3"/>
      </w:pPr>
      <w:r>
        <w:t xml:space="preserve">4.9.2 Granger Causality: Term Spread</w:t>
      </w:r>
    </w:p>
    <w:p>
      <w:pPr>
        <w:pStyle w:val="FirstParagraph"/>
      </w:pPr>
      <w:r>
        <w:t xml:space="preserve">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bookmarkEnd w:id="61"/>
    <w:bookmarkStart w:id="62" w:name="panel-logistic-term-spread"/>
    <w:p>
      <w:pPr>
        <w:pStyle w:val="Heading3"/>
      </w:pPr>
      <w:r>
        <w:t xml:space="preserve">4.9.3 Panel Logistic: Term Spread</w:t>
      </w:r>
    </w:p>
    <w:p>
      <w:pPr>
        <w:pStyle w:val="FirstParagraph"/>
      </w:pPr>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bookmarkEnd w:id="62"/>
    <w:bookmarkStart w:id="63" w:name="panel-logistic-sentiment"/>
    <w:p>
      <w:pPr>
        <w:pStyle w:val="Heading3"/>
      </w:pPr>
      <w:r>
        <w:t xml:space="preserve">4.9.4 Panel Logistic: Sentiment</w:t>
      </w:r>
    </w:p>
    <w:p>
      <w:pPr>
        <w:pStyle w:val="FirstParagraph"/>
      </w:pPr>
      <w:r>
        <w:t xml:space="preserve">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bookmarkEnd w:id="63"/>
    <w:bookmarkStart w:id="64" w:name="ml-discrimination-vs-statistical-tests"/>
    <w:p>
      <w:pPr>
        <w:pStyle w:val="Heading3"/>
      </w:pPr>
      <w:r>
        <w:t xml:space="preserve">4.9.5 ML Discrimination vs Statistical Tests</w:t>
      </w:r>
    </w:p>
    <w:p>
      <w:pPr>
        <w:pStyle w:val="FirstParagraph"/>
      </w:pPr>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and causal economic inference — and explains why models achieve high expanding-window discrimination while failing under genuine prospective evaluation.</w:t>
      </w:r>
    </w:p>
    <w:p>
      <w:r>
        <w:pict>
          <v:rect style="width:0;height:1.5pt" o:hralign="center" o:hrstd="t" o:hr="t"/>
        </w:pict>
      </w:r>
    </w:p>
    <w:bookmarkEnd w:id="64"/>
    <w:bookmarkEnd w:id="65"/>
    <w:bookmarkStart w:id="78" w:name="ebm-ensemble-extension"/>
    <w:p>
      <w:pPr>
        <w:pStyle w:val="Heading2"/>
      </w:pPr>
      <w:r>
        <w:t xml:space="preserve">4.10 EBM Ensemble Extension</w:t>
      </w:r>
    </w:p>
    <w:bookmarkStart w:id="69" w:name="design-and-primary-results"/>
    <w:p>
      <w:pPr>
        <w:pStyle w:val="Heading3"/>
      </w:pPr>
      <w:r>
        <w:t xml:space="preserve">4.10.1 Design and Primary Results</w:t>
      </w:r>
    </w:p>
    <w:p>
      <w:pPr>
        <w:pStyle w:val="FirstParagraph"/>
      </w:pPr>
      <w:r>
        <w:t xml:space="preserve">Following Holopainen and Sarlin (2017), an EBM-based ensemble is constructed as E1-EBM = 0.5 · P(M2-matched) + 0.5 · P(M2.5-matched) using equal weights throughout. Figure 4.9 presents the ROC and PR curves for all ensemble variants.</w:t>
      </w:r>
    </w:p>
    <w:p>
      <w:pPr>
        <w:pStyle w:val="CaptionedFigure"/>
      </w:pPr>
      <w:r>
        <w:drawing>
          <wp:inline>
            <wp:extent cx="5727700" cy="2688079"/>
            <wp:effectExtent b="0" l="0" r="0" t="0"/>
            <wp:docPr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title="" id="67" name="Picture"/>
            <a:graphic>
              <a:graphicData uri="http://schemas.openxmlformats.org/drawingml/2006/picture">
                <pic:pic>
                  <pic:nvPicPr>
                    <pic:cNvPr descr="fig9.png" id="68" name="Picture"/>
                    <pic:cNvPicPr>
                      <a:picLocks noChangeArrowheads="1" noChangeAspect="1"/>
                    </pic:cNvPicPr>
                  </pic:nvPicPr>
                  <pic:blipFill>
                    <a:blip r:embed="rId66"/>
                    <a:stretch>
                      <a:fillRect/>
                    </a:stretch>
                  </pic:blipFill>
                  <pic:spPr bwMode="auto">
                    <a:xfrm>
                      <a:off x="0" y="0"/>
                      <a:ext cx="5727700" cy="2688079"/>
                    </a:xfrm>
                    <a:prstGeom prst="rect">
                      <a:avLst/>
                    </a:prstGeom>
                    <a:noFill/>
                    <a:ln w="9525">
                      <a:noFill/>
                      <a:headEnd/>
                      <a:tailEnd/>
                    </a:ln>
                  </pic:spPr>
                </pic:pic>
              </a:graphicData>
            </a:graphic>
          </wp:inline>
        </w:drawing>
      </w:r>
    </w:p>
    <w:p>
      <w:pPr>
        <w:pStyle w:val="ImageCaption"/>
      </w:pPr>
      <w:r>
        <w:t xml:space="preserve">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pPr>
        <w:pStyle w:val="BodyText"/>
      </w:pPr>
      <w:r>
        <w:t xml:space="preserve">Table 4.6 presents the primary comparison. Metrics are computed on the inner-merged OOS sample (215 observations, 11 crisis events, base rate 5.12 per cent); absolute AUPRC levels are not directly comparable to Tables 4.1–4.2 due to the different crisis event count.</w:t>
      </w:r>
    </w:p>
    <w:p>
      <w:pPr>
        <w:pStyle w:val="BodyText"/>
      </w:pPr>
      <w:r>
        <w:rPr>
          <w:bCs/>
          <w:b/>
        </w:rPr>
        <w:t xml:space="preserve">Table 4.6. EBM ensemble results — Stage 2 (inner-merged OOS, 11 crisis events)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[0.894, 0.971]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[0.924, 0.986]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XGB+FinBERT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[0.869,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E1-EBM: avg(M2-matched,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[0.918, 0.982]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0.433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0.056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E1-Orig: avg(M2m, M3) [M4 ref]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0.057</w:t>
            </w:r>
          </w:p>
        </w:tc>
      </w:tr>
    </w:tbl>
    <w:p>
      <w:pPr>
        <w:pStyle w:val="BodyText"/>
      </w:pPr>
      <w:r>
        <w:rPr>
          <w:iCs/>
          <w:i/>
        </w:rPr>
        <w:t xml:space="preserve">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pPr>
        <w:pStyle w:val="BodyText"/>
      </w:pPr>
      <w:r>
        <w:t xml:space="preserve">E1-EBM achieves AUROC 0.955 and Brier Score 0.056 — the best calibration of any configuration in Table 4.6 — but AUPRC falls to 0.433 from EBM’s standalone 0.532, as averaging with M2-matched (AUPRC 0.343) pulls the combined result below EBM’s individual level.</w:t>
      </w:r>
    </w:p>
    <w:bookmarkEnd w:id="69"/>
    <w:bookmarkStart w:id="73" w:name="disagreement-analysis"/>
    <w:p>
      <w:pPr>
        <w:pStyle w:val="Heading3"/>
      </w:pPr>
      <w:r>
        <w:t xml:space="preserve">4.10.2 Disagreement Analysis</w:t>
      </w:r>
    </w:p>
    <w:p>
      <w:pPr>
        <w:pStyle w:val="FirstParagraph"/>
      </w:pPr>
      <w:r>
        <w:t xml:space="preserve">Figure 4.10 presents the model disagreement analysis for all three model pairs.</w:t>
      </w:r>
    </w:p>
    <w:p>
      <w:pPr>
        <w:pStyle w:val="CaptionedFigure"/>
      </w:pPr>
      <w:r>
        <w:drawing>
          <wp:inline>
            <wp:extent cx="5727700" cy="1581306"/>
            <wp:effectExtent b="0" l="0" r="0" t="0"/>
            <wp:docPr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title="" id="71" name="Picture"/>
            <a:graphic>
              <a:graphicData uri="http://schemas.openxmlformats.org/drawingml/2006/picture">
                <pic:pic>
                  <pic:nvPicPr>
                    <pic:cNvPr descr="fig10.png" id="72" name="Picture"/>
                    <pic:cNvPicPr>
                      <a:picLocks noChangeArrowheads="1" noChangeAspect="1"/>
                    </pic:cNvPicPr>
                  </pic:nvPicPr>
                  <pic:blipFill>
                    <a:blip r:embed="rId70"/>
                    <a:stretch>
                      <a:fillRect/>
                    </a:stretch>
                  </pic:blipFill>
                  <pic:spPr bwMode="auto">
                    <a:xfrm>
                      <a:off x="0" y="0"/>
                      <a:ext cx="5727700" cy="1581306"/>
                    </a:xfrm>
                    <a:prstGeom prst="rect">
                      <a:avLst/>
                    </a:prstGeom>
                    <a:noFill/>
                    <a:ln w="9525">
                      <a:noFill/>
                      <a:headEnd/>
                      <a:tailEnd/>
                    </a:ln>
                  </pic:spPr>
                </pic:pic>
              </a:graphicData>
            </a:graphic>
          </wp:inline>
        </w:drawing>
      </w:r>
    </w:p>
    <w:p>
      <w:pPr>
        <w:pStyle w:val="ImageCaption"/>
      </w:pPr>
      <w:r>
        <w:t xml:space="preserve">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w:t>
      </w:r>
    </w:p>
    <w:p>
      <w:pPr>
        <w:pStyle w:val="BodyText"/>
      </w:pPr>
      <w:r>
        <w:t xml:space="preserve">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bookmarkEnd w:id="73"/>
    <w:bookmarkStart w:id="77" w:name="cross-sectional-ranking"/>
    <w:p>
      <w:pPr>
        <w:pStyle w:val="Heading3"/>
      </w:pPr>
      <w:r>
        <w:t xml:space="preserve">4.10.3 2007 Cross-Sectional Ranking</w:t>
      </w:r>
    </w:p>
    <w:p>
      <w:pPr>
        <w:pStyle w:val="FirstParagraph"/>
      </w:pPr>
      <w:r>
        <w:t xml:space="preserve">Figure 4.11 presents the E1-EBM 2007 country ranking by crisis type.</w:t>
      </w:r>
    </w:p>
    <w:p>
      <w:pPr>
        <w:pStyle w:val="CaptionedFigure"/>
      </w:pPr>
      <w:r>
        <w:drawing>
          <wp:inline>
            <wp:extent cx="5727700" cy="2009092"/>
            <wp:effectExtent b="0" l="0" r="0" t="0"/>
            <wp:docPr descr="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 title="" id="75" name="Picture"/>
            <a:graphic>
              <a:graphicData uri="http://schemas.openxmlformats.org/drawingml/2006/picture">
                <pic:pic>
                  <pic:nvPicPr>
                    <pic:cNvPr descr="fig11.png" id="76" name="Picture"/>
                    <pic:cNvPicPr>
                      <a:picLocks noChangeArrowheads="1" noChangeAspect="1"/>
                    </pic:cNvPicPr>
                  </pic:nvPicPr>
                  <pic:blipFill>
                    <a:blip r:embed="rId74"/>
                    <a:stretch>
                      <a:fillRect/>
                    </a:stretch>
                  </pic:blipFill>
                  <pic:spPr bwMode="auto">
                    <a:xfrm>
                      <a:off x="0" y="0"/>
                      <a:ext cx="5727700" cy="2009092"/>
                    </a:xfrm>
                    <a:prstGeom prst="rect">
                      <a:avLst/>
                    </a:prstGeom>
                    <a:noFill/>
                    <a:ln w="9525">
                      <a:noFill/>
                      <a:headEnd/>
                      <a:tailEnd/>
                    </a:ln>
                  </pic:spPr>
                </pic:pic>
              </a:graphicData>
            </a:graphic>
          </wp:inline>
        </w:drawing>
      </w:r>
    </w:p>
    <w:p>
      <w:pPr>
        <w:pStyle w:val="ImageCaption"/>
      </w:pPr>
      <w:r>
        <w:t xml:space="preserve">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w:t>
      </w:r>
    </w:p>
    <w:p>
      <w:pPr>
        <w:pStyle w:val="BodyText"/>
      </w:pPr>
      <w:r>
        <w:t xml:space="preserve">Countries experiencing fundamental credit-boom crises receive a mean E1-EBM probability of 0.695, compared with 0.298 for contagion-driven cases and 0.417 for countries with no systemic event. The model correctly discriminates crisis mechanism within the 2007 cross-section: macro precursor-based models assign higher probabilities to crises driven by domestic credit dynamics than to those driven by cross-border contagion or exogenous shocks. Two notable exceptions — Sweden (high probability, no crisis) and the United Kingdom (low probability, fundamental crisis) — illustrate the scope conditions of the macro precursor approach rather than model failure in a general sense. 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r>
        <w:pict>
          <v:rect style="width:0;height:1.5pt" o:hralign="center" o:hrstd="t" o:hr="t"/>
        </w:pict>
      </w:r>
    </w:p>
    <w:bookmarkEnd w:id="77"/>
    <w:bookmarkEnd w:id="78"/>
    <w:bookmarkStart w:id="79" w:name="hypothesis-assessment"/>
    <w:p>
      <w:pPr>
        <w:pStyle w:val="Heading2"/>
      </w:pPr>
      <w:r>
        <w:t xml:space="preserve">4.11 Hypothesis Assessment</w:t>
      </w:r>
    </w:p>
    <w:p>
      <w:pPr>
        <w:pStyle w:val="FirstParagraph"/>
      </w:pPr>
      <w:r>
        <w:rPr>
          <w:bCs/>
          <w:b/>
        </w:rPr>
        <w:t xml:space="preserve">Table 4.7. Hypothesis assessment under the augmented two-stage pipeline with EBM extension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Hypothesis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Stated prediction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Key evidence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Verdict</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H1: Discrimination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achieves higher AUROC/AUPRC than macro-only benchmark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Stage 2: M3 AUPRC 0.411 &gt; M2-matched 0.343 within GFC cross-section. M2.5 EBM appears to achieve AUPRC 0.532 without sentiment, indicating algorithm non-linearity drives Stage 2 performance differences more than the sentiment signal. CI [−0.130, +0.312] spans zero.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directionally on AUPRC within a single-episode evaluation. EBM result indicates discrimination gains are driven by algorithm choice more than sentiment signal. Not statistically confirmed.</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H2: Feature relevance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At least one FinBERT feature ranks top-5 by SHAP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 sentiment features in top 20; SHAP share 26.2%. EBM native importance corroborates macro dominance independently. Agreement between methods reflects shared sample-specific correlation structure, not causal evidence. All statistical tests non-significant.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Not supported in strict formulation. Weakly and conditionally observed. Two independent attribution methods converge on macro dominance within the GFC sample.</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H3: Interpretability trade-off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Quantifiable accuracy-interpretability trade-off across M1–M2–M3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and refined. Trade-off is not binary within the non-linear model class under expanding-window evaluation. This refinement does not alter the central conclusion: neither interpretability nor algorithm choice resolves the regime instability problem.</w:t>
            </w:r>
          </w:p>
        </w:tc>
      </w:tr>
    </w:tbl>
    <w:p>
      <w:pPr>
        <w:pStyle w:val="BodyText"/>
      </w:pPr>
      <w:r>
        <w:rPr>
          <w:iCs/>
          <w:i/>
        </w:rPr>
        <w:t xml:space="preserve">Table 4.7. Hypothesis assessment under the augmented two-stage pipeline (NB01A–NB09B). AUPRC at H2 is the primary metric. All Stage 2 verdicts reflect cross-sectional discrimination within the GFC episode only. Final revision: April 2026.</w:t>
      </w:r>
    </w:p>
    <w:p>
      <w:pPr>
        <w:pStyle w:val="BodyText"/>
      </w:pPr>
      <w:r>
        <w:t xml:space="preserve">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pPr>
        <w:pStyle w:val="BodyText"/>
      </w:pPr>
      <w:r>
        <w:t xml:space="preserve">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bookmarkEnd w:id="79"/>
    <w:bookmarkEnd w:id="80"/>
    <w:p>
      <w:r>
        <w:br w:type="page"/>
      </w:r>
    </w:p>
    <w:p>
      <w:pPr>
        <w:spacing w:after="240"/>
      </w:pPr>
      <w:r>
        <w:rPr>
          <w:b/>
          <w:color w:val="1F4E79"/>
          <w:sz w:val="28"/>
        </w:rPr>
        <w:t>References</w:t>
      </w:r>
    </w:p>
    <w:p>
      <w:pPr>
        <w:spacing w:after="120"/>
        <w:ind w:left="720" w:hanging="720"/>
      </w:pPr>
      <w:r>
        <w:rPr>
          <w:sz w:val="22"/>
        </w:rPr>
        <w:t xml:space="preserve">Beutel, J., List, S. and von Schweinitz, G. </w:t>
      </w:r>
      <w:r>
        <w:rPr>
          <w:sz w:val="22"/>
        </w:rPr>
        <w:t xml:space="preserve">(2019) </w:t>
      </w:r>
      <w:r>
        <w:rPr>
          <w:sz w:val="22"/>
        </w:rPr>
        <w:t xml:space="preserve">'Does machine learning help us predict banking crises?', </w:t>
      </w:r>
      <w:r>
        <w:rPr>
          <w:i/>
          <w:sz w:val="22"/>
        </w:rPr>
        <w:t>Journal of Financial Stability</w:t>
      </w:r>
      <w:r>
        <w:rPr>
          <w:sz w:val="22"/>
        </w:rPr>
        <w:t>, 45, pp. 1–16.</w:t>
      </w:r>
    </w:p>
    <w:p>
      <w:pPr>
        <w:spacing w:after="120"/>
        <w:ind w:left="720" w:hanging="720"/>
      </w:pPr>
      <w:r>
        <w:rPr>
          <w:sz w:val="22"/>
        </w:rPr>
        <w:t xml:space="preserve">Davis, J. and Goadrich, M. </w:t>
      </w:r>
      <w:r>
        <w:rPr>
          <w:sz w:val="22"/>
        </w:rPr>
        <w:t xml:space="preserve">(2006) </w:t>
      </w:r>
      <w:r>
        <w:rPr>
          <w:sz w:val="22"/>
        </w:rPr>
        <w:t xml:space="preserve">'The relationship between precision-recall and ROC curves', </w:t>
      </w:r>
      <w:r>
        <w:rPr>
          <w:i/>
          <w:sz w:val="22"/>
        </w:rPr>
        <w:t>Proceedings of the 23rd International Conference on Machine Learning (ICML)</w:t>
      </w:r>
      <w:r>
        <w:rPr>
          <w:sz w:val="22"/>
        </w:rPr>
        <w:t>, pp. 233–240.</w:t>
      </w:r>
    </w:p>
    <w:p>
      <w:pPr>
        <w:spacing w:after="120"/>
        <w:ind w:left="720" w:hanging="720"/>
      </w:pPr>
      <w:r>
        <w:rPr>
          <w:sz w:val="22"/>
        </w:rPr>
        <w:t xml:space="preserve">Hooker, G. and Mentch, L. </w:t>
      </w:r>
      <w:r>
        <w:rPr>
          <w:sz w:val="22"/>
        </w:rPr>
        <w:t xml:space="preserve">(2019) </w:t>
      </w:r>
      <w:r>
        <w:rPr>
          <w:sz w:val="22"/>
        </w:rPr>
        <w:t xml:space="preserve">'Please stop permuting features: an explanation and alternatives', </w:t>
      </w:r>
      <w:r>
        <w:rPr>
          <w:i/>
          <w:sz w:val="22"/>
        </w:rPr>
        <w:t>arXiv preprint</w:t>
      </w:r>
      <w:r>
        <w:rPr>
          <w:sz w:val="22"/>
        </w:rPr>
        <w:t>, arXiv:1905.03151.</w:t>
      </w:r>
      <w:r>
        <w:rPr>
          <w:sz w:val="22"/>
        </w:rPr>
        <w:t xml:space="preserve"> Available at: https://arxiv.org/abs/1905.03151 (Accessed: 12 April 2026).</w:t>
      </w:r>
    </w:p>
    <w:p>
      <w:pPr>
        <w:spacing w:after="120"/>
        <w:ind w:left="720" w:hanging="720"/>
      </w:pPr>
      <w:r>
        <w:rPr>
          <w:sz w:val="22"/>
        </w:rPr>
        <w:t xml:space="preserve">Holopainen, M. and Sarlin, P. </w:t>
      </w:r>
      <w:r>
        <w:rPr>
          <w:sz w:val="22"/>
        </w:rPr>
        <w:t xml:space="preserve">(2017) </w:t>
      </w:r>
      <w:r>
        <w:rPr>
          <w:sz w:val="22"/>
        </w:rPr>
        <w:t xml:space="preserve">'Toward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Jordà, Ò., Schularick, M. and Taylor, A.M. </w:t>
      </w:r>
      <w:r>
        <w:rPr>
          <w:sz w:val="22"/>
        </w:rPr>
        <w:t xml:space="preserve">(2017) </w:t>
      </w:r>
      <w:r>
        <w:rPr>
          <w:sz w:val="22"/>
        </w:rPr>
        <w:t xml:space="preserve">'Macrofinancial history and the new business cycle facts', </w:t>
      </w:r>
      <w:r>
        <w:rPr>
          <w:i/>
          <w:sz w:val="22"/>
        </w:rPr>
        <w:t>NBER Macroeconomics Annual</w:t>
      </w:r>
      <w:r>
        <w:rPr>
          <w:sz w:val="22"/>
        </w:rPr>
        <w:t>, 31(1), pp. 213–263.</w:t>
      </w:r>
    </w:p>
    <w:p>
      <w:pPr>
        <w:spacing w:after="120"/>
        <w:ind w:left="720" w:hanging="720"/>
      </w:pPr>
      <w:r>
        <w:rPr>
          <w:sz w:val="22"/>
        </w:rPr>
        <w:t xml:space="preserve">Laeven, L. and Valencia, F. </w:t>
      </w:r>
      <w:r>
        <w:rPr>
          <w:sz w:val="22"/>
        </w:rPr>
        <w:t xml:space="preserve">(2020) </w:t>
      </w:r>
      <w:r>
        <w:rPr>
          <w:sz w:val="22"/>
        </w:rPr>
        <w:t xml:space="preserve">'Systemic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w:t>
      </w:r>
      <w:r>
        <w:rPr>
          <w:sz w:val="22"/>
        </w:rPr>
        <w:t xml:space="preserve">(2013) </w:t>
      </w:r>
      <w:r>
        <w:rPr>
          <w:sz w:val="22"/>
        </w:rPr>
        <w:t xml:space="preserve">'Accurate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Lundberg, S.M. and Lee, S-I. </w:t>
      </w:r>
      <w:r>
        <w:rPr>
          <w:sz w:val="22"/>
        </w:rPr>
        <w:t xml:space="preserve">(2017) </w:t>
      </w:r>
      <w:r>
        <w:rPr>
          <w:sz w:val="22"/>
        </w:rPr>
        <w:t xml:space="preserve">'A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Saito, T. and Rehmsmeier, M. </w:t>
      </w:r>
      <w:r>
        <w:rPr>
          <w:sz w:val="22"/>
        </w:rPr>
        <w:t xml:space="preserve">(2015) </w:t>
      </w:r>
      <w:r>
        <w:rPr>
          <w:sz w:val="22"/>
        </w:rPr>
        <w:t xml:space="preserve">'The precision-recall plot is more informative than the ROC plot when evaluating binary classifiers on imbalanced datasets', </w:t>
      </w:r>
      <w:r>
        <w:rPr>
          <w:i/>
          <w:sz w:val="22"/>
        </w:rPr>
        <w:t>PLOS ONE</w:t>
      </w:r>
      <w:r>
        <w:rPr>
          <w:sz w:val="22"/>
        </w:rPr>
        <w:t>, 10(3), e0118432.</w:t>
      </w:r>
    </w:p>
    <w:p>
      <w:pPr>
        <w:spacing w:after="120"/>
        <w:ind w:left="720" w:hanging="720"/>
      </w:pPr>
      <w:r>
        <w:rPr>
          <w:sz w:val="22"/>
        </w:rPr>
        <w:t xml:space="preserve">Schularick, M. and Taylor, A.M. </w:t>
      </w:r>
      <w:r>
        <w:rPr>
          <w:sz w:val="22"/>
        </w:rPr>
        <w:t xml:space="preserve">(2012) </w:t>
      </w:r>
      <w:r>
        <w:rPr>
          <w:sz w:val="22"/>
        </w:rPr>
        <w:t xml:space="preserve">'Credit booms gone bust: monetary policy, leverage cycles, and financial crises, 1870–2008', </w:t>
      </w:r>
      <w:r>
        <w:rPr>
          <w:i/>
          <w:sz w:val="22"/>
        </w:rPr>
        <w:t>American Economic Review</w:t>
      </w:r>
      <w:r>
        <w:rPr>
          <w:sz w:val="22"/>
        </w:rPr>
        <w:t>, 102(2), pp. 1029–1061.</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70" Type="http://schemas.openxmlformats.org/officeDocument/2006/relationships/image" Target="media/rId70.png"/><Relationship Id="rId74" Type="http://schemas.openxmlformats.org/officeDocument/2006/relationships/image" Target="media/rId74.png"/><Relationship Id="rId24" Type="http://schemas.openxmlformats.org/officeDocument/2006/relationships/image" Target="media/rId24.png"/><Relationship Id="rId31" Type="http://schemas.openxmlformats.org/officeDocument/2006/relationships/image" Target="media/rId31.png"/><Relationship Id="rId36" Type="http://schemas.openxmlformats.org/officeDocument/2006/relationships/image" Target="media/rId36.png"/><Relationship Id="rId41" Type="http://schemas.openxmlformats.org/officeDocument/2006/relationships/image" Target="media/rId41.png"/><Relationship Id="rId47" Type="http://schemas.openxmlformats.org/officeDocument/2006/relationships/image" Target="media/rId47.png"/><Relationship Id="rId51" Type="http://schemas.openxmlformats.org/officeDocument/2006/relationships/image" Target="media/rId51.png"/><Relationship Id="rId56" Type="http://schemas.openxmlformats.org/officeDocument/2006/relationships/image" Target="media/rId56.png"/><Relationship Id="rId66"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2026-04-12T09:38:50Z</dcterms:created>
  <dcterms:modified xsi:type="dcterms:W3CDTF">2026-04-12T09:38:50Z</dcterms:modified>
</cp:coreProperties>
</file>

<file path=docProps/custom.xml><?xml version="1.0" encoding="utf-8"?>
<Properties xmlns="http://schemas.openxmlformats.org/officeDocument/2006/custom-properties" xmlns:vt="http://schemas.openxmlformats.org/officeDocument/2006/docPropsVTypes"/>
</file>