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6048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1A5276"/>
                <w:sz w:val="30"/>
              </w:rPr>
              <w:t>DR. SARAH JENKINS, MD</w:t>
              <w:br/>
            </w:r>
            <w:r>
              <w:rPr>
                <w:rFonts w:ascii="Arial" w:hAnsi="Arial"/>
                <w:b/>
                <w:color w:val="16A085"/>
                <w:sz w:val="20"/>
              </w:rPr>
              <w:t>Internal Medicine &amp; Endocrinology</w:t>
              <w:br/>
            </w:r>
            <w:r>
              <w:rPr>
                <w:rFonts w:ascii="Arial" w:hAnsi="Arial"/>
                <w:color w:val="7F8C8D"/>
                <w:sz w:val="18"/>
              </w:rPr>
              <w:t>Metro Care General Hospital, Suite 402</w:t>
              <w:br/>
              <w:t>License No: MD99210488</w:t>
            </w:r>
          </w:p>
        </w:tc>
        <w:tc>
          <w:tcPr>
            <w:tcW w:type="dxa" w:w="34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hAnsi="Arial"/>
                <w:color w:val="444444"/>
                <w:sz w:val="19"/>
              </w:rPr>
              <w:t>Appointments: (555) 019-2834</w:t>
              <w:br/>
              <w:t>Fax: (555) 019-2835</w:t>
              <w:br/>
              <w:t>support@metrocare.org</w:t>
            </w:r>
          </w:p>
        </w:tc>
      </w:tr>
    </w:tbl>
    <w:p>
      <w:pPr>
        <w:spacing w:before="200" w:after="300"/>
        <w:pBdr>
          <w:bottom w:val="single" w:sz="12" w:space="1" w:color="1A5276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5276"/>
                <w:sz w:val="20"/>
              </w:rPr>
              <w:t>Patient Name: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44444"/>
                <w:sz w:val="20"/>
              </w:rPr>
              <w:t>Johnathan Doe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5276"/>
                <w:sz w:val="20"/>
              </w:rPr>
              <w:t>Date:</w:t>
            </w:r>
          </w:p>
        </w:tc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44444"/>
                <w:sz w:val="20"/>
              </w:rPr>
              <w:t>27-Jun-2026</w:t>
            </w:r>
          </w:p>
        </w:tc>
      </w:tr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5276"/>
                <w:sz w:val="20"/>
              </w:rPr>
              <w:t>Age / Sex: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44444"/>
                <w:sz w:val="20"/>
              </w:rPr>
              <w:t>44 Yrs / Male</w:t>
            </w:r>
          </w:p>
        </w:tc>
        <w:tc>
          <w:tcPr>
            <w:tcW w:type="dxa" w:w="115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5276"/>
                <w:sz w:val="20"/>
              </w:rPr>
              <w:t>Weight:</w:t>
            </w:r>
          </w:p>
        </w:tc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44444"/>
                <w:sz w:val="20"/>
              </w:rPr>
              <w:t>82 kg</w:t>
            </w:r>
          </w:p>
        </w:tc>
      </w:tr>
    </w:tbl>
    <w:p>
      <w:pPr>
        <w:spacing w:before="400"/>
      </w:pPr>
    </w:p>
    <w:p>
      <w:pPr>
        <w:spacing w:after="200"/>
      </w:pPr>
      <w:r>
        <w:rPr>
          <w:rFonts w:ascii="Georgia" w:hAnsi="Georgia"/>
          <w:b/>
          <w:color w:val="1A5276"/>
          <w:sz w:val="52"/>
        </w:rPr>
        <w:t>Rx</w:t>
      </w:r>
    </w:p>
    <w:p>
      <w:pPr>
        <w:spacing w:before="120" w:after="40"/>
        <w:ind w:left="576"/>
      </w:pPr>
      <w:r>
        <w:rPr>
          <w:rFonts w:ascii="Arial" w:hAnsi="Arial"/>
          <w:b/>
          <w:color w:val="444444"/>
          <w:sz w:val="22"/>
        </w:rPr>
        <w:t>1. Metformin HCl 500mg (Extended Release)</w:t>
      </w:r>
    </w:p>
    <w:p>
      <w:pPr>
        <w:spacing w:after="40"/>
        <w:ind w:left="864"/>
      </w:pPr>
      <w:r>
        <w:rPr>
          <w:rFonts w:ascii="Arial" w:hAnsi="Arial"/>
          <w:i/>
          <w:color w:val="444444"/>
          <w:sz w:val="20"/>
        </w:rPr>
        <w:t>Sig: Take 1 tablet orally daily with evening meal.</w:t>
      </w:r>
    </w:p>
    <w:p>
      <w:pPr>
        <w:spacing w:after="240"/>
        <w:ind w:left="864"/>
      </w:pPr>
      <w:r>
        <w:rPr>
          <w:rFonts w:ascii="Arial" w:hAnsi="Arial"/>
          <w:color w:val="7F8C8D"/>
          <w:sz w:val="19"/>
        </w:rPr>
        <w:t>Dispense: 30 Tablets | Refills: 3</w:t>
      </w:r>
    </w:p>
    <w:p>
      <w:pPr>
        <w:spacing w:before="120" w:after="40"/>
        <w:ind w:left="576"/>
      </w:pPr>
      <w:r>
        <w:rPr>
          <w:rFonts w:ascii="Arial" w:hAnsi="Arial"/>
          <w:b/>
          <w:color w:val="444444"/>
          <w:sz w:val="22"/>
        </w:rPr>
        <w:t>2. Atorvastatin Calcium 10mg</w:t>
      </w:r>
    </w:p>
    <w:p>
      <w:pPr>
        <w:spacing w:after="40"/>
        <w:ind w:left="864"/>
      </w:pPr>
      <w:r>
        <w:rPr>
          <w:rFonts w:ascii="Arial" w:hAnsi="Arial"/>
          <w:i/>
          <w:color w:val="444444"/>
          <w:sz w:val="20"/>
        </w:rPr>
        <w:t>Sig: Take 1 tablet orally at bedtime.</w:t>
      </w:r>
    </w:p>
    <w:p>
      <w:pPr>
        <w:spacing w:after="240"/>
        <w:ind w:left="864"/>
      </w:pPr>
      <w:r>
        <w:rPr>
          <w:rFonts w:ascii="Arial" w:hAnsi="Arial"/>
          <w:color w:val="7F8C8D"/>
          <w:sz w:val="19"/>
        </w:rPr>
        <w:t>Dispense: 30 Tablets | Refills: 2</w:t>
      </w:r>
    </w:p>
    <w:p>
      <w:pPr>
        <w:spacing w:before="120" w:after="40"/>
        <w:ind w:left="576"/>
      </w:pPr>
      <w:r>
        <w:rPr>
          <w:rFonts w:ascii="Arial" w:hAnsi="Arial"/>
          <w:b/>
          <w:color w:val="444444"/>
          <w:sz w:val="22"/>
        </w:rPr>
        <w:t>3. Omega-3 Acid Ethyl Esters 1g</w:t>
      </w:r>
    </w:p>
    <w:p>
      <w:pPr>
        <w:spacing w:after="40"/>
        <w:ind w:left="864"/>
      </w:pPr>
      <w:r>
        <w:rPr>
          <w:rFonts w:ascii="Arial" w:hAnsi="Arial"/>
          <w:i/>
          <w:color w:val="444444"/>
          <w:sz w:val="20"/>
        </w:rPr>
        <w:t>Sig: Take 2 capsules orally daily with dinner.</w:t>
      </w:r>
    </w:p>
    <w:p>
      <w:pPr>
        <w:spacing w:after="240"/>
        <w:ind w:left="864"/>
      </w:pPr>
      <w:r>
        <w:rPr>
          <w:rFonts w:ascii="Arial" w:hAnsi="Arial"/>
          <w:color w:val="7F8C8D"/>
          <w:sz w:val="19"/>
        </w:rPr>
        <w:t>Dispense: 60 Capsules | Refills: 5</w:t>
      </w:r>
    </w:p>
    <w:p>
      <w:pPr>
        <w:spacing w:before="300" w:after="80"/>
      </w:pPr>
      <w:r>
        <w:rPr>
          <w:rFonts w:ascii="Arial" w:hAnsi="Arial"/>
          <w:b/>
          <w:color w:val="16A085"/>
          <w:sz w:val="20"/>
        </w:rPr>
        <w:t>GENERAL INSTRUCTIONS &amp;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4F6F7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none"/>
              <w:bottom w:val="none"/>
              <w:right w:val="none"/>
              <w:left w:val="single" w:sz="18" w:space="0" w:color="16A085"/>
            </w:tcBorders>
          </w:tcPr>
          <w:p>
            <w:r>
              <w:rPr>
                <w:rFonts w:ascii="Arial" w:hAnsi="Arial"/>
                <w:color w:val="444444"/>
                <w:sz w:val="19"/>
              </w:rPr>
              <w:t>- Monitor fasting blood glucose levels weekly.</w:t>
              <w:br/>
              <w:t>- Maintain a low glycemic diet; restrict processed sugars and refined carbohydrates.</w:t>
              <w:br/>
              <w:t>- Retake fasting blood glucose and lipid panels in 4 weeks.</w:t>
              <w:br/>
              <w:t>- Schedule follow-up appointment in 6 weeks to evaluate baseline adjustment.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  <w:tcMar>
              <w:top w:w="500" w:type="dxa"/>
              <w:bottom w:w="50" w:type="dxa"/>
              <w:left w:w="50" w:type="dxa"/>
              <w:right w:w="50" w:type="dxa"/>
            </w:tcMar>
            <w:tcBorders>
              <w:bottom w:val="single" w:sz="4" w:space="0" w:color="1A5276"/>
            </w:tcBorders>
          </w:tcPr>
          <w:p/>
        </w:tc>
      </w:tr>
    </w:tbl>
    <w:p>
      <w:pPr>
        <w:spacing w:before="80"/>
        <w:jc w:val="right"/>
      </w:pPr>
      <w:r>
        <w:rPr>
          <w:rFonts w:ascii="Arial" w:hAnsi="Arial"/>
          <w:b/>
          <w:color w:val="7F8C8D"/>
          <w:sz w:val="18"/>
        </w:rPr>
        <w:t>Authorized Signature / DEA Validation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