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AE89" w14:textId="60D07198" w:rsidR="00273B01" w:rsidRPr="00273B01" w:rsidRDefault="00273B01" w:rsidP="00273B01">
      <w:r w:rsidRPr="00273B01">
        <w:t xml:space="preserve">Objective: Epileptic seizures arise from pathological interactions across distributed brain networks rather than isolated focal abnormalities [1]. Stereo-electroencephalography (SEEG) enables direct, </w:t>
      </w:r>
      <w:r w:rsidR="002A663D" w:rsidRPr="00273B01">
        <w:t>high-resolution</w:t>
      </w:r>
      <w:r w:rsidRPr="00273B01">
        <w:t xml:space="preserve"> measurements of such interactions across cortical and subcortical structures [2</w:t>
      </w:r>
      <w:proofErr w:type="gramStart"/>
      <w:r w:rsidRPr="00273B01">
        <w:t>] ,</w:t>
      </w:r>
      <w:proofErr w:type="gramEnd"/>
      <w:r w:rsidRPr="00273B01">
        <w:t xml:space="preserve"> yet most existing studies collapse seizure dynamics into static or time-averaged representations [3,4,5], focusing on rapid network reconfigurations. Such functional connectivity (FC) obscures mechanisms governing seizure initiation, propagation, and termination, while purely dynamic measures are sensitive to noise and seizure duration [6]. A principled characterization of seizure networks is therefore required—one that separates stable, low-dimensional structures from rapidly varying components. Such an analysis would enable identification of network elements that persist across time and seizures, while preserving sensitivity to seizure-related transitions. We propose a functional-microstate framework that characterizes seizure networks </w:t>
      </w:r>
      <w:r w:rsidR="002A663D" w:rsidRPr="00273B01">
        <w:t>into invariant</w:t>
      </w:r>
      <w:r w:rsidRPr="00273B01">
        <w:t xml:space="preserve"> subspace, isolating the stable backbone while capturing seizure-related reorganizations. Importantly, this approach allows seizure dynamics to be interpreted relative to an underlying network backbone, rather than as isolated or purely transient events.</w:t>
      </w:r>
    </w:p>
    <w:p w14:paraId="14879D3B" w14:textId="77777777" w:rsidR="00273B01" w:rsidRPr="00273B01" w:rsidRDefault="00273B01" w:rsidP="00273B01">
      <w:r w:rsidRPr="00273B01">
        <w:t>Methods: We analyzed a mixed cohort of patients with drug-resistant temporal lobe epilepsy, who underwent surgical intervention and were classified as seizure-free or non-seizure-free based on outcomes following a minimum of one year of post-operative follow up. For each patient, SEEG recordings were extracted during baseline activity (sleep and awake) as well as entire seizure, including 2-minute pre-onset and 30-seconds post-offset to ensure consistent temporal coverage across subjects. Recording were decomposed into their respective frequency bands (delta, theta, alpha, beta and gamma) and were segmented into fine temporal windows (250ms) to capture microstate-level dynamics. FC between SEEG contacts was estimated within each window using phase-locking value (PLV). For each resulting connectivity matrix, the invariant subspace was computed and tracked over time to characterize its temporal evolution. To quantify changes across different recording stages, deviations in invariant subspace structure were statistically compared against the awake baseline using the non-parametric Wilcoxon signed-rank test.</w:t>
      </w:r>
    </w:p>
    <w:p w14:paraId="31A7A3A5" w14:textId="77777777" w:rsidR="00273B01" w:rsidRPr="00273B01" w:rsidRDefault="00273B01" w:rsidP="00273B01">
      <w:r w:rsidRPr="00273B01">
        <w:t>Results: A total of 214 seizures (seizure-free = 133) from a cohort of 73 patients (seizure-free = 45) diagnosed with drug-resistant temporal lobe epilepsy were analyzed. In the seizure-free group, statistically significant changes in invariant subspace dynamics were observed across all frequency bands during the ictal period compared to the awake baseline. In contrast, the non–seizure-free group demonstrated significant alterations only in the theta and gamma bands during the ictal phase. Additionally, in the non-seizure-free group, the theta band also showed significant differences during the postictal period relative to baseline.</w:t>
      </w:r>
    </w:p>
    <w:p w14:paraId="073DC829" w14:textId="77777777" w:rsidR="00273B01" w:rsidRPr="00273B01" w:rsidRDefault="00273B01" w:rsidP="00273B01">
      <w:r w:rsidRPr="00273B01">
        <w:lastRenderedPageBreak/>
        <w:t xml:space="preserve">Conclusions: By isolating the invariant subspace from transient seizure </w:t>
      </w:r>
      <w:proofErr w:type="gramStart"/>
      <w:r w:rsidRPr="00273B01">
        <w:t>dynamics</w:t>
      </w:r>
      <w:proofErr w:type="gramEnd"/>
      <w:r w:rsidRPr="00273B01">
        <w:t xml:space="preserve"> we demonstrate that successful surgical intervention is linked to a more comprehensive reconfiguration of the underlying network backbone across frequency spectrum. In the non-seizure-free group, the lack of widespread spectral changes during the ictal phase suggests a failure in capturing the primary seizure network. This lack of detectable reconfiguration implies that the SEEG implantation may have bypassed the critical nodes of the epileptogenic zone, highlighting the framework’s utility in identifying suboptimal electrode coverage. This approach moves beyond "static" connectivity, providing a principled method for characterizing the low-dimensional structures that govern seizure evolution and termination.</w:t>
      </w:r>
    </w:p>
    <w:p w14:paraId="609A4DF3" w14:textId="77777777" w:rsidR="00A56E2E" w:rsidRDefault="00A56E2E"/>
    <w:p w14:paraId="573E44A7" w14:textId="77777777" w:rsidR="00273B01" w:rsidRDefault="00273B01"/>
    <w:p w14:paraId="4B53EFBC" w14:textId="3903096A" w:rsidR="00273B01" w:rsidRDefault="00273B01">
      <w:r>
        <w:t>References:</w:t>
      </w:r>
    </w:p>
    <w:p w14:paraId="36BE5D11" w14:textId="77777777" w:rsidR="00273B01" w:rsidRPr="00273B01" w:rsidRDefault="00273B01" w:rsidP="00273B01">
      <w:r w:rsidRPr="00273B01">
        <w:t xml:space="preserve">[1] M. A. Kramer and S. S. Cash, “Epilepsy as a Disorder of Cortical Network Organization,” The Neuroscientist, vol. 18, no. 4, pp. 360–372, Aug. 2012, </w:t>
      </w:r>
      <w:proofErr w:type="spellStart"/>
      <w:r w:rsidRPr="00273B01">
        <w:t>doi</w:t>
      </w:r>
      <w:proofErr w:type="spellEnd"/>
      <w:r w:rsidRPr="00273B01">
        <w:t>: 10.1177/1073858411422754.</w:t>
      </w:r>
    </w:p>
    <w:p w14:paraId="40052E0B" w14:textId="77777777" w:rsidR="00273B01" w:rsidRPr="00273B01" w:rsidRDefault="00273B01" w:rsidP="00273B01">
      <w:r w:rsidRPr="00273B01">
        <w:t>[2] J. P. Mullin et al., “Is SEEG safe? A systematic review and meta</w:t>
      </w:r>
      <w:r w:rsidRPr="00273B01">
        <w:rPr>
          <w:rFonts w:ascii="Cambria Math" w:hAnsi="Cambria Math" w:cs="Cambria Math"/>
        </w:rPr>
        <w:t>‐</w:t>
      </w:r>
      <w:r w:rsidRPr="00273B01">
        <w:t>analysis of stereo</w:t>
      </w:r>
      <w:r w:rsidRPr="00273B01">
        <w:rPr>
          <w:rFonts w:ascii="Cambria Math" w:hAnsi="Cambria Math" w:cs="Cambria Math"/>
        </w:rPr>
        <w:t>‐</w:t>
      </w:r>
      <w:r w:rsidRPr="00273B01">
        <w:t>electroencephalography</w:t>
      </w:r>
      <w:r w:rsidRPr="00273B01">
        <w:rPr>
          <w:rFonts w:ascii="Aptos" w:hAnsi="Aptos" w:cs="Aptos"/>
        </w:rPr>
        <w:t>–</w:t>
      </w:r>
      <w:r w:rsidRPr="00273B01">
        <w:t>related complications,</w:t>
      </w:r>
      <w:r w:rsidRPr="00273B01">
        <w:rPr>
          <w:rFonts w:ascii="Aptos" w:hAnsi="Aptos" w:cs="Aptos"/>
        </w:rPr>
        <w:t>”</w:t>
      </w:r>
      <w:r w:rsidRPr="00273B01">
        <w:t xml:space="preserve"> Epilepsia, vol. 57, no. 3, pp. 386</w:t>
      </w:r>
      <w:r w:rsidRPr="00273B01">
        <w:rPr>
          <w:rFonts w:ascii="Aptos" w:hAnsi="Aptos" w:cs="Aptos"/>
        </w:rPr>
        <w:t>–</w:t>
      </w:r>
      <w:r w:rsidRPr="00273B01">
        <w:t xml:space="preserve">401, Mar. 2016, </w:t>
      </w:r>
      <w:proofErr w:type="spellStart"/>
      <w:r w:rsidRPr="00273B01">
        <w:t>doi</w:t>
      </w:r>
      <w:proofErr w:type="spellEnd"/>
      <w:r w:rsidRPr="00273B01">
        <w:t>: 10.1111/epi.13298.</w:t>
      </w:r>
    </w:p>
    <w:p w14:paraId="21C41FCF" w14:textId="77777777" w:rsidR="00273B01" w:rsidRPr="00273B01" w:rsidRDefault="00273B01" w:rsidP="00273B01">
      <w:r w:rsidRPr="00273B01">
        <w:t xml:space="preserve">[3] D. L. Paulo et al., “SEEG Functional Connectivity Measures to Identify Epileptogenic Zones: Stability, Medication Influence, and Recording Condition,” Neurology, vol. 98, no. 20, May 2022, </w:t>
      </w:r>
      <w:proofErr w:type="spellStart"/>
      <w:r w:rsidRPr="00273B01">
        <w:t>doi</w:t>
      </w:r>
      <w:proofErr w:type="spellEnd"/>
      <w:r w:rsidRPr="00273B01">
        <w:t>: 10.1212/WNL.0000000000200386.</w:t>
      </w:r>
    </w:p>
    <w:p w14:paraId="7C050A6F" w14:textId="77777777" w:rsidR="00273B01" w:rsidRPr="00273B01" w:rsidRDefault="00273B01" w:rsidP="00273B01">
      <w:r w:rsidRPr="00273B01">
        <w:t xml:space="preserve">[4] S. E. Goodale et al., “Resting-State SEEG May Help Localize Epileptogenic Brain Regions,” Neurosurgery, vol. 86, no. 6, pp. 792–801, Jun. 2020, </w:t>
      </w:r>
      <w:proofErr w:type="spellStart"/>
      <w:r w:rsidRPr="00273B01">
        <w:t>doi</w:t>
      </w:r>
      <w:proofErr w:type="spellEnd"/>
      <w:r w:rsidRPr="00273B01">
        <w:t>: 10.1093/neuros/nyz351.</w:t>
      </w:r>
    </w:p>
    <w:p w14:paraId="686E340A" w14:textId="77777777" w:rsidR="00273B01" w:rsidRPr="00273B01" w:rsidRDefault="00273B01" w:rsidP="00273B01">
      <w:r w:rsidRPr="00273B01">
        <w:t>[5] S. Narasimhan et al., “Seizure</w:t>
      </w:r>
      <w:r w:rsidRPr="00273B01">
        <w:rPr>
          <w:rFonts w:ascii="Cambria Math" w:hAnsi="Cambria Math" w:cs="Cambria Math"/>
        </w:rPr>
        <w:t>‐</w:t>
      </w:r>
      <w:r w:rsidRPr="00273B01">
        <w:t>onset regions demonstrate high inward directed connectivity during resting</w:t>
      </w:r>
      <w:r w:rsidRPr="00273B01">
        <w:rPr>
          <w:rFonts w:ascii="Cambria Math" w:hAnsi="Cambria Math" w:cs="Cambria Math"/>
        </w:rPr>
        <w:t>‐</w:t>
      </w:r>
      <w:r w:rsidRPr="00273B01">
        <w:t>state: An SEEG study in focal epilepsy,</w:t>
      </w:r>
      <w:r w:rsidRPr="00273B01">
        <w:rPr>
          <w:rFonts w:ascii="Aptos" w:hAnsi="Aptos" w:cs="Aptos"/>
        </w:rPr>
        <w:t>”</w:t>
      </w:r>
      <w:r w:rsidRPr="00273B01">
        <w:t xml:space="preserve"> Epilepsia, vol. 61, no. 11, pp. 2534</w:t>
      </w:r>
      <w:r w:rsidRPr="00273B01">
        <w:rPr>
          <w:rFonts w:ascii="Aptos" w:hAnsi="Aptos" w:cs="Aptos"/>
        </w:rPr>
        <w:t>–</w:t>
      </w:r>
      <w:r w:rsidRPr="00273B01">
        <w:t xml:space="preserve">2544, Nov. 2020, </w:t>
      </w:r>
      <w:proofErr w:type="spellStart"/>
      <w:r w:rsidRPr="00273B01">
        <w:t>doi</w:t>
      </w:r>
      <w:proofErr w:type="spellEnd"/>
      <w:r w:rsidRPr="00273B01">
        <w:t>: 10.1111/epi.16686.</w:t>
      </w:r>
    </w:p>
    <w:p w14:paraId="66CF5D3D" w14:textId="77777777" w:rsidR="00273B01" w:rsidRPr="00273B01" w:rsidRDefault="00273B01" w:rsidP="00273B01">
      <w:r w:rsidRPr="00273B01">
        <w:t xml:space="preserve">[6] R. Dev, S. Kumar, and T. K. Gandhi, “Detecting Microstate Transition in Human Brain via Eigenspace of Spatiotemporal Graph,” IEEE Sens. Lett., vol. 7, no. 5, pp. 1–4, May 2023, </w:t>
      </w:r>
      <w:proofErr w:type="spellStart"/>
      <w:r w:rsidRPr="00273B01">
        <w:t>doi</w:t>
      </w:r>
      <w:proofErr w:type="spellEnd"/>
      <w:r w:rsidRPr="00273B01">
        <w:t>: 10.1109/LSENS.2023.3269672.</w:t>
      </w:r>
    </w:p>
    <w:p w14:paraId="6E62DD0E" w14:textId="77777777" w:rsidR="00273B01" w:rsidRDefault="00273B01"/>
    <w:sectPr w:rsidR="00273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01"/>
    <w:rsid w:val="00273B01"/>
    <w:rsid w:val="002A663D"/>
    <w:rsid w:val="003A76BE"/>
    <w:rsid w:val="00560946"/>
    <w:rsid w:val="005722B2"/>
    <w:rsid w:val="005C2BAD"/>
    <w:rsid w:val="006042AA"/>
    <w:rsid w:val="00626CB5"/>
    <w:rsid w:val="00916F93"/>
    <w:rsid w:val="00A56E2E"/>
    <w:rsid w:val="00AE0AC2"/>
    <w:rsid w:val="00BA56DB"/>
    <w:rsid w:val="00C0016B"/>
    <w:rsid w:val="00C8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C27A"/>
  <w15:chartTrackingRefBased/>
  <w15:docId w15:val="{CA53BEA8-4BA6-408E-B0DE-EE1C69B5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01"/>
    <w:rPr>
      <w:rFonts w:eastAsiaTheme="majorEastAsia" w:cstheme="majorBidi"/>
      <w:color w:val="272727" w:themeColor="text1" w:themeTint="D8"/>
    </w:rPr>
  </w:style>
  <w:style w:type="paragraph" w:styleId="Title">
    <w:name w:val="Title"/>
    <w:basedOn w:val="Normal"/>
    <w:next w:val="Normal"/>
    <w:link w:val="TitleChar"/>
    <w:uiPriority w:val="10"/>
    <w:qFormat/>
    <w:rsid w:val="00273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01"/>
    <w:pPr>
      <w:spacing w:before="160"/>
      <w:jc w:val="center"/>
    </w:pPr>
    <w:rPr>
      <w:i/>
      <w:iCs/>
      <w:color w:val="404040" w:themeColor="text1" w:themeTint="BF"/>
    </w:rPr>
  </w:style>
  <w:style w:type="character" w:customStyle="1" w:styleId="QuoteChar">
    <w:name w:val="Quote Char"/>
    <w:basedOn w:val="DefaultParagraphFont"/>
    <w:link w:val="Quote"/>
    <w:uiPriority w:val="29"/>
    <w:rsid w:val="00273B01"/>
    <w:rPr>
      <w:i/>
      <w:iCs/>
      <w:color w:val="404040" w:themeColor="text1" w:themeTint="BF"/>
    </w:rPr>
  </w:style>
  <w:style w:type="paragraph" w:styleId="ListParagraph">
    <w:name w:val="List Paragraph"/>
    <w:basedOn w:val="Normal"/>
    <w:uiPriority w:val="34"/>
    <w:qFormat/>
    <w:rsid w:val="00273B01"/>
    <w:pPr>
      <w:ind w:left="720"/>
      <w:contextualSpacing/>
    </w:pPr>
  </w:style>
  <w:style w:type="character" w:styleId="IntenseEmphasis">
    <w:name w:val="Intense Emphasis"/>
    <w:basedOn w:val="DefaultParagraphFont"/>
    <w:uiPriority w:val="21"/>
    <w:qFormat/>
    <w:rsid w:val="00273B01"/>
    <w:rPr>
      <w:i/>
      <w:iCs/>
      <w:color w:val="0F4761" w:themeColor="accent1" w:themeShade="BF"/>
    </w:rPr>
  </w:style>
  <w:style w:type="paragraph" w:styleId="IntenseQuote">
    <w:name w:val="Intense Quote"/>
    <w:basedOn w:val="Normal"/>
    <w:next w:val="Normal"/>
    <w:link w:val="IntenseQuoteChar"/>
    <w:uiPriority w:val="30"/>
    <w:qFormat/>
    <w:rsid w:val="00273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B01"/>
    <w:rPr>
      <w:i/>
      <w:iCs/>
      <w:color w:val="0F4761" w:themeColor="accent1" w:themeShade="BF"/>
    </w:rPr>
  </w:style>
  <w:style w:type="character" w:styleId="IntenseReference">
    <w:name w:val="Intense Reference"/>
    <w:basedOn w:val="DefaultParagraphFont"/>
    <w:uiPriority w:val="32"/>
    <w:qFormat/>
    <w:rsid w:val="00273B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685</Words>
  <Characters>4449</Characters>
  <Application>Microsoft Office Word</Application>
  <DocSecurity>0</DocSecurity>
  <Lines>67</Lines>
  <Paragraphs>12</Paragraphs>
  <ScaleCrop>false</ScaleCrop>
  <Company>Cleveland Clinic</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Banappa, Hanu Skanda</dc:creator>
  <cp:keywords/>
  <dc:description/>
  <cp:lastModifiedBy>Banappa, Hanu Skanda</cp:lastModifiedBy>
  <cp:revision>3</cp:revision>
  <dcterms:created xsi:type="dcterms:W3CDTF">2026-04-01T18:19:00Z</dcterms:created>
  <dcterms:modified xsi:type="dcterms:W3CDTF">2026-04-01T18:21:00Z</dcterms:modified>
</cp:coreProperties>
</file>