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21DCD" w14:textId="39BCE3CA" w:rsidR="002C4B4B" w:rsidRPr="0082335C" w:rsidRDefault="002C4B4B" w:rsidP="00F54270">
      <w:pPr>
        <w:spacing w:after="0" w:line="480" w:lineRule="auto"/>
        <w:ind w:left="10" w:right="19" w:hanging="10"/>
        <w:jc w:val="center"/>
        <w:rPr>
          <w:rFonts w:ascii="Times New Roman" w:hAnsi="Times New Roman" w:cs="Times New Roman"/>
        </w:rPr>
      </w:pPr>
      <w:r w:rsidRPr="0082335C">
        <w:rPr>
          <w:rFonts w:ascii="Times New Roman" w:hAnsi="Times New Roman" w:cs="Times New Roman"/>
          <w:b/>
        </w:rPr>
        <w:t xml:space="preserve">HPS203/773 Assessment Task </w:t>
      </w:r>
      <w:r w:rsidR="008616C2">
        <w:rPr>
          <w:rFonts w:ascii="Times New Roman" w:hAnsi="Times New Roman" w:cs="Times New Roman"/>
          <w:b/>
        </w:rPr>
        <w:t>2</w:t>
      </w:r>
      <w:r w:rsidRPr="0082335C">
        <w:rPr>
          <w:rFonts w:ascii="Times New Roman" w:hAnsi="Times New Roman" w:cs="Times New Roman"/>
          <w:b/>
        </w:rPr>
        <w:t xml:space="preserve">: Lab Report </w:t>
      </w:r>
      <w:r w:rsidR="00934825">
        <w:rPr>
          <w:rFonts w:ascii="Times New Roman" w:hAnsi="Times New Roman" w:cs="Times New Roman"/>
          <w:b/>
        </w:rPr>
        <w:t>Discussion</w:t>
      </w:r>
    </w:p>
    <w:p w14:paraId="08DDEA9D" w14:textId="77777777" w:rsidR="002C4B4B" w:rsidRPr="0082335C" w:rsidRDefault="002C4B4B" w:rsidP="00F54270">
      <w:pPr>
        <w:spacing w:after="0" w:line="480" w:lineRule="auto"/>
        <w:ind w:left="10" w:right="0" w:hanging="10"/>
        <w:jc w:val="center"/>
        <w:rPr>
          <w:rFonts w:ascii="Times New Roman" w:hAnsi="Times New Roman" w:cs="Times New Roman"/>
        </w:rPr>
      </w:pPr>
      <w:r w:rsidRPr="0082335C">
        <w:rPr>
          <w:rFonts w:ascii="Times New Roman" w:hAnsi="Times New Roman" w:cs="Times New Roman"/>
        </w:rPr>
        <w:t>Student Name: Michael Alford</w:t>
      </w:r>
    </w:p>
    <w:p w14:paraId="144E257C" w14:textId="77777777" w:rsidR="002E55EB" w:rsidRDefault="002C4B4B" w:rsidP="00F54270">
      <w:pPr>
        <w:spacing w:after="0" w:line="480" w:lineRule="auto"/>
        <w:ind w:left="697" w:right="516" w:hanging="204"/>
        <w:jc w:val="center"/>
        <w:rPr>
          <w:rFonts w:ascii="Times New Roman" w:hAnsi="Times New Roman" w:cs="Times New Roman"/>
        </w:rPr>
      </w:pPr>
      <w:r w:rsidRPr="0082335C">
        <w:rPr>
          <w:rFonts w:ascii="Times New Roman" w:hAnsi="Times New Roman" w:cs="Times New Roman"/>
        </w:rPr>
        <w:t xml:space="preserve">Unit Submitted for: </w:t>
      </w:r>
      <w:r w:rsidR="00F423D5">
        <w:rPr>
          <w:rFonts w:ascii="Times New Roman" w:hAnsi="Times New Roman" w:cs="Times New Roman"/>
        </w:rPr>
        <w:t>HPS203</w:t>
      </w:r>
      <w:r w:rsidRPr="0082335C">
        <w:rPr>
          <w:rFonts w:ascii="Times New Roman" w:hAnsi="Times New Roman" w:cs="Times New Roman"/>
        </w:rPr>
        <w:t xml:space="preserve"> </w:t>
      </w:r>
      <w:r w:rsidR="00F423D5">
        <w:rPr>
          <w:rFonts w:ascii="Times New Roman" w:hAnsi="Times New Roman" w:cs="Times New Roman"/>
        </w:rPr>
        <w:t>–</w:t>
      </w:r>
      <w:r w:rsidRPr="0082335C">
        <w:rPr>
          <w:rFonts w:ascii="Times New Roman" w:hAnsi="Times New Roman" w:cs="Times New Roman"/>
        </w:rPr>
        <w:t xml:space="preserve"> </w:t>
      </w:r>
      <w:r w:rsidR="00F423D5">
        <w:rPr>
          <w:rFonts w:ascii="Times New Roman" w:hAnsi="Times New Roman" w:cs="Times New Roman"/>
        </w:rPr>
        <w:t>Cognitive Psychology</w:t>
      </w:r>
    </w:p>
    <w:p w14:paraId="447E31CC" w14:textId="404AE55E" w:rsidR="002C4B4B" w:rsidRPr="0082335C" w:rsidRDefault="002C4B4B" w:rsidP="00F54270">
      <w:pPr>
        <w:spacing w:after="0" w:line="480" w:lineRule="auto"/>
        <w:ind w:left="697" w:right="516" w:hanging="204"/>
        <w:jc w:val="center"/>
        <w:rPr>
          <w:rFonts w:ascii="Times New Roman" w:hAnsi="Times New Roman" w:cs="Times New Roman"/>
        </w:rPr>
      </w:pPr>
      <w:r w:rsidRPr="0082335C">
        <w:rPr>
          <w:rFonts w:ascii="Times New Roman" w:hAnsi="Times New Roman" w:cs="Times New Roman"/>
        </w:rPr>
        <w:t>Student ID: 221147552</w:t>
      </w:r>
    </w:p>
    <w:p w14:paraId="384931C2" w14:textId="1C815E90" w:rsidR="002C4B4B" w:rsidRPr="0082335C" w:rsidRDefault="002C4B4B" w:rsidP="00F54270">
      <w:pPr>
        <w:spacing w:after="0" w:line="480" w:lineRule="auto"/>
        <w:ind w:left="697" w:right="516" w:hanging="204"/>
        <w:jc w:val="center"/>
        <w:rPr>
          <w:rFonts w:ascii="Times New Roman" w:hAnsi="Times New Roman" w:cs="Times New Roman"/>
        </w:rPr>
      </w:pPr>
      <w:r w:rsidRPr="0082335C">
        <w:rPr>
          <w:rFonts w:ascii="Times New Roman" w:hAnsi="Times New Roman" w:cs="Times New Roman"/>
        </w:rPr>
        <w:t xml:space="preserve">Final Word Count: </w:t>
      </w:r>
      <w:r w:rsidR="00D418F8">
        <w:rPr>
          <w:rFonts w:ascii="Times New Roman" w:hAnsi="Times New Roman" w:cs="Times New Roman"/>
        </w:rPr>
        <w:t>805</w:t>
      </w:r>
    </w:p>
    <w:p w14:paraId="6B06A05D" w14:textId="77777777" w:rsidR="002C4B4B" w:rsidRPr="0082335C" w:rsidRDefault="002C4B4B" w:rsidP="00F54270">
      <w:pPr>
        <w:spacing w:after="112" w:line="480" w:lineRule="auto"/>
        <w:ind w:left="10" w:right="19" w:hanging="10"/>
        <w:jc w:val="center"/>
        <w:rPr>
          <w:rFonts w:ascii="Times New Roman" w:hAnsi="Times New Roman" w:cs="Times New Roman"/>
          <w:b/>
        </w:rPr>
      </w:pPr>
    </w:p>
    <w:p w14:paraId="7842F529" w14:textId="77777777" w:rsidR="002C4B4B" w:rsidRPr="0082335C" w:rsidRDefault="002C4B4B" w:rsidP="00F54270">
      <w:pPr>
        <w:spacing w:after="112" w:line="480" w:lineRule="auto"/>
        <w:ind w:left="10" w:right="19" w:hanging="10"/>
        <w:jc w:val="center"/>
        <w:rPr>
          <w:rFonts w:ascii="Times New Roman" w:hAnsi="Times New Roman" w:cs="Times New Roman"/>
          <w:b/>
        </w:rPr>
      </w:pPr>
    </w:p>
    <w:p w14:paraId="3BC41CF5" w14:textId="77777777" w:rsidR="002C4B4B" w:rsidRPr="0082335C" w:rsidRDefault="002C4B4B" w:rsidP="00F54270">
      <w:pPr>
        <w:spacing w:after="112" w:line="480" w:lineRule="auto"/>
        <w:ind w:left="10" w:right="19" w:hanging="10"/>
        <w:jc w:val="center"/>
        <w:rPr>
          <w:rFonts w:ascii="Times New Roman" w:hAnsi="Times New Roman" w:cs="Times New Roman"/>
          <w:b/>
        </w:rPr>
      </w:pPr>
    </w:p>
    <w:p w14:paraId="6D97AE9B" w14:textId="77777777" w:rsidR="002C4B4B" w:rsidRPr="0082335C" w:rsidRDefault="002C4B4B" w:rsidP="00F54270">
      <w:pPr>
        <w:spacing w:after="112" w:line="480" w:lineRule="auto"/>
        <w:ind w:left="10" w:right="19" w:hanging="10"/>
        <w:jc w:val="center"/>
        <w:rPr>
          <w:rFonts w:ascii="Times New Roman" w:hAnsi="Times New Roman" w:cs="Times New Roman"/>
          <w:b/>
        </w:rPr>
      </w:pPr>
    </w:p>
    <w:p w14:paraId="6F1254B6" w14:textId="77777777" w:rsidR="002C4B4B" w:rsidRPr="0082335C" w:rsidRDefault="002C4B4B" w:rsidP="00F54270">
      <w:pPr>
        <w:spacing w:after="112" w:line="480" w:lineRule="auto"/>
        <w:ind w:left="0" w:right="19" w:firstLine="0"/>
        <w:jc w:val="center"/>
        <w:rPr>
          <w:rFonts w:ascii="Times New Roman" w:hAnsi="Times New Roman" w:cs="Times New Roman"/>
          <w:b/>
        </w:rPr>
      </w:pPr>
    </w:p>
    <w:p w14:paraId="2D48B33E" w14:textId="77777777" w:rsidR="002C4B4B" w:rsidRPr="0082335C" w:rsidRDefault="002C4B4B" w:rsidP="00F54270">
      <w:pPr>
        <w:spacing w:after="112" w:line="480" w:lineRule="auto"/>
        <w:ind w:left="0" w:right="19" w:firstLine="0"/>
        <w:jc w:val="center"/>
        <w:rPr>
          <w:rFonts w:ascii="Times New Roman" w:hAnsi="Times New Roman" w:cs="Times New Roman"/>
          <w:b/>
        </w:rPr>
      </w:pPr>
    </w:p>
    <w:p w14:paraId="5911255E" w14:textId="77777777" w:rsidR="002C4B4B" w:rsidRPr="0082335C" w:rsidRDefault="002C4B4B" w:rsidP="00F54270">
      <w:pPr>
        <w:spacing w:after="112" w:line="480" w:lineRule="auto"/>
        <w:ind w:left="0" w:right="19" w:firstLine="0"/>
        <w:jc w:val="center"/>
        <w:rPr>
          <w:rFonts w:ascii="Times New Roman" w:hAnsi="Times New Roman" w:cs="Times New Roman"/>
          <w:b/>
        </w:rPr>
      </w:pPr>
    </w:p>
    <w:p w14:paraId="01D36ACF" w14:textId="77777777" w:rsidR="002C4B4B" w:rsidRPr="0082335C" w:rsidRDefault="002C4B4B" w:rsidP="00F54270">
      <w:pPr>
        <w:spacing w:after="112" w:line="480" w:lineRule="auto"/>
        <w:ind w:left="0" w:right="19" w:firstLine="0"/>
        <w:jc w:val="center"/>
        <w:rPr>
          <w:rFonts w:ascii="Times New Roman" w:hAnsi="Times New Roman" w:cs="Times New Roman"/>
          <w:b/>
        </w:rPr>
      </w:pPr>
    </w:p>
    <w:p w14:paraId="26B52AA4" w14:textId="77777777" w:rsidR="002C4B4B" w:rsidRPr="0082335C" w:rsidRDefault="002C4B4B" w:rsidP="00F54270">
      <w:pPr>
        <w:spacing w:after="112" w:line="480" w:lineRule="auto"/>
        <w:ind w:left="0" w:right="19" w:firstLine="0"/>
        <w:jc w:val="center"/>
        <w:rPr>
          <w:rFonts w:ascii="Times New Roman" w:hAnsi="Times New Roman" w:cs="Times New Roman"/>
          <w:b/>
        </w:rPr>
      </w:pPr>
    </w:p>
    <w:p w14:paraId="0F31AC33" w14:textId="77777777" w:rsidR="002C4B4B" w:rsidRPr="0082335C" w:rsidRDefault="002C4B4B" w:rsidP="00F54270">
      <w:pPr>
        <w:spacing w:after="112" w:line="480" w:lineRule="auto"/>
        <w:ind w:left="0" w:right="19" w:firstLine="0"/>
        <w:jc w:val="center"/>
        <w:rPr>
          <w:rFonts w:ascii="Times New Roman" w:hAnsi="Times New Roman" w:cs="Times New Roman"/>
          <w:b/>
        </w:rPr>
      </w:pPr>
    </w:p>
    <w:p w14:paraId="7FA7EA1A" w14:textId="77777777" w:rsidR="002C4B4B" w:rsidRPr="0082335C" w:rsidRDefault="002C4B4B" w:rsidP="00F54270">
      <w:pPr>
        <w:spacing w:after="112" w:line="480" w:lineRule="auto"/>
        <w:ind w:left="0" w:right="19" w:firstLine="0"/>
        <w:jc w:val="center"/>
        <w:rPr>
          <w:rFonts w:ascii="Times New Roman" w:hAnsi="Times New Roman" w:cs="Times New Roman"/>
          <w:b/>
        </w:rPr>
      </w:pPr>
    </w:p>
    <w:p w14:paraId="67CCF5E2" w14:textId="77777777" w:rsidR="002C4B4B" w:rsidRPr="0082335C" w:rsidRDefault="002C4B4B" w:rsidP="00D3076E">
      <w:pPr>
        <w:spacing w:after="112" w:line="240" w:lineRule="auto"/>
        <w:ind w:left="0" w:right="19" w:firstLine="0"/>
        <w:jc w:val="center"/>
        <w:rPr>
          <w:rFonts w:ascii="Times New Roman" w:hAnsi="Times New Roman" w:cs="Times New Roman"/>
        </w:rPr>
      </w:pPr>
      <w:r w:rsidRPr="0082335C">
        <w:rPr>
          <w:rFonts w:ascii="Times New Roman" w:hAnsi="Times New Roman" w:cs="Times New Roman"/>
          <w:b/>
        </w:rPr>
        <w:t>Author Declaration</w:t>
      </w:r>
    </w:p>
    <w:p w14:paraId="08E36243" w14:textId="61D19EAE" w:rsidR="002C4B4B" w:rsidRDefault="002C4B4B" w:rsidP="00F54270">
      <w:pPr>
        <w:spacing w:line="240" w:lineRule="auto"/>
        <w:ind w:left="10" w:right="0" w:hanging="10"/>
        <w:rPr>
          <w:rFonts w:ascii="Times New Roman" w:hAnsi="Times New Roman" w:cs="Times New Roman"/>
        </w:rPr>
      </w:pPr>
      <w:r w:rsidRPr="0082335C">
        <w:rPr>
          <w:rFonts w:ascii="Times New Roman" w:hAnsi="Times New Roman" w:cs="Times New Roman"/>
        </w:rPr>
        <w:t>I, Michael Alford, declare that I am the sole author of the following work submitted as part of the assessment in HPS203/773. Particularly, I have not colluded with other students in the completion of this work; I have not duplicated work of my peers or from sources such as books, journal articles,</w:t>
      </w:r>
      <w:r w:rsidR="00F54270">
        <w:rPr>
          <w:rFonts w:ascii="Times New Roman" w:hAnsi="Times New Roman" w:cs="Times New Roman"/>
        </w:rPr>
        <w:t xml:space="preserve"> </w:t>
      </w:r>
      <w:r w:rsidRPr="0082335C">
        <w:rPr>
          <w:rFonts w:ascii="Times New Roman" w:hAnsi="Times New Roman" w:cs="Times New Roman"/>
        </w:rPr>
        <w:t>or websites without adaptation and due citation; and I have not contracted a</w:t>
      </w:r>
      <w:r w:rsidR="00F54270">
        <w:rPr>
          <w:rFonts w:ascii="Times New Roman" w:hAnsi="Times New Roman" w:cs="Times New Roman"/>
        </w:rPr>
        <w:t xml:space="preserve"> </w:t>
      </w:r>
      <w:r w:rsidRPr="0082335C">
        <w:rPr>
          <w:rFonts w:ascii="Times New Roman" w:hAnsi="Times New Roman" w:cs="Times New Roman"/>
        </w:rPr>
        <w:t>third-party to complete any component of this assessment on my behalf. I acknowledge that any of these activities would constitute Academic Misconduct as defined by Regulation 4.1(2) of Deakin University and may consequently attract penalties as defined in Schedule A: Penalties for Student Academic Misconduct.</w:t>
      </w:r>
    </w:p>
    <w:p w14:paraId="348FBDDF" w14:textId="77777777" w:rsidR="00F54270" w:rsidRPr="0082335C" w:rsidRDefault="00F54270" w:rsidP="00F54270">
      <w:pPr>
        <w:spacing w:line="240" w:lineRule="auto"/>
        <w:ind w:left="10" w:right="0" w:hanging="10"/>
        <w:rPr>
          <w:rFonts w:ascii="Times New Roman" w:hAnsi="Times New Roman" w:cs="Times New Roman"/>
        </w:rPr>
      </w:pPr>
    </w:p>
    <w:p w14:paraId="448DB337" w14:textId="6A77A257" w:rsidR="00EA5505" w:rsidRPr="00EA5505" w:rsidRDefault="0082335C" w:rsidP="00F54270">
      <w:pPr>
        <w:spacing w:line="480" w:lineRule="auto"/>
        <w:ind w:left="13" w:right="0" w:hanging="13"/>
        <w:jc w:val="center"/>
        <w:rPr>
          <w:rFonts w:ascii="Times New Roman" w:hAnsi="Times New Roman" w:cs="Times New Roman"/>
        </w:rPr>
      </w:pPr>
      <w:r w:rsidRPr="00947A49">
        <w:rPr>
          <w:rFonts w:ascii="Times New Roman" w:hAnsi="Times New Roman" w:cs="Times New Roman"/>
        </w:rPr>
        <w:lastRenderedPageBreak/>
        <w:t>Discussio</w:t>
      </w:r>
      <w:r w:rsidR="00947A49" w:rsidRPr="00947A49">
        <w:rPr>
          <w:rFonts w:ascii="Times New Roman" w:hAnsi="Times New Roman" w:cs="Times New Roman"/>
        </w:rPr>
        <w:t>n</w:t>
      </w:r>
    </w:p>
    <w:p w14:paraId="52474875" w14:textId="26C69FD2" w:rsidR="00C41398" w:rsidRDefault="00871EDA" w:rsidP="00FF42DB">
      <w:pPr>
        <w:spacing w:line="480" w:lineRule="auto"/>
        <w:ind w:left="13" w:right="0" w:firstLine="696"/>
        <w:jc w:val="left"/>
        <w:rPr>
          <w:rFonts w:ascii="Times New Roman" w:hAnsi="Times New Roman" w:cs="Times New Roman"/>
        </w:rPr>
      </w:pPr>
      <w:r>
        <w:rPr>
          <w:rFonts w:ascii="Times New Roman" w:hAnsi="Times New Roman" w:cs="Times New Roman"/>
        </w:rPr>
        <w:t xml:space="preserve">In this study we investigated the influence of two genres of </w:t>
      </w:r>
      <w:r w:rsidR="00C41398">
        <w:rPr>
          <w:rFonts w:ascii="Times New Roman" w:hAnsi="Times New Roman" w:cs="Times New Roman"/>
        </w:rPr>
        <w:t>Video Games (</w:t>
      </w:r>
      <w:r>
        <w:rPr>
          <w:rFonts w:ascii="Times New Roman" w:hAnsi="Times New Roman" w:cs="Times New Roman"/>
        </w:rPr>
        <w:t>VG</w:t>
      </w:r>
      <w:r w:rsidR="00C41398">
        <w:rPr>
          <w:rFonts w:ascii="Times New Roman" w:hAnsi="Times New Roman" w:cs="Times New Roman"/>
        </w:rPr>
        <w:t>)</w:t>
      </w:r>
      <w:r w:rsidR="00133050">
        <w:rPr>
          <w:rFonts w:ascii="Times New Roman" w:hAnsi="Times New Roman" w:cs="Times New Roman"/>
        </w:rPr>
        <w:t xml:space="preserve"> on the development of problem solving skills</w:t>
      </w:r>
      <w:r w:rsidR="00C41398">
        <w:rPr>
          <w:rFonts w:ascii="Times New Roman" w:hAnsi="Times New Roman" w:cs="Times New Roman"/>
        </w:rPr>
        <w:t xml:space="preserve">. Participants </w:t>
      </w:r>
      <w:r w:rsidR="009F5E36">
        <w:rPr>
          <w:rFonts w:ascii="Times New Roman" w:hAnsi="Times New Roman" w:cs="Times New Roman"/>
        </w:rPr>
        <w:t xml:space="preserve">were separated into </w:t>
      </w:r>
      <w:r w:rsidR="00133050">
        <w:rPr>
          <w:rFonts w:ascii="Times New Roman" w:hAnsi="Times New Roman" w:cs="Times New Roman"/>
        </w:rPr>
        <w:t xml:space="preserve">two groups </w:t>
      </w:r>
      <w:r w:rsidR="00C41398">
        <w:rPr>
          <w:rFonts w:ascii="Times New Roman" w:hAnsi="Times New Roman" w:cs="Times New Roman"/>
        </w:rPr>
        <w:t>engag</w:t>
      </w:r>
      <w:r w:rsidR="009F5E36">
        <w:rPr>
          <w:rFonts w:ascii="Times New Roman" w:hAnsi="Times New Roman" w:cs="Times New Roman"/>
        </w:rPr>
        <w:t>ing</w:t>
      </w:r>
      <w:r w:rsidR="00C41398">
        <w:rPr>
          <w:rFonts w:ascii="Times New Roman" w:hAnsi="Times New Roman" w:cs="Times New Roman"/>
        </w:rPr>
        <w:t xml:space="preserve"> in either</w:t>
      </w:r>
      <w:r>
        <w:rPr>
          <w:rFonts w:ascii="Times New Roman" w:hAnsi="Times New Roman" w:cs="Times New Roman"/>
        </w:rPr>
        <w:t xml:space="preserve"> </w:t>
      </w:r>
      <w:r w:rsidR="00C41398">
        <w:rPr>
          <w:rFonts w:ascii="Times New Roman" w:hAnsi="Times New Roman" w:cs="Times New Roman"/>
        </w:rPr>
        <w:t>S</w:t>
      </w:r>
      <w:r>
        <w:rPr>
          <w:rFonts w:ascii="Times New Roman" w:hAnsi="Times New Roman" w:cs="Times New Roman"/>
        </w:rPr>
        <w:t>trategy</w:t>
      </w:r>
      <w:r w:rsidR="00C41398">
        <w:rPr>
          <w:rFonts w:ascii="Times New Roman" w:hAnsi="Times New Roman" w:cs="Times New Roman"/>
        </w:rPr>
        <w:t xml:space="preserve"> Video Games (SVG)</w:t>
      </w:r>
      <w:r w:rsidR="009F5E36">
        <w:rPr>
          <w:rFonts w:ascii="Times New Roman" w:hAnsi="Times New Roman" w:cs="Times New Roman"/>
        </w:rPr>
        <w:t>,</w:t>
      </w:r>
      <w:r w:rsidR="00C41398">
        <w:rPr>
          <w:rFonts w:ascii="Times New Roman" w:hAnsi="Times New Roman" w:cs="Times New Roman"/>
        </w:rPr>
        <w:t xml:space="preserve"> or Role-playing games (RPG)</w:t>
      </w:r>
      <w:r w:rsidR="00133050">
        <w:rPr>
          <w:rFonts w:ascii="Times New Roman" w:hAnsi="Times New Roman" w:cs="Times New Roman"/>
        </w:rPr>
        <w:t xml:space="preserve">. </w:t>
      </w:r>
      <w:r w:rsidR="00A57977">
        <w:rPr>
          <w:rFonts w:ascii="Times New Roman" w:hAnsi="Times New Roman" w:cs="Times New Roman"/>
        </w:rPr>
        <w:t xml:space="preserve">A further comparison was conducted between novice gamers (NG) and expert gamers (EG) on the basis of </w:t>
      </w:r>
      <w:r>
        <w:rPr>
          <w:rFonts w:ascii="Times New Roman" w:hAnsi="Times New Roman" w:cs="Times New Roman"/>
        </w:rPr>
        <w:t>self-reported level of skill. Our hypotheses for the</w:t>
      </w:r>
      <w:r w:rsidR="0049027C">
        <w:rPr>
          <w:rFonts w:ascii="Times New Roman" w:hAnsi="Times New Roman" w:cs="Times New Roman"/>
        </w:rPr>
        <w:t>se</w:t>
      </w:r>
      <w:r>
        <w:rPr>
          <w:rFonts w:ascii="Times New Roman" w:hAnsi="Times New Roman" w:cs="Times New Roman"/>
        </w:rPr>
        <w:t xml:space="preserve"> measure</w:t>
      </w:r>
      <w:r w:rsidR="0049027C">
        <w:rPr>
          <w:rFonts w:ascii="Times New Roman" w:hAnsi="Times New Roman" w:cs="Times New Roman"/>
        </w:rPr>
        <w:t>s</w:t>
      </w:r>
      <w:r>
        <w:rPr>
          <w:rFonts w:ascii="Times New Roman" w:hAnsi="Times New Roman" w:cs="Times New Roman"/>
        </w:rPr>
        <w:t xml:space="preserve"> were: a) That </w:t>
      </w:r>
      <w:r w:rsidR="00A57977">
        <w:rPr>
          <w:rFonts w:ascii="Times New Roman" w:hAnsi="Times New Roman" w:cs="Times New Roman"/>
        </w:rPr>
        <w:t>EGs</w:t>
      </w:r>
      <w:r>
        <w:rPr>
          <w:rFonts w:ascii="Times New Roman" w:hAnsi="Times New Roman" w:cs="Times New Roman"/>
        </w:rPr>
        <w:t xml:space="preserve"> have a more developed level of problem solving skills than their </w:t>
      </w:r>
      <w:r w:rsidR="00A57977">
        <w:rPr>
          <w:rFonts w:ascii="Times New Roman" w:hAnsi="Times New Roman" w:cs="Times New Roman"/>
        </w:rPr>
        <w:t>NG</w:t>
      </w:r>
      <w:r>
        <w:rPr>
          <w:rFonts w:ascii="Times New Roman" w:hAnsi="Times New Roman" w:cs="Times New Roman"/>
        </w:rPr>
        <w:t xml:space="preserve"> counterparts, and b) that </w:t>
      </w:r>
      <w:r w:rsidR="00A57977">
        <w:rPr>
          <w:rFonts w:ascii="Times New Roman" w:hAnsi="Times New Roman" w:cs="Times New Roman"/>
        </w:rPr>
        <w:t>SVGs</w:t>
      </w:r>
      <w:r>
        <w:rPr>
          <w:rFonts w:ascii="Times New Roman" w:hAnsi="Times New Roman" w:cs="Times New Roman"/>
        </w:rPr>
        <w:t xml:space="preserve"> provide a more conducive environment for the development of problem skills than </w:t>
      </w:r>
      <w:r w:rsidR="00A57977">
        <w:rPr>
          <w:rFonts w:ascii="Times New Roman" w:hAnsi="Times New Roman" w:cs="Times New Roman"/>
        </w:rPr>
        <w:t>RPGs</w:t>
      </w:r>
      <w:r w:rsidR="002A642A">
        <w:rPr>
          <w:rFonts w:ascii="Times New Roman" w:hAnsi="Times New Roman" w:cs="Times New Roman"/>
        </w:rPr>
        <w:t xml:space="preserve">. </w:t>
      </w:r>
      <w:r w:rsidR="00C41398">
        <w:rPr>
          <w:rFonts w:ascii="Times New Roman" w:hAnsi="Times New Roman" w:cs="Times New Roman"/>
        </w:rPr>
        <w:t xml:space="preserve">Our results </w:t>
      </w:r>
      <w:r w:rsidR="009166DD">
        <w:rPr>
          <w:rFonts w:ascii="Times New Roman" w:hAnsi="Times New Roman" w:cs="Times New Roman"/>
        </w:rPr>
        <w:t xml:space="preserve">support </w:t>
      </w:r>
      <w:r w:rsidR="006C3FB5">
        <w:rPr>
          <w:rFonts w:ascii="Times New Roman" w:hAnsi="Times New Roman" w:cs="Times New Roman"/>
        </w:rPr>
        <w:t xml:space="preserve">these hypotheses with </w:t>
      </w:r>
      <w:r w:rsidR="00C41398">
        <w:rPr>
          <w:rFonts w:ascii="Times New Roman" w:hAnsi="Times New Roman" w:cs="Times New Roman"/>
        </w:rPr>
        <w:t>EGs scor</w:t>
      </w:r>
      <w:r w:rsidR="009166DD">
        <w:rPr>
          <w:rFonts w:ascii="Times New Roman" w:hAnsi="Times New Roman" w:cs="Times New Roman"/>
        </w:rPr>
        <w:t>ing</w:t>
      </w:r>
      <w:r w:rsidR="00C41398">
        <w:rPr>
          <w:rFonts w:ascii="Times New Roman" w:hAnsi="Times New Roman" w:cs="Times New Roman"/>
        </w:rPr>
        <w:t xml:space="preserve"> significantly higher on the Tower of Hanoi (London) (TOH) than our NG participants</w:t>
      </w:r>
      <w:r w:rsidR="006C3FB5">
        <w:rPr>
          <w:rFonts w:ascii="Times New Roman" w:hAnsi="Times New Roman" w:cs="Times New Roman"/>
        </w:rPr>
        <w:t xml:space="preserve">, </w:t>
      </w:r>
      <w:r w:rsidR="009166DD">
        <w:rPr>
          <w:rFonts w:ascii="Times New Roman" w:hAnsi="Times New Roman" w:cs="Times New Roman"/>
        </w:rPr>
        <w:t>with</w:t>
      </w:r>
      <w:r w:rsidR="00C41398">
        <w:rPr>
          <w:rFonts w:ascii="Times New Roman" w:hAnsi="Times New Roman" w:cs="Times New Roman"/>
        </w:rPr>
        <w:t xml:space="preserve"> </w:t>
      </w:r>
      <w:r w:rsidR="006C3FB5">
        <w:rPr>
          <w:rFonts w:ascii="Times New Roman" w:hAnsi="Times New Roman" w:cs="Times New Roman"/>
        </w:rPr>
        <w:t>a</w:t>
      </w:r>
      <w:r w:rsidR="00C41398">
        <w:rPr>
          <w:rFonts w:ascii="Times New Roman" w:hAnsi="Times New Roman" w:cs="Times New Roman"/>
        </w:rPr>
        <w:t xml:space="preserve"> significantly higher score also obtained for players of </w:t>
      </w:r>
      <w:r w:rsidR="00FF42DB">
        <w:rPr>
          <w:rFonts w:ascii="Times New Roman" w:hAnsi="Times New Roman" w:cs="Times New Roman"/>
        </w:rPr>
        <w:t>SV</w:t>
      </w:r>
      <w:r w:rsidR="00C41398">
        <w:rPr>
          <w:rFonts w:ascii="Times New Roman" w:hAnsi="Times New Roman" w:cs="Times New Roman"/>
        </w:rPr>
        <w:t xml:space="preserve">Gs over </w:t>
      </w:r>
      <w:r w:rsidR="00FF42DB">
        <w:rPr>
          <w:rFonts w:ascii="Times New Roman" w:hAnsi="Times New Roman" w:cs="Times New Roman"/>
        </w:rPr>
        <w:t>RP</w:t>
      </w:r>
      <w:r w:rsidR="00C41398">
        <w:rPr>
          <w:rFonts w:ascii="Times New Roman" w:hAnsi="Times New Roman" w:cs="Times New Roman"/>
        </w:rPr>
        <w:t>Gs on the TOH task.</w:t>
      </w:r>
      <w:r w:rsidR="005A2F00">
        <w:rPr>
          <w:rFonts w:ascii="Times New Roman" w:hAnsi="Times New Roman" w:cs="Times New Roman"/>
        </w:rPr>
        <w:t xml:space="preserve"> </w:t>
      </w:r>
      <w:r w:rsidR="00411C3E">
        <w:rPr>
          <w:rFonts w:ascii="Times New Roman" w:hAnsi="Times New Roman" w:cs="Times New Roman"/>
        </w:rPr>
        <w:t>Specific</w:t>
      </w:r>
      <w:r w:rsidR="00072C5E">
        <w:rPr>
          <w:rFonts w:ascii="Times New Roman" w:hAnsi="Times New Roman" w:cs="Times New Roman"/>
        </w:rPr>
        <w:t xml:space="preserve"> </w:t>
      </w:r>
      <w:r w:rsidR="009166DD">
        <w:rPr>
          <w:rFonts w:ascii="Times New Roman" w:hAnsi="Times New Roman" w:cs="Times New Roman"/>
        </w:rPr>
        <w:t xml:space="preserve">elements of </w:t>
      </w:r>
      <w:r w:rsidR="00411C3E">
        <w:rPr>
          <w:rFonts w:ascii="Times New Roman" w:hAnsi="Times New Roman" w:cs="Times New Roman"/>
        </w:rPr>
        <w:t>these</w:t>
      </w:r>
      <w:r w:rsidR="00072C5E">
        <w:rPr>
          <w:rFonts w:ascii="Times New Roman" w:hAnsi="Times New Roman" w:cs="Times New Roman"/>
        </w:rPr>
        <w:t xml:space="preserve"> results are congruent with the findings of past research with respect to the improvement of problem solving skills.</w:t>
      </w:r>
    </w:p>
    <w:p w14:paraId="6D43FB3E" w14:textId="77777777" w:rsidR="009166DD" w:rsidRDefault="009166DD" w:rsidP="00F54270">
      <w:pPr>
        <w:spacing w:line="480" w:lineRule="auto"/>
        <w:ind w:left="13" w:right="0" w:firstLine="554"/>
        <w:jc w:val="left"/>
        <w:rPr>
          <w:rFonts w:ascii="Times New Roman" w:hAnsi="Times New Roman" w:cs="Times New Roman"/>
        </w:rPr>
      </w:pPr>
    </w:p>
    <w:p w14:paraId="0DC73A44" w14:textId="0F8CB65D" w:rsidR="00FF42DB" w:rsidRDefault="001A44C7" w:rsidP="00A53A80">
      <w:pPr>
        <w:spacing w:line="480" w:lineRule="auto"/>
        <w:ind w:firstLine="708"/>
        <w:rPr>
          <w:rFonts w:ascii="Times New Roman" w:hAnsi="Times New Roman" w:cs="Times New Roman"/>
        </w:rPr>
      </w:pPr>
      <w:r w:rsidRPr="00A53A80">
        <w:rPr>
          <w:rFonts w:ascii="Times New Roman" w:hAnsi="Times New Roman" w:cs="Times New Roman"/>
        </w:rPr>
        <w:t>S</w:t>
      </w:r>
      <w:r w:rsidR="00FF42DB" w:rsidRPr="00A53A80">
        <w:rPr>
          <w:rFonts w:ascii="Times New Roman" w:hAnsi="Times New Roman" w:cs="Times New Roman"/>
        </w:rPr>
        <w:t xml:space="preserve">upport of our </w:t>
      </w:r>
      <w:r w:rsidR="00C154CC" w:rsidRPr="00A53A80">
        <w:rPr>
          <w:rFonts w:ascii="Times New Roman" w:hAnsi="Times New Roman" w:cs="Times New Roman"/>
        </w:rPr>
        <w:t>results</w:t>
      </w:r>
      <w:r w:rsidR="00FF42DB" w:rsidRPr="00A53A80">
        <w:rPr>
          <w:rFonts w:ascii="Times New Roman" w:hAnsi="Times New Roman" w:cs="Times New Roman"/>
        </w:rPr>
        <w:t xml:space="preserve"> is demonstrated </w:t>
      </w:r>
      <w:r w:rsidR="00A53A80" w:rsidRPr="00A53A80">
        <w:rPr>
          <w:rFonts w:ascii="Times New Roman" w:hAnsi="Times New Roman" w:cs="Times New Roman"/>
        </w:rPr>
        <w:t>in a number of studies regarding the problem solving subdomain of rule application (</w:t>
      </w:r>
      <w:r w:rsidR="00FF42DB" w:rsidRPr="00A53A80">
        <w:rPr>
          <w:rFonts w:ascii="Times New Roman" w:hAnsi="Times New Roman" w:cs="Times New Roman"/>
        </w:rPr>
        <w:fldChar w:fldCharType="begin"/>
      </w:r>
      <w:r w:rsidR="0004502C">
        <w:rPr>
          <w:rFonts w:ascii="Times New Roman" w:hAnsi="Times New Roman" w:cs="Times New Roman"/>
        </w:rPr>
        <w:instrText xml:space="preserve"> ADDIN ZOTERO_ITEM CSL_CITATION {"citationID":"wkyGU9cY","properties":{"formattedCitation":"(Adachi &amp; Willoughby, 2013)","plainCitation":"(Adachi &amp; Willoughby, 2013)","dontUpdate":true,"noteIndex":0},"citationItems":[{"id":3248,"uris":["http://zotero.org/users/7783071/items/333KGRCJ"],"itemData":{"id":3248,"type":"article-journal","abstract":"Some researchers have proposed that video games possess good learning principles and may promote problem solving skills. Empirical research regarding this relationship, however, is limited. The goal of the presented study was to examine whether strategic video game play (i.e., role playing and strategy games) predicted selfreported problem solving skills among a sample of 1,492 adolescents (50.8 % female), over the four high school years. The results showed that more strategic video game play predicted higher self-reported problem solving skills over time than less strategic video game play. In addition, the results showed support for an indirect association between strategic video game play and academic grades, in that strategic video game play predicted higher selfreported problem solving skills, and, in turn, higher selfreported problem solving skills predicted higher academic grades. The novel ﬁndings that strategic video games promote self-reported problem solving skills and indirectly predict academic grades are important considering that millions of adolescents play video games every day.","container-title":"Journal of Youth and Adolescence","DOI":"10.1007/s10964-013-9913-9","ISSN":"0047-2891, 1573-6601","issue":"7","journalAbbreviation":"J Youth Adolescence","language":"en","page":"1041-1052","source":"DOI.org (Crossref)","title":"More Than Just Fun and Games: The Longitudinal Relationships Between Strategic Video Games, Self-Reported Problem Solving Skills, and Academic Grades","title-short":"More Than Just Fun and Games","URL":"http://link.springer.com/10.1007/s10964-013-9913-9","volume":"42","author":[{"family":"Adachi","given":"Paul J. C."},{"family":"Willoughby","given":"Teena"}],"accessed":{"date-parts":[["2023",3,20]]},"issued":{"date-parts":[["2013",7]]}}}],"schema":"https://github.com/citation-style-language/schema/raw/master/csl-citation.json"} </w:instrText>
      </w:r>
      <w:r w:rsidR="00FF42DB" w:rsidRPr="00A53A80">
        <w:rPr>
          <w:rFonts w:ascii="Times New Roman" w:hAnsi="Times New Roman" w:cs="Times New Roman"/>
        </w:rPr>
        <w:fldChar w:fldCharType="separate"/>
      </w:r>
      <w:r w:rsidR="00FF42DB" w:rsidRPr="00A53A80">
        <w:rPr>
          <w:rFonts w:ascii="Times New Roman" w:hAnsi="Times New Roman" w:cs="Times New Roman"/>
          <w:noProof/>
        </w:rPr>
        <w:t>Adachi &amp; Willoughby, 2013</w:t>
      </w:r>
      <w:r w:rsidR="00FF42DB" w:rsidRPr="00A53A80">
        <w:rPr>
          <w:rFonts w:ascii="Times New Roman" w:hAnsi="Times New Roman" w:cs="Times New Roman"/>
        </w:rPr>
        <w:fldChar w:fldCharType="end"/>
      </w:r>
      <w:r w:rsidR="00A53A80" w:rsidRPr="00A53A80">
        <w:rPr>
          <w:rFonts w:ascii="Times New Roman" w:hAnsi="Times New Roman" w:cs="Times New Roman"/>
        </w:rPr>
        <w:t xml:space="preserve">; </w:t>
      </w:r>
      <w:r w:rsidR="00A53A80" w:rsidRPr="00A53A80">
        <w:rPr>
          <w:rFonts w:ascii="Times New Roman" w:hAnsi="Times New Roman" w:cs="Times New Roman"/>
        </w:rPr>
        <w:fldChar w:fldCharType="begin"/>
      </w:r>
      <w:r w:rsidR="0004502C">
        <w:rPr>
          <w:rFonts w:ascii="Times New Roman" w:hAnsi="Times New Roman" w:cs="Times New Roman"/>
        </w:rPr>
        <w:instrText xml:space="preserve"> ADDIN ZOTERO_ITEM CSL_CITATION {"citationID":"Fmen1xKZ","properties":{"formattedCitation":"(Shute et al., 2015)","plainCitation":"(Shute et al., 2015)","dontUpdate":true,"noteIndex":0},"citationItems":[{"id":3251,"uris":["http://zotero.org/users/7783071/items/MN69D978"],"itemData":{"id":3251,"type":"article-journal","abstract":"In this study, we tested 77 undergraduates who were randomly assigned to play either a popular video game (Portal 2) or a popular brain training game (Lumosity) for 8 h. Before and after gameplay, participants completed a set of online tests related to problem solving, spatial skill, and persistence. Results revealed that participants who were assigned to play Portal 2 showed a statistically signiﬁcant advantage over Lumosity on each of the three composite measuresdproblem solving, spatial skill, and persistence. Portal 2 players also showed signiﬁcant increases from pretest to posttest on speciﬁc small- and largescale spatial tests while those in the Lumosity condition did not show any pretest to posttest differences on any measure. Results are discussed in terms of the positive impact video games can have on cognitive and noncognitive skills.","container-title":"Computers &amp; Education","DOI":"10.1016/j.compedu.2014.08.013","ISSN":"03601315","journalAbbreviation":"Computers &amp; Education","language":"en","page":"58-67","source":"DOI.org (Crossref)","title":"The power of play: The effects of Portal 2 and Lumosity on cognitive and noncognitive skills","title-short":"The power of play","URL":"https://linkinghub.elsevier.com/retrieve/pii/S0360131514001869","volume":"80","author":[{"family":"Shute","given":"Valerie J."},{"family":"Ventura","given":"Matthew"},{"family":"Ke","given":"Fengfeng"}],"accessed":{"date-parts":[["2023",3,20]]},"issued":{"date-parts":[["2015",1]]}}}],"schema":"https://github.com/citation-style-language/schema/raw/master/csl-citation.json"} </w:instrText>
      </w:r>
      <w:r w:rsidR="00A53A80" w:rsidRPr="00A53A80">
        <w:rPr>
          <w:rFonts w:ascii="Times New Roman" w:hAnsi="Times New Roman" w:cs="Times New Roman"/>
        </w:rPr>
        <w:fldChar w:fldCharType="separate"/>
      </w:r>
      <w:r w:rsidR="00A53A80" w:rsidRPr="00A53A80">
        <w:rPr>
          <w:rFonts w:ascii="Times New Roman" w:hAnsi="Times New Roman" w:cs="Times New Roman"/>
          <w:noProof/>
        </w:rPr>
        <w:t>Shute et al.</w:t>
      </w:r>
      <w:r w:rsidR="005C6D02">
        <w:rPr>
          <w:rFonts w:ascii="Times New Roman" w:hAnsi="Times New Roman" w:cs="Times New Roman"/>
          <w:noProof/>
        </w:rPr>
        <w:t xml:space="preserve">, </w:t>
      </w:r>
      <w:r w:rsidR="00A53A80" w:rsidRPr="00A53A80">
        <w:rPr>
          <w:rFonts w:ascii="Times New Roman" w:hAnsi="Times New Roman" w:cs="Times New Roman"/>
          <w:noProof/>
        </w:rPr>
        <w:t>201</w:t>
      </w:r>
      <w:r w:rsidR="005C6D02">
        <w:rPr>
          <w:rFonts w:ascii="Times New Roman" w:hAnsi="Times New Roman" w:cs="Times New Roman"/>
          <w:noProof/>
        </w:rPr>
        <w:t>5</w:t>
      </w:r>
      <w:r w:rsidR="00A53A80" w:rsidRPr="00A53A80">
        <w:rPr>
          <w:rFonts w:ascii="Times New Roman" w:hAnsi="Times New Roman" w:cs="Times New Roman"/>
          <w:noProof/>
        </w:rPr>
        <w:t>)</w:t>
      </w:r>
      <w:r w:rsidR="00A53A80" w:rsidRPr="00A53A80">
        <w:rPr>
          <w:rFonts w:ascii="Times New Roman" w:hAnsi="Times New Roman" w:cs="Times New Roman"/>
        </w:rPr>
        <w:fldChar w:fldCharType="end"/>
      </w:r>
      <w:r w:rsidR="00997BB9">
        <w:rPr>
          <w:rFonts w:ascii="Times New Roman" w:hAnsi="Times New Roman" w:cs="Times New Roman"/>
        </w:rPr>
        <w:t>,</w:t>
      </w:r>
      <w:r w:rsidR="00FF42DB" w:rsidRPr="00A53A80">
        <w:rPr>
          <w:rFonts w:ascii="Times New Roman" w:hAnsi="Times New Roman" w:cs="Times New Roman"/>
        </w:rPr>
        <w:t xml:space="preserve"> in th</w:t>
      </w:r>
      <w:r w:rsidR="00997BB9">
        <w:rPr>
          <w:rFonts w:ascii="Times New Roman" w:hAnsi="Times New Roman" w:cs="Times New Roman"/>
        </w:rPr>
        <w:t>at</w:t>
      </w:r>
      <w:r w:rsidR="00FF42DB" w:rsidRPr="00A53A80">
        <w:rPr>
          <w:rFonts w:ascii="Times New Roman" w:hAnsi="Times New Roman" w:cs="Times New Roman"/>
        </w:rPr>
        <w:t xml:space="preserve"> </w:t>
      </w:r>
      <w:r w:rsidR="00997BB9">
        <w:rPr>
          <w:rFonts w:ascii="Times New Roman" w:hAnsi="Times New Roman" w:cs="Times New Roman"/>
        </w:rPr>
        <w:t>p</w:t>
      </w:r>
      <w:r w:rsidR="00FF42DB" w:rsidRPr="00A53A80">
        <w:rPr>
          <w:rFonts w:ascii="Times New Roman" w:hAnsi="Times New Roman" w:cs="Times New Roman"/>
        </w:rPr>
        <w:t>articipant</w:t>
      </w:r>
      <w:r w:rsidR="00C154CC" w:rsidRPr="00A53A80">
        <w:rPr>
          <w:rFonts w:ascii="Times New Roman" w:hAnsi="Times New Roman" w:cs="Times New Roman"/>
        </w:rPr>
        <w:t>s</w:t>
      </w:r>
      <w:r w:rsidR="00FF42DB" w:rsidRPr="00A53A80">
        <w:rPr>
          <w:rFonts w:ascii="Times New Roman" w:hAnsi="Times New Roman" w:cs="Times New Roman"/>
        </w:rPr>
        <w:t xml:space="preserve"> </w:t>
      </w:r>
      <w:r w:rsidR="00A01214" w:rsidRPr="00A53A80">
        <w:rPr>
          <w:rFonts w:ascii="Times New Roman" w:hAnsi="Times New Roman" w:cs="Times New Roman"/>
        </w:rPr>
        <w:t xml:space="preserve">that </w:t>
      </w:r>
      <w:r w:rsidR="003673FE" w:rsidRPr="00A53A80">
        <w:rPr>
          <w:rFonts w:ascii="Times New Roman" w:hAnsi="Times New Roman" w:cs="Times New Roman"/>
        </w:rPr>
        <w:t>self-</w:t>
      </w:r>
      <w:r w:rsidR="00FF42DB" w:rsidRPr="00A53A80">
        <w:rPr>
          <w:rFonts w:ascii="Times New Roman" w:hAnsi="Times New Roman" w:cs="Times New Roman"/>
        </w:rPr>
        <w:t>report</w:t>
      </w:r>
      <w:r w:rsidR="00A01214" w:rsidRPr="00A53A80">
        <w:rPr>
          <w:rFonts w:ascii="Times New Roman" w:hAnsi="Times New Roman" w:cs="Times New Roman"/>
        </w:rPr>
        <w:t>ed</w:t>
      </w:r>
      <w:r w:rsidR="00FF42DB" w:rsidRPr="00A53A80">
        <w:rPr>
          <w:rFonts w:ascii="Times New Roman" w:hAnsi="Times New Roman" w:cs="Times New Roman"/>
        </w:rPr>
        <w:t xml:space="preserve"> higher levels of problem solving skills </w:t>
      </w:r>
      <w:r w:rsidR="00997BB9">
        <w:rPr>
          <w:rFonts w:ascii="Times New Roman" w:hAnsi="Times New Roman" w:cs="Times New Roman"/>
        </w:rPr>
        <w:t>(</w:t>
      </w:r>
      <w:r w:rsidR="00FF42DB" w:rsidRPr="00A53A80">
        <w:rPr>
          <w:rFonts w:ascii="Times New Roman" w:hAnsi="Times New Roman" w:cs="Times New Roman"/>
        </w:rPr>
        <w:t>through longer term exposure to SVGs</w:t>
      </w:r>
      <w:r w:rsidR="00997BB9">
        <w:rPr>
          <w:rFonts w:ascii="Times New Roman" w:hAnsi="Times New Roman" w:cs="Times New Roman"/>
        </w:rPr>
        <w:t>)</w:t>
      </w:r>
      <w:r w:rsidR="00A01214" w:rsidRPr="00A53A80">
        <w:rPr>
          <w:rFonts w:ascii="Times New Roman" w:hAnsi="Times New Roman" w:cs="Times New Roman"/>
        </w:rPr>
        <w:t xml:space="preserve"> were found to have more developed</w:t>
      </w:r>
      <w:r w:rsidR="00997BB9">
        <w:rPr>
          <w:rFonts w:ascii="Times New Roman" w:hAnsi="Times New Roman" w:cs="Times New Roman"/>
        </w:rPr>
        <w:t xml:space="preserve"> problem solving skills overall</w:t>
      </w:r>
      <w:r w:rsidR="00240513" w:rsidRPr="00A53A80">
        <w:rPr>
          <w:rFonts w:ascii="Times New Roman" w:hAnsi="Times New Roman" w:cs="Times New Roman"/>
        </w:rPr>
        <w:t>.</w:t>
      </w:r>
      <w:r w:rsidR="00C154CC">
        <w:rPr>
          <w:rFonts w:ascii="Times New Roman" w:hAnsi="Times New Roman" w:cs="Times New Roman"/>
        </w:rPr>
        <w:t xml:space="preserve"> </w:t>
      </w:r>
      <w:r w:rsidR="0044109B" w:rsidRPr="00A53A80">
        <w:rPr>
          <w:rFonts w:ascii="Times New Roman" w:hAnsi="Times New Roman" w:cs="Times New Roman"/>
        </w:rPr>
        <w:fldChar w:fldCharType="begin"/>
      </w:r>
      <w:r w:rsidR="0004502C">
        <w:rPr>
          <w:rFonts w:ascii="Times New Roman" w:hAnsi="Times New Roman" w:cs="Times New Roman"/>
        </w:rPr>
        <w:instrText xml:space="preserve"> ADDIN ZOTERO_ITEM CSL_CITATION {"citationID":"oICAQT7S","properties":{"formattedCitation":"(Shute et al., 2015)","plainCitation":"(Shute et al., 2015)","dontUpdate":true,"noteIndex":0},"citationItems":[{"id":3251,"uris":["http://zotero.org/users/7783071/items/MN69D978"],"itemData":{"id":3251,"type":"article-journal","abstract":"In this study, we tested 77 undergraduates who were randomly assigned to play either a popular video game (Portal 2) or a popular brain training game (Lumosity) for 8 h. Before and after gameplay, participants completed a set of online tests related to problem solving, spatial skill, and persistence. Results revealed that participants who were assigned to play Portal 2 showed a statistically signiﬁcant advantage over Lumosity on each of the three composite measuresdproblem solving, spatial skill, and persistence. Portal 2 players also showed signiﬁcant increases from pretest to posttest on speciﬁc small- and largescale spatial tests while those in the Lumosity condition did not show any pretest to posttest differences on any measure. Results are discussed in terms of the positive impact video games can have on cognitive and noncognitive skills.","container-title":"Computers &amp; Education","DOI":"10.1016/j.compedu.2014.08.013","ISSN":"03601315","journalAbbreviation":"Computers &amp; Education","language":"en","page":"58-67","source":"DOI.org (Crossref)","title":"The power of play: The effects of Portal 2 and Lumosity on cognitive and noncognitive skills","title-short":"The power of play","URL":"https://linkinghub.elsevier.com/retrieve/pii/S0360131514001869","volume":"80","author":[{"family":"Shute","given":"Valerie J."},{"family":"Ventura","given":"Matthew"},{"family":"Ke","given":"Fengfeng"}],"accessed":{"date-parts":[["2023",3,20]]},"issued":{"date-parts":[["2015",1]]}}}],"schema":"https://github.com/citation-style-language/schema/raw/master/csl-citation.json"} </w:instrText>
      </w:r>
      <w:r w:rsidR="0044109B" w:rsidRPr="00A53A80">
        <w:rPr>
          <w:rFonts w:ascii="Times New Roman" w:hAnsi="Times New Roman" w:cs="Times New Roman"/>
        </w:rPr>
        <w:fldChar w:fldCharType="separate"/>
      </w:r>
      <w:r w:rsidR="0044109B" w:rsidRPr="00A53A80">
        <w:rPr>
          <w:rFonts w:ascii="Times New Roman" w:hAnsi="Times New Roman" w:cs="Times New Roman"/>
          <w:noProof/>
        </w:rPr>
        <w:t>Shute et al. (2015)</w:t>
      </w:r>
      <w:r w:rsidR="0044109B" w:rsidRPr="00A53A80">
        <w:rPr>
          <w:rFonts w:ascii="Times New Roman" w:hAnsi="Times New Roman" w:cs="Times New Roman"/>
        </w:rPr>
        <w:fldChar w:fldCharType="end"/>
      </w:r>
      <w:r w:rsidR="0044109B" w:rsidRPr="00A53A80">
        <w:rPr>
          <w:rFonts w:ascii="Times New Roman" w:hAnsi="Times New Roman" w:cs="Times New Roman"/>
        </w:rPr>
        <w:t xml:space="preserve"> identifies </w:t>
      </w:r>
      <w:r w:rsidR="001962FE">
        <w:rPr>
          <w:rFonts w:ascii="Times New Roman" w:hAnsi="Times New Roman" w:cs="Times New Roman"/>
        </w:rPr>
        <w:t xml:space="preserve">the </w:t>
      </w:r>
      <w:r w:rsidR="0044109B" w:rsidRPr="00A53A80">
        <w:rPr>
          <w:rFonts w:ascii="Times New Roman" w:hAnsi="Times New Roman" w:cs="Times New Roman"/>
        </w:rPr>
        <w:t>rule application facets of eductive skill (generation of a sophisticated schema applicable to the rules of a VG), and reproductive skill (the recall and reproduction of a complex schema) in problem solving tasks as practical applications of transfer effect</w:t>
      </w:r>
      <w:r w:rsidR="009A51AB" w:rsidRPr="00A53A80">
        <w:rPr>
          <w:rFonts w:ascii="Times New Roman" w:hAnsi="Times New Roman" w:cs="Times New Roman"/>
        </w:rPr>
        <w:t xml:space="preserve">, providing </w:t>
      </w:r>
      <w:r w:rsidR="001962FE">
        <w:rPr>
          <w:rFonts w:ascii="Times New Roman" w:hAnsi="Times New Roman" w:cs="Times New Roman"/>
        </w:rPr>
        <w:t>base level theoretical</w:t>
      </w:r>
      <w:r w:rsidR="009A51AB" w:rsidRPr="00A53A80">
        <w:rPr>
          <w:rFonts w:ascii="Times New Roman" w:hAnsi="Times New Roman" w:cs="Times New Roman"/>
        </w:rPr>
        <w:t xml:space="preserve"> support of our results </w:t>
      </w:r>
      <w:r w:rsidR="001962FE">
        <w:rPr>
          <w:rFonts w:ascii="Times New Roman" w:hAnsi="Times New Roman" w:cs="Times New Roman"/>
        </w:rPr>
        <w:t>of</w:t>
      </w:r>
      <w:r w:rsidR="009A51AB" w:rsidRPr="00A53A80">
        <w:rPr>
          <w:rFonts w:ascii="Times New Roman" w:hAnsi="Times New Roman" w:cs="Times New Roman"/>
        </w:rPr>
        <w:t xml:space="preserve"> transfer</w:t>
      </w:r>
      <w:r w:rsidR="001962FE">
        <w:rPr>
          <w:rFonts w:ascii="Times New Roman" w:hAnsi="Times New Roman" w:cs="Times New Roman"/>
        </w:rPr>
        <w:t xml:space="preserve"> effect</w:t>
      </w:r>
      <w:r w:rsidR="009A51AB" w:rsidRPr="00A53A80">
        <w:rPr>
          <w:rFonts w:ascii="Times New Roman" w:hAnsi="Times New Roman" w:cs="Times New Roman"/>
        </w:rPr>
        <w:t xml:space="preserve"> </w:t>
      </w:r>
      <w:r w:rsidR="00265E77" w:rsidRPr="00A53A80">
        <w:rPr>
          <w:rFonts w:ascii="Times New Roman" w:hAnsi="Times New Roman" w:cs="Times New Roman"/>
        </w:rPr>
        <w:t>from SVGs to the TOH test.</w:t>
      </w:r>
    </w:p>
    <w:p w14:paraId="41129656" w14:textId="77777777" w:rsidR="00786C76" w:rsidRDefault="00786C76" w:rsidP="00786C76">
      <w:pPr>
        <w:spacing w:line="480" w:lineRule="auto"/>
        <w:ind w:left="0" w:firstLine="0"/>
        <w:rPr>
          <w:rFonts w:ascii="Times New Roman" w:hAnsi="Times New Roman" w:cs="Times New Roman"/>
        </w:rPr>
      </w:pPr>
    </w:p>
    <w:p w14:paraId="7CF980D1" w14:textId="47DF2594" w:rsidR="00830A62" w:rsidRDefault="001962FE" w:rsidP="00943966">
      <w:pPr>
        <w:spacing w:line="480" w:lineRule="auto"/>
        <w:ind w:left="0" w:firstLine="709"/>
        <w:rPr>
          <w:rFonts w:ascii="Times New Roman" w:hAnsi="Times New Roman" w:cs="Times New Roman"/>
        </w:rPr>
      </w:pPr>
      <w:r>
        <w:rPr>
          <w:rFonts w:ascii="Times New Roman" w:hAnsi="Times New Roman" w:cs="Times New Roman"/>
        </w:rPr>
        <w:lastRenderedPageBreak/>
        <w:t>The</w:t>
      </w:r>
      <w:r w:rsidR="00786C76">
        <w:rPr>
          <w:rFonts w:ascii="Times New Roman" w:hAnsi="Times New Roman" w:cs="Times New Roman"/>
        </w:rPr>
        <w:t xml:space="preserve"> study conducted by </w:t>
      </w:r>
      <w:r w:rsidR="00F95661">
        <w:rPr>
          <w:rFonts w:ascii="Times New Roman" w:hAnsi="Times New Roman" w:cs="Times New Roman"/>
        </w:rPr>
        <w:fldChar w:fldCharType="begin"/>
      </w:r>
      <w:r w:rsidR="0004502C">
        <w:rPr>
          <w:rFonts w:ascii="Times New Roman" w:hAnsi="Times New Roman" w:cs="Times New Roman"/>
        </w:rPr>
        <w:instrText xml:space="preserve"> ADDIN ZOTERO_ITEM CSL_CITATION {"citationID":"WDdRT90z","properties":{"formattedCitation":"(Gobet et al., 2014)","plainCitation":"(Gobet et al., 2014)","dontUpdate":true,"noteIndex":0},"citationItems":[{"id":3362,"uris":["http://zotero.org/users/7783071/items/8J564DCA"],"itemData":{"id":3362,"type":"article-journal","container-title":"Frontiers in Psychology","ISSN":"1664-1078","source":"Frontiers","title":"“No level up!”: no effects of video game specialization and expertise on cognitive performance","title-short":"“No level up!”","URL":"https://www.frontiersin.org/articles/10.3389/fpsyg.2014.01337","volume":"5","author":[{"family":"Gobet","given":"Fernand"},{"family":"Johnston","given":"Stephen J."},{"family":"Ferrufino","given":"Gabriella"},{"family":"Johnston","given":"Matthew"},{"family":"Jones","given":"Michael B."},{"family":"Molyneux","given":"Antonia"},{"family":"Terzis","given":"Argyrios"},{"family":"Weeden","given":"Luke"}],"accessed":{"date-parts":[["2023",5,1]]},"issued":{"date-parts":[["2014"]]}}}],"schema":"https://github.com/citation-style-language/schema/raw/master/csl-citation.json"} </w:instrText>
      </w:r>
      <w:r w:rsidR="00F95661">
        <w:rPr>
          <w:rFonts w:ascii="Times New Roman" w:hAnsi="Times New Roman" w:cs="Times New Roman"/>
        </w:rPr>
        <w:fldChar w:fldCharType="separate"/>
      </w:r>
      <w:r w:rsidR="00F95661">
        <w:rPr>
          <w:rFonts w:ascii="Times New Roman" w:hAnsi="Times New Roman" w:cs="Times New Roman"/>
          <w:noProof/>
        </w:rPr>
        <w:t xml:space="preserve">Gobet et al. </w:t>
      </w:r>
      <w:r w:rsidR="00786C76">
        <w:rPr>
          <w:rFonts w:ascii="Times New Roman" w:hAnsi="Times New Roman" w:cs="Times New Roman"/>
          <w:noProof/>
        </w:rPr>
        <w:t>(</w:t>
      </w:r>
      <w:r w:rsidR="00F95661">
        <w:rPr>
          <w:rFonts w:ascii="Times New Roman" w:hAnsi="Times New Roman" w:cs="Times New Roman"/>
          <w:noProof/>
        </w:rPr>
        <w:t>2014)</w:t>
      </w:r>
      <w:r w:rsidR="00F95661">
        <w:rPr>
          <w:rFonts w:ascii="Times New Roman" w:hAnsi="Times New Roman" w:cs="Times New Roman"/>
        </w:rPr>
        <w:fldChar w:fldCharType="end"/>
      </w:r>
      <w:r>
        <w:rPr>
          <w:rFonts w:ascii="Times New Roman" w:hAnsi="Times New Roman" w:cs="Times New Roman"/>
        </w:rPr>
        <w:t xml:space="preserve"> provides a deeper theoretical analysis of</w:t>
      </w:r>
      <w:r w:rsidR="00786C76">
        <w:rPr>
          <w:rFonts w:ascii="Times New Roman" w:hAnsi="Times New Roman" w:cs="Times New Roman"/>
        </w:rPr>
        <w:t xml:space="preserve"> </w:t>
      </w:r>
      <w:r w:rsidR="0004502C">
        <w:rPr>
          <w:rFonts w:ascii="Times New Roman" w:hAnsi="Times New Roman" w:cs="Times New Roman"/>
        </w:rPr>
        <w:t xml:space="preserve">both </w:t>
      </w:r>
      <w:r w:rsidR="00786C76">
        <w:rPr>
          <w:rFonts w:ascii="Times New Roman" w:hAnsi="Times New Roman" w:cs="Times New Roman"/>
        </w:rPr>
        <w:t xml:space="preserve">the benefits </w:t>
      </w:r>
      <w:r w:rsidR="00696329">
        <w:rPr>
          <w:rFonts w:ascii="Times New Roman" w:hAnsi="Times New Roman" w:cs="Times New Roman"/>
        </w:rPr>
        <w:t>of</w:t>
      </w:r>
      <w:r w:rsidR="00786C76">
        <w:rPr>
          <w:rFonts w:ascii="Times New Roman" w:hAnsi="Times New Roman" w:cs="Times New Roman"/>
        </w:rPr>
        <w:t xml:space="preserve"> playing action games</w:t>
      </w:r>
      <w:r>
        <w:rPr>
          <w:rFonts w:ascii="Times New Roman" w:hAnsi="Times New Roman" w:cs="Times New Roman"/>
        </w:rPr>
        <w:t xml:space="preserve"> (AVGs), </w:t>
      </w:r>
      <w:r w:rsidR="0004502C">
        <w:rPr>
          <w:rFonts w:ascii="Times New Roman" w:hAnsi="Times New Roman" w:cs="Times New Roman"/>
        </w:rPr>
        <w:t>and</w:t>
      </w:r>
      <w:r>
        <w:rPr>
          <w:rFonts w:ascii="Times New Roman" w:hAnsi="Times New Roman" w:cs="Times New Roman"/>
        </w:rPr>
        <w:t xml:space="preserve"> the </w:t>
      </w:r>
      <w:r w:rsidR="00D36325">
        <w:rPr>
          <w:rFonts w:ascii="Times New Roman" w:hAnsi="Times New Roman" w:cs="Times New Roman"/>
        </w:rPr>
        <w:t xml:space="preserve">enhancements of specific </w:t>
      </w:r>
      <w:r w:rsidR="0004502C">
        <w:rPr>
          <w:rFonts w:ascii="Times New Roman" w:hAnsi="Times New Roman" w:cs="Times New Roman"/>
        </w:rPr>
        <w:t>fac</w:t>
      </w:r>
      <w:r w:rsidR="00D36325">
        <w:rPr>
          <w:rFonts w:ascii="Times New Roman" w:hAnsi="Times New Roman" w:cs="Times New Roman"/>
        </w:rPr>
        <w:t>ets of the cognitive ability of attention, such as distractor interference, and change detection in a stimulus</w:t>
      </w:r>
      <w:r w:rsidR="003510A6">
        <w:rPr>
          <w:rFonts w:ascii="Times New Roman" w:hAnsi="Times New Roman" w:cs="Times New Roman"/>
        </w:rPr>
        <w:t xml:space="preserve">. The </w:t>
      </w:r>
      <w:r w:rsidR="005B5CA1">
        <w:rPr>
          <w:rFonts w:ascii="Times New Roman" w:hAnsi="Times New Roman" w:cs="Times New Roman"/>
        </w:rPr>
        <w:t>method employed in this study</w:t>
      </w:r>
      <w:r w:rsidR="003510A6">
        <w:rPr>
          <w:rFonts w:ascii="Times New Roman" w:hAnsi="Times New Roman" w:cs="Times New Roman"/>
        </w:rPr>
        <w:t xml:space="preserve"> throug</w:t>
      </w:r>
      <w:r w:rsidR="005B5CA1">
        <w:rPr>
          <w:rFonts w:ascii="Times New Roman" w:hAnsi="Times New Roman" w:cs="Times New Roman"/>
        </w:rPr>
        <w:t>h</w:t>
      </w:r>
      <w:r w:rsidR="003510A6">
        <w:rPr>
          <w:rFonts w:ascii="Times New Roman" w:hAnsi="Times New Roman" w:cs="Times New Roman"/>
        </w:rPr>
        <w:t xml:space="preserve"> </w:t>
      </w:r>
      <w:r w:rsidR="00830A62">
        <w:rPr>
          <w:rFonts w:ascii="Times New Roman" w:hAnsi="Times New Roman" w:cs="Times New Roman"/>
        </w:rPr>
        <w:t xml:space="preserve">(the Flanker Compatibility Task) was specifically selected to </w:t>
      </w:r>
      <w:r w:rsidR="003510A6">
        <w:rPr>
          <w:rFonts w:ascii="Times New Roman" w:hAnsi="Times New Roman" w:cs="Times New Roman"/>
        </w:rPr>
        <w:t>identif</w:t>
      </w:r>
      <w:r w:rsidR="00830A62">
        <w:rPr>
          <w:rFonts w:ascii="Times New Roman" w:hAnsi="Times New Roman" w:cs="Times New Roman"/>
        </w:rPr>
        <w:t xml:space="preserve">y a participant’s ability in distractor filtering, coupled with the P300 electrophysiological component. This pairing provides evidence of improved reaction time to target stimulus among EGs as compared to NGs. </w:t>
      </w:r>
      <w:r w:rsidR="007C08B0">
        <w:rPr>
          <w:rFonts w:ascii="Times New Roman" w:hAnsi="Times New Roman" w:cs="Times New Roman"/>
        </w:rPr>
        <w:t xml:space="preserve">Further evidence of the influence of AVGs on attention is evident in this study through the change detection task, with the authors noting the improved reaction times of EGs over NGs (in a far transfer task) in performance. The implications </w:t>
      </w:r>
      <w:r w:rsidR="00C04D48">
        <w:rPr>
          <w:rFonts w:ascii="Times New Roman" w:hAnsi="Times New Roman" w:cs="Times New Roman"/>
        </w:rPr>
        <w:t xml:space="preserve">of this study highlight the ability to specifically test and measure components of attention, alluding to a </w:t>
      </w:r>
      <w:r w:rsidR="007C08B0">
        <w:rPr>
          <w:rFonts w:ascii="Times New Roman" w:hAnsi="Times New Roman" w:cs="Times New Roman"/>
        </w:rPr>
        <w:t xml:space="preserve">promise </w:t>
      </w:r>
      <w:r w:rsidR="00C04D48">
        <w:rPr>
          <w:rFonts w:ascii="Times New Roman" w:hAnsi="Times New Roman" w:cs="Times New Roman"/>
        </w:rPr>
        <w:t>of isolating specific components of the problem solving domain of cognitive abilities, and indeed, others</w:t>
      </w:r>
      <w:r w:rsidR="007C08B0">
        <w:rPr>
          <w:rFonts w:ascii="Times New Roman" w:hAnsi="Times New Roman" w:cs="Times New Roman"/>
        </w:rPr>
        <w:t>.</w:t>
      </w:r>
    </w:p>
    <w:p w14:paraId="5B7F05EA" w14:textId="77777777" w:rsidR="007C08B0" w:rsidRDefault="007C08B0" w:rsidP="00786C76">
      <w:pPr>
        <w:spacing w:line="480" w:lineRule="auto"/>
        <w:ind w:left="0" w:firstLine="0"/>
        <w:rPr>
          <w:rFonts w:ascii="Times New Roman" w:hAnsi="Times New Roman" w:cs="Times New Roman"/>
        </w:rPr>
      </w:pPr>
    </w:p>
    <w:p w14:paraId="54834258" w14:textId="0252D289" w:rsidR="007C08B0" w:rsidRDefault="00C04D48" w:rsidP="00C77679">
      <w:pPr>
        <w:spacing w:line="480" w:lineRule="auto"/>
        <w:ind w:left="0" w:firstLine="709"/>
        <w:rPr>
          <w:rFonts w:ascii="Times New Roman" w:hAnsi="Times New Roman" w:cs="Times New Roman"/>
        </w:rPr>
      </w:pPr>
      <w:r>
        <w:rPr>
          <w:rFonts w:ascii="Times New Roman" w:hAnsi="Times New Roman" w:cs="Times New Roman"/>
        </w:rPr>
        <w:t>While the current body of evidence supports the possibility of training and improving cognitive abilities through the use of VGs, a number of studies (including ours) have used s</w:t>
      </w:r>
      <w:r w:rsidR="007C08B0">
        <w:rPr>
          <w:rFonts w:ascii="Times New Roman" w:hAnsi="Times New Roman" w:cs="Times New Roman"/>
        </w:rPr>
        <w:t xml:space="preserve">elf-reporting </w:t>
      </w:r>
      <w:r>
        <w:rPr>
          <w:rFonts w:ascii="Times New Roman" w:hAnsi="Times New Roman" w:cs="Times New Roman"/>
        </w:rPr>
        <w:t>of expertise as a selection instrument for further participation</w:t>
      </w:r>
      <w:r w:rsidR="008A1550">
        <w:rPr>
          <w:rFonts w:ascii="Times New Roman" w:hAnsi="Times New Roman" w:cs="Times New Roman"/>
        </w:rPr>
        <w:t>, but not without limitation</w:t>
      </w:r>
      <w:r>
        <w:rPr>
          <w:rFonts w:ascii="Times New Roman" w:hAnsi="Times New Roman" w:cs="Times New Roman"/>
        </w:rPr>
        <w:t>.</w:t>
      </w:r>
      <w:r w:rsidR="00117E48">
        <w:rPr>
          <w:rFonts w:ascii="Times New Roman" w:hAnsi="Times New Roman" w:cs="Times New Roman"/>
        </w:rPr>
        <w:t xml:space="preserve"> </w:t>
      </w:r>
      <w:r w:rsidR="00117E48">
        <w:rPr>
          <w:rFonts w:ascii="Times New Roman" w:hAnsi="Times New Roman" w:cs="Times New Roman"/>
        </w:rPr>
        <w:fldChar w:fldCharType="begin"/>
      </w:r>
      <w:r w:rsidR="00117E48">
        <w:rPr>
          <w:rFonts w:ascii="Times New Roman" w:hAnsi="Times New Roman" w:cs="Times New Roman"/>
        </w:rPr>
        <w:instrText xml:space="preserve"> ADDIN ZOTERO_ITEM CSL_CITATION {"citationID":"C7GS0Oxz","properties":{"formattedCitation":"(Adachi &amp; Willoughby, 2013)","plainCitation":"(Adachi &amp; Willoughby, 2013)","noteIndex":0},"citationItems":[{"id":3248,"uris":["http://zotero.org/users/7783071/items/333KGRCJ"],"itemData":{"id":3248,"type":"article-journal","abstract":"Some researchers have proposed that video games possess good learning principles and may promote problem solving skills. Empirical research regarding this relationship, however, is limited. The goal of the presented study was to examine whether strategic video game play (i.e., role playing and strategy games) predicted selfreported problem solving skills among a sample of 1,492 adolescents (50.8 % female), over the four high school years. The results showed that more strategic video game play predicted higher self-reported problem solving skills over time than less strategic video game play. In addition, the results showed support for an indirect association between strategic video game play and academic grades, in that strategic video game play predicted higher selfreported problem solving skills, and, in turn, higher selfreported problem solving skills predicted higher academic grades. The novel ﬁndings that strategic video games promote self-reported problem solving skills and indirectly predict academic grades are important considering that millions of adolescents play video games every day.","container-title":"Journal of Youth and Adolescence","DOI":"10.1007/s10964-013-9913-9","ISSN":"0047-2891, 1573-6601","issue":"7","journalAbbreviation":"J Youth Adolescence","language":"en","page":"1041-1052","source":"DOI.org (Crossref)","title":"More Than Just Fun and Games: The Longitudinal Relationships Between Strategic Video Games, Self-Reported Problem Solving Skills, and Academic Grades","title-short":"More Than Just Fun and Games","URL":"http://link.springer.com/10.1007/s10964-013-9913-9","volume":"42","author":[{"family":"Adachi","given":"Paul J. C."},{"family":"Willoughby","given":"Teena"}],"accessed":{"date-parts":[["2023",3,20]]},"issued":{"date-parts":[["2013",7]]}}}],"schema":"https://github.com/citation-style-language/schema/raw/master/csl-citation.json"} </w:instrText>
      </w:r>
      <w:r w:rsidR="00117E48">
        <w:rPr>
          <w:rFonts w:ascii="Times New Roman" w:hAnsi="Times New Roman" w:cs="Times New Roman"/>
        </w:rPr>
        <w:fldChar w:fldCharType="separate"/>
      </w:r>
      <w:r w:rsidR="00117E48">
        <w:rPr>
          <w:rFonts w:ascii="Times New Roman" w:hAnsi="Times New Roman" w:cs="Times New Roman"/>
          <w:noProof/>
        </w:rPr>
        <w:t xml:space="preserve">Adachi </w:t>
      </w:r>
      <w:r w:rsidR="00662FB4">
        <w:rPr>
          <w:rFonts w:ascii="Times New Roman" w:hAnsi="Times New Roman" w:cs="Times New Roman"/>
          <w:noProof/>
        </w:rPr>
        <w:t>and</w:t>
      </w:r>
      <w:r w:rsidR="00117E48">
        <w:rPr>
          <w:rFonts w:ascii="Times New Roman" w:hAnsi="Times New Roman" w:cs="Times New Roman"/>
          <w:noProof/>
        </w:rPr>
        <w:t xml:space="preserve"> Willoughby (2013</w:t>
      </w:r>
      <w:r w:rsidR="00117E48">
        <w:rPr>
          <w:rFonts w:ascii="Times New Roman" w:hAnsi="Times New Roman" w:cs="Times New Roman"/>
        </w:rPr>
        <w:fldChar w:fldCharType="end"/>
      </w:r>
      <w:r w:rsidR="00117E48">
        <w:rPr>
          <w:rFonts w:ascii="Times New Roman" w:hAnsi="Times New Roman" w:cs="Times New Roman"/>
        </w:rPr>
        <w:t xml:space="preserve">) have pointed out a potential limitation in this approach, stating that self-reported problem solving ability can be seen as subjective and </w:t>
      </w:r>
      <w:r w:rsidR="00D4799A">
        <w:rPr>
          <w:rFonts w:ascii="Times New Roman" w:hAnsi="Times New Roman" w:cs="Times New Roman"/>
        </w:rPr>
        <w:t>misrepresentative</w:t>
      </w:r>
      <w:r w:rsidR="00117E48">
        <w:rPr>
          <w:rFonts w:ascii="Times New Roman" w:hAnsi="Times New Roman" w:cs="Times New Roman"/>
        </w:rPr>
        <w:t xml:space="preserve">, with an objective measure of this being able to provide </w:t>
      </w:r>
      <w:r w:rsidR="00943966">
        <w:rPr>
          <w:rFonts w:ascii="Times New Roman" w:hAnsi="Times New Roman" w:cs="Times New Roman"/>
        </w:rPr>
        <w:t xml:space="preserve">more reliable </w:t>
      </w:r>
      <w:r w:rsidR="00117E48">
        <w:rPr>
          <w:rFonts w:ascii="Times New Roman" w:hAnsi="Times New Roman" w:cs="Times New Roman"/>
        </w:rPr>
        <w:t>information to researchers of a given participant’s actual abilities.</w:t>
      </w:r>
      <w:r w:rsidR="00943966">
        <w:rPr>
          <w:rFonts w:ascii="Times New Roman" w:hAnsi="Times New Roman" w:cs="Times New Roman"/>
        </w:rPr>
        <w:t xml:space="preserve"> </w:t>
      </w:r>
      <w:r w:rsidR="00943966">
        <w:rPr>
          <w:rFonts w:ascii="Times New Roman" w:hAnsi="Times New Roman" w:cs="Times New Roman"/>
        </w:rPr>
        <w:fldChar w:fldCharType="begin"/>
      </w:r>
      <w:r w:rsidR="00943966">
        <w:rPr>
          <w:rFonts w:ascii="Times New Roman" w:hAnsi="Times New Roman" w:cs="Times New Roman"/>
        </w:rPr>
        <w:instrText xml:space="preserve"> ADDIN ZOTERO_ITEM CSL_CITATION {"citationID":"eMZ2Y8Ve","properties":{"formattedCitation":"(Gobet et al., 2014)","plainCitation":"(Gobet et al., 2014)","noteIndex":0},"citationItems":[{"id":3362,"uris":["http://zotero.org/users/7783071/items/8J564DCA"],"itemData":{"id":3362,"type":"article-journal","container-title":"Frontiers in Psychology","ISSN":"1664-1078","source":"Frontiers","title":"“No level up!”: no effects of video game specialization and expertise on cognitive performance","title-short":"“No level up!”","URL":"https://www.frontiersin.org/articles/10.3389/fpsyg.2014.01337","volume":"5","author":[{"family":"Gobet","given":"Fernand"},{"family":"Johnston","given":"Stephen J."},{"family":"Ferrufino","given":"Gabriella"},{"family":"Johnston","given":"Matthew"},{"family":"Jones","given":"Michael B."},{"family":"Molyneux","given":"Antonia"},{"family":"Terzis","given":"Argyrios"},{"family":"Weeden","given":"Luke"}],"accessed":{"date-parts":[["2023",5,1]]},"issued":{"date-parts":[["2014"]]}}}],"schema":"https://github.com/citation-style-language/schema/raw/master/csl-citation.json"} </w:instrText>
      </w:r>
      <w:r w:rsidR="00943966">
        <w:rPr>
          <w:rFonts w:ascii="Times New Roman" w:hAnsi="Times New Roman" w:cs="Times New Roman"/>
        </w:rPr>
        <w:fldChar w:fldCharType="separate"/>
      </w:r>
      <w:r w:rsidR="00943966">
        <w:rPr>
          <w:rFonts w:ascii="Times New Roman" w:hAnsi="Times New Roman" w:cs="Times New Roman"/>
          <w:noProof/>
        </w:rPr>
        <w:t>Gobet et al. (2014)</w:t>
      </w:r>
      <w:r w:rsidR="00943966">
        <w:rPr>
          <w:rFonts w:ascii="Times New Roman" w:hAnsi="Times New Roman" w:cs="Times New Roman"/>
        </w:rPr>
        <w:fldChar w:fldCharType="end"/>
      </w:r>
      <w:r w:rsidR="00943966">
        <w:rPr>
          <w:rFonts w:ascii="Times New Roman" w:hAnsi="Times New Roman" w:cs="Times New Roman"/>
        </w:rPr>
        <w:t xml:space="preserve"> echo this limitation, offering that participants play a pre-determined segment of a game in order to rank individuals on actual performance. </w:t>
      </w:r>
      <w:r w:rsidR="00C77679">
        <w:rPr>
          <w:rFonts w:ascii="Times New Roman" w:hAnsi="Times New Roman" w:cs="Times New Roman"/>
        </w:rPr>
        <w:fldChar w:fldCharType="begin"/>
      </w:r>
      <w:r w:rsidR="00C77679">
        <w:rPr>
          <w:rFonts w:ascii="Times New Roman" w:hAnsi="Times New Roman" w:cs="Times New Roman"/>
        </w:rPr>
        <w:instrText xml:space="preserve"> ADDIN ZOTERO_ITEM CSL_CITATION {"citationID":"mhnT2QpF","properties":{"formattedCitation":"(Choi et al., 2020)","plainCitation":"(Choi et al., 2020)","noteIndex":0},"citationItems":[{"id":3249,"uris":["http://zotero.org/users/7783071/items/YS3SHP6B"],"itemData":{"id":3249,"type":"article-journal","abstract":"Background:  Unlike the emphasis on negative results of video games such as the impulsive engagement in video games, cognitive training studies in individuals with cognitive deficits showed that characteristics of video game elements were helpful to train cognitive functions. Thus, this study aimed to have a more balanced view toward the video game playing by reviewing genres of commercial video games and the association of video games with cognitive functions and modulating factors. Literatures were searched with search terms (e.g. genres of video games, cognitive training) on database and Google scholar.\nResults:  video games, of which purpose is players’ entertainment, were found to be positively associated with cognitive functions (e.g. attention, problem solving skills) despite some discrepancy between studies. However, the enhancement of cognitive functions through video gaming was limited to the task or performance requiring the same cognitive functions. Moreover, as several factors (e.g. age, gender) were identified to modulate cognitive enhancement, the individual difference in the association between video game playing and cognitive function was found.\nConclusion:  Commercial video games are suggested to have the potential for cognitive function enhancement. As understanding the association between video gaming and cognitive function in a more balanced view is essential to evaluate the potential outcomes of commercial video games that more people reported to engage, this review contributes to provide more objective evidence for commercial video gaming.","container-title":"Behavioral and Brain Functions","DOI":"10.1186/s12993-020-0165-z","ISSN":"1744-9081","issue":"1","journalAbbreviation":"Behav Brain Funct","language":"en","page":"2","source":"DOI.org (Crossref)","title":"Commercial video games and cognitive functions: video game genres and modulating factors of cognitive enhancement","title-short":"Commercial video games and cognitive functions","URL":"https://behavioralandbrainfunctions.biomedcentral.com/articles/10.1186/s12993-020-0165-z","volume":"16","author":[{"family":"Choi","given":"E"},{"family":"Shin","given":"S"},{"family":"Ryu","given":"J"},{"family":"Jung","given":"K"},{"family":"Kim","given":"S"},{"family":"Park","given":"M"}],"accessed":{"date-parts":[["2023",3,20]]},"issued":{"date-parts":[["2020",12]]}}}],"schema":"https://github.com/citation-style-language/schema/raw/master/csl-citation.json"} </w:instrText>
      </w:r>
      <w:r w:rsidR="00C77679">
        <w:rPr>
          <w:rFonts w:ascii="Times New Roman" w:hAnsi="Times New Roman" w:cs="Times New Roman"/>
        </w:rPr>
        <w:fldChar w:fldCharType="separate"/>
      </w:r>
      <w:r w:rsidR="00C77679">
        <w:rPr>
          <w:rFonts w:ascii="Times New Roman" w:hAnsi="Times New Roman" w:cs="Times New Roman"/>
          <w:noProof/>
        </w:rPr>
        <w:t>Choi et al. (2020)</w:t>
      </w:r>
      <w:r w:rsidR="00C77679">
        <w:rPr>
          <w:rFonts w:ascii="Times New Roman" w:hAnsi="Times New Roman" w:cs="Times New Roman"/>
        </w:rPr>
        <w:fldChar w:fldCharType="end"/>
      </w:r>
      <w:r w:rsidR="00C77679">
        <w:rPr>
          <w:rFonts w:ascii="Times New Roman" w:hAnsi="Times New Roman" w:cs="Times New Roman"/>
        </w:rPr>
        <w:t xml:space="preserve"> also comment on this, adding that self-reporting can induce a participant to underestimate their abilities based on time spent engaging with VGs in general</w:t>
      </w:r>
      <w:r w:rsidR="008A1550">
        <w:rPr>
          <w:rFonts w:ascii="Times New Roman" w:hAnsi="Times New Roman" w:cs="Times New Roman"/>
        </w:rPr>
        <w:t xml:space="preserve">, with little </w:t>
      </w:r>
      <w:r w:rsidR="008A1550">
        <w:rPr>
          <w:rFonts w:ascii="Times New Roman" w:hAnsi="Times New Roman" w:cs="Times New Roman"/>
        </w:rPr>
        <w:lastRenderedPageBreak/>
        <w:t>opportunity to reflect on already garnered ability</w:t>
      </w:r>
      <w:r w:rsidR="00C77679">
        <w:rPr>
          <w:rFonts w:ascii="Times New Roman" w:hAnsi="Times New Roman" w:cs="Times New Roman"/>
        </w:rPr>
        <w:t xml:space="preserve">. With these points in mind, it may be of greater benefit </w:t>
      </w:r>
      <w:r w:rsidR="008A3FFD">
        <w:rPr>
          <w:rFonts w:ascii="Times New Roman" w:hAnsi="Times New Roman" w:cs="Times New Roman"/>
        </w:rPr>
        <w:t>for</w:t>
      </w:r>
      <w:r w:rsidR="00C77679">
        <w:rPr>
          <w:rFonts w:ascii="Times New Roman" w:hAnsi="Times New Roman" w:cs="Times New Roman"/>
        </w:rPr>
        <w:t xml:space="preserve"> future studies to overlook self-reporting as a measure of expertise in favour of a more objective method. </w:t>
      </w:r>
    </w:p>
    <w:p w14:paraId="73CE0232" w14:textId="77777777" w:rsidR="007C08B0" w:rsidRDefault="007C08B0" w:rsidP="00786C76">
      <w:pPr>
        <w:spacing w:line="480" w:lineRule="auto"/>
        <w:ind w:left="0" w:firstLine="0"/>
        <w:rPr>
          <w:rFonts w:ascii="Times New Roman" w:hAnsi="Times New Roman" w:cs="Times New Roman"/>
        </w:rPr>
      </w:pPr>
    </w:p>
    <w:p w14:paraId="0F08C487" w14:textId="0D573868" w:rsidR="008A1550" w:rsidRDefault="008A1550" w:rsidP="004C728A">
      <w:pPr>
        <w:spacing w:line="480" w:lineRule="auto"/>
        <w:ind w:left="0" w:firstLine="709"/>
        <w:rPr>
          <w:rFonts w:ascii="Times New Roman" w:hAnsi="Times New Roman" w:cs="Times New Roman"/>
        </w:rPr>
      </w:pPr>
      <w:r>
        <w:rPr>
          <w:rFonts w:ascii="Times New Roman" w:hAnsi="Times New Roman" w:cs="Times New Roman"/>
        </w:rPr>
        <w:t>While the existing body of research into the development of problem solving skill is presently limited, f</w:t>
      </w:r>
      <w:r w:rsidR="004C728A">
        <w:rPr>
          <w:rFonts w:ascii="Times New Roman" w:hAnsi="Times New Roman" w:cs="Times New Roman"/>
        </w:rPr>
        <w:t>uture research in</w:t>
      </w:r>
      <w:r>
        <w:rPr>
          <w:rFonts w:ascii="Times New Roman" w:hAnsi="Times New Roman" w:cs="Times New Roman"/>
        </w:rPr>
        <w:t xml:space="preserve"> this area has a lot to uncover.</w:t>
      </w:r>
      <w:r w:rsidR="008A3FFD">
        <w:rPr>
          <w:rFonts w:ascii="Times New Roman" w:hAnsi="Times New Roman" w:cs="Times New Roman"/>
        </w:rPr>
        <w:t xml:space="preserve"> The use of fMRI scans in conjunction with </w:t>
      </w:r>
      <w:r w:rsidR="001E41E0">
        <w:rPr>
          <w:rFonts w:ascii="Times New Roman" w:hAnsi="Times New Roman" w:cs="Times New Roman"/>
        </w:rPr>
        <w:t xml:space="preserve">the </w:t>
      </w:r>
      <w:r w:rsidR="008A3FFD">
        <w:rPr>
          <w:rFonts w:ascii="Times New Roman" w:hAnsi="Times New Roman" w:cs="Times New Roman"/>
        </w:rPr>
        <w:t xml:space="preserve">facet specific </w:t>
      </w:r>
      <w:r w:rsidR="00077F17">
        <w:rPr>
          <w:rFonts w:ascii="Times New Roman" w:hAnsi="Times New Roman" w:cs="Times New Roman"/>
        </w:rPr>
        <w:t xml:space="preserve">tasks or measurements </w:t>
      </w:r>
      <w:r w:rsidR="001E41E0">
        <w:rPr>
          <w:rFonts w:ascii="Times New Roman" w:hAnsi="Times New Roman" w:cs="Times New Roman"/>
        </w:rPr>
        <w:t xml:space="preserve">of attention </w:t>
      </w:r>
      <w:r w:rsidR="00077F17">
        <w:rPr>
          <w:rFonts w:ascii="Times New Roman" w:hAnsi="Times New Roman" w:cs="Times New Roman"/>
        </w:rPr>
        <w:fldChar w:fldCharType="begin"/>
      </w:r>
      <w:r w:rsidR="00077F17">
        <w:rPr>
          <w:rFonts w:ascii="Times New Roman" w:hAnsi="Times New Roman" w:cs="Times New Roman"/>
        </w:rPr>
        <w:instrText xml:space="preserve"> ADDIN ZOTERO_ITEM CSL_CITATION {"citationID":"1Bd5oNxd","properties":{"formattedCitation":"(Gobet et al., 2014)","plainCitation":"(Gobet et al., 2014)","noteIndex":0},"citationItems":[{"id":3362,"uris":["http://zotero.org/users/7783071/items/8J564DCA"],"itemData":{"id":3362,"type":"article-journal","container-title":"Frontiers in Psychology","ISSN":"1664-1078","source":"Frontiers","title":"“No level up!”: no effects of video game specialization and expertise on cognitive performance","title-short":"“No level up!”","URL":"https://www.frontiersin.org/articles/10.3389/fpsyg.2014.01337","volume":"5","author":[{"family":"Gobet","given":"Fernand"},{"family":"Johnston","given":"Stephen J."},{"family":"Ferrufino","given":"Gabriella"},{"family":"Johnston","given":"Matthew"},{"family":"Jones","given":"Michael B."},{"family":"Molyneux","given":"Antonia"},{"family":"Terzis","given":"Argyrios"},{"family":"Weeden","given":"Luke"}],"accessed":{"date-parts":[["2023",5,1]]},"issued":{"date-parts":[["2014"]]}}}],"schema":"https://github.com/citation-style-language/schema/raw/master/csl-citation.json"} </w:instrText>
      </w:r>
      <w:r w:rsidR="00077F17">
        <w:rPr>
          <w:rFonts w:ascii="Times New Roman" w:hAnsi="Times New Roman" w:cs="Times New Roman"/>
        </w:rPr>
        <w:fldChar w:fldCharType="separate"/>
      </w:r>
      <w:r w:rsidR="00077F17">
        <w:rPr>
          <w:rFonts w:ascii="Times New Roman" w:hAnsi="Times New Roman" w:cs="Times New Roman"/>
          <w:noProof/>
        </w:rPr>
        <w:t>(Gobet et al., 2014)</w:t>
      </w:r>
      <w:r w:rsidR="00077F17">
        <w:rPr>
          <w:rFonts w:ascii="Times New Roman" w:hAnsi="Times New Roman" w:cs="Times New Roman"/>
        </w:rPr>
        <w:fldChar w:fldCharType="end"/>
      </w:r>
      <w:r w:rsidR="00077F17">
        <w:rPr>
          <w:rFonts w:ascii="Times New Roman" w:hAnsi="Times New Roman" w:cs="Times New Roman"/>
        </w:rPr>
        <w:t xml:space="preserve"> suggest a potential method of research into problem solving that would advance th</w:t>
      </w:r>
      <w:r w:rsidR="001E41E0">
        <w:rPr>
          <w:rFonts w:ascii="Times New Roman" w:hAnsi="Times New Roman" w:cs="Times New Roman"/>
        </w:rPr>
        <w:t>is</w:t>
      </w:r>
      <w:r w:rsidR="00077F17">
        <w:rPr>
          <w:rFonts w:ascii="Times New Roman" w:hAnsi="Times New Roman" w:cs="Times New Roman"/>
        </w:rPr>
        <w:t xml:space="preserve"> particular direction of research. </w:t>
      </w:r>
      <w:r w:rsidR="00077F17">
        <w:rPr>
          <w:rFonts w:ascii="Times New Roman" w:hAnsi="Times New Roman" w:cs="Times New Roman"/>
        </w:rPr>
        <w:fldChar w:fldCharType="begin"/>
      </w:r>
      <w:r w:rsidR="00077F17">
        <w:rPr>
          <w:rFonts w:ascii="Times New Roman" w:hAnsi="Times New Roman" w:cs="Times New Roman"/>
        </w:rPr>
        <w:instrText xml:space="preserve"> ADDIN ZOTERO_ITEM CSL_CITATION {"citationID":"8yn9GEXk","properties":{"formattedCitation":"(Shute et al., 2015)","plainCitation":"(Shute et al., 2015)","noteIndex":0},"citationItems":[{"id":3251,"uris":["http://zotero.org/users/7783071/items/MN69D978"],"itemData":{"id":3251,"type":"article-journal","abstract":"In this study, we tested 77 undergraduates who were randomly assigned to play either a popular video game (Portal 2) or a popular brain training game (Lumosity) for 8 h. Before and after gameplay, participants completed a set of online tests related to problem solving, spatial skill, and persistence. Results revealed that participants who were assigned to play Portal 2 showed a statistically signiﬁcant advantage over Lumosity on each of the three composite measuresdproblem solving, spatial skill, and persistence. Portal 2 players also showed signiﬁcant increases from pretest to posttest on speciﬁc small- and largescale spatial tests while those in the Lumosity condition did not show any pretest to posttest differences on any measure. Results are discussed in terms of the positive impact video games can have on cognitive and noncognitive skills.","container-title":"Computers &amp; Education","DOI":"10.1016/j.compedu.2014.08.013","ISSN":"03601315","journalAbbreviation":"Computers &amp; Education","language":"en","page":"58-67","source":"DOI.org (Crossref)","title":"The power of play: The effects of Portal 2 and Lumosity on cognitive and noncognitive skills","title-short":"The power of play","URL":"https://linkinghub.elsevier.com/retrieve/pii/S0360131514001869","volume":"80","author":[{"family":"Shute","given":"Valerie J."},{"family":"Ventura","given":"Matthew"},{"family":"Ke","given":"Fengfeng"}],"accessed":{"date-parts":[["2023",3,20]]},"issued":{"date-parts":[["2015",1]]}}}],"schema":"https://github.com/citation-style-language/schema/raw/master/csl-citation.json"} </w:instrText>
      </w:r>
      <w:r w:rsidR="00077F17">
        <w:rPr>
          <w:rFonts w:ascii="Times New Roman" w:hAnsi="Times New Roman" w:cs="Times New Roman"/>
        </w:rPr>
        <w:fldChar w:fldCharType="separate"/>
      </w:r>
      <w:r w:rsidR="00077F17">
        <w:rPr>
          <w:rFonts w:ascii="Times New Roman" w:hAnsi="Times New Roman" w:cs="Times New Roman"/>
          <w:noProof/>
        </w:rPr>
        <w:t>Shute et al. (2015)</w:t>
      </w:r>
      <w:r w:rsidR="00077F17">
        <w:rPr>
          <w:rFonts w:ascii="Times New Roman" w:hAnsi="Times New Roman" w:cs="Times New Roman"/>
        </w:rPr>
        <w:fldChar w:fldCharType="end"/>
      </w:r>
      <w:r w:rsidR="00077F17">
        <w:rPr>
          <w:rFonts w:ascii="Times New Roman" w:hAnsi="Times New Roman" w:cs="Times New Roman"/>
        </w:rPr>
        <w:t xml:space="preserve"> has </w:t>
      </w:r>
      <w:r w:rsidR="001E41E0">
        <w:rPr>
          <w:rFonts w:ascii="Times New Roman" w:hAnsi="Times New Roman" w:cs="Times New Roman"/>
        </w:rPr>
        <w:t>partially employed</w:t>
      </w:r>
      <w:r w:rsidR="00077F17">
        <w:rPr>
          <w:rFonts w:ascii="Times New Roman" w:hAnsi="Times New Roman" w:cs="Times New Roman"/>
        </w:rPr>
        <w:t xml:space="preserve"> this approach through the use of instruments specifically designed (albeit adjusted measures, due to time constraints) with specific problem solving facets</w:t>
      </w:r>
      <w:r w:rsidR="00A075FF">
        <w:rPr>
          <w:rFonts w:ascii="Times New Roman" w:hAnsi="Times New Roman" w:cs="Times New Roman"/>
        </w:rPr>
        <w:t>,</w:t>
      </w:r>
      <w:r w:rsidR="00077F17">
        <w:rPr>
          <w:rFonts w:ascii="Times New Roman" w:hAnsi="Times New Roman" w:cs="Times New Roman"/>
        </w:rPr>
        <w:t xml:space="preserve"> such as rule application and functional fixedness in mind. </w:t>
      </w:r>
      <w:r w:rsidR="00077F17">
        <w:rPr>
          <w:rFonts w:ascii="Times New Roman" w:hAnsi="Times New Roman" w:cs="Times New Roman"/>
        </w:rPr>
        <w:fldChar w:fldCharType="begin"/>
      </w:r>
      <w:r w:rsidR="00077F17">
        <w:rPr>
          <w:rFonts w:ascii="Times New Roman" w:hAnsi="Times New Roman" w:cs="Times New Roman"/>
        </w:rPr>
        <w:instrText xml:space="preserve"> ADDIN ZOTERO_ITEM CSL_CITATION {"citationID":"z7ZDBAkt","properties":{"formattedCitation":"(Adachi &amp; Willoughby, 2013)","plainCitation":"(Adachi &amp; Willoughby, 2013)","noteIndex":0},"citationItems":[{"id":3248,"uris":["http://zotero.org/users/7783071/items/333KGRCJ"],"itemData":{"id":3248,"type":"article-journal","abstract":"Some researchers have proposed that video games possess good learning principles and may promote problem solving skills. Empirical research regarding this relationship, however, is limited. The goal of the presented study was to examine whether strategic video game play (i.e., role playing and strategy games) predicted selfreported problem solving skills among a sample of 1,492 adolescents (50.8 % female), over the four high school years. The results showed that more strategic video game play predicted higher self-reported problem solving skills over time than less strategic video game play. In addition, the results showed support for an indirect association between strategic video game play and academic grades, in that strategic video game play predicted higher selfreported problem solving skills, and, in turn, higher selfreported problem solving skills predicted higher academic grades. The novel ﬁndings that strategic video games promote self-reported problem solving skills and indirectly predict academic grades are important considering that millions of adolescents play video games every day.","container-title":"Journal of Youth and Adolescence","DOI":"10.1007/s10964-013-9913-9","ISSN":"0047-2891, 1573-6601","issue":"7","journalAbbreviation":"J Youth Adolescence","language":"en","page":"1041-1052","source":"DOI.org (Crossref)","title":"More Than Just Fun and Games: The Longitudinal Relationships Between Strategic Video Games, Self-Reported Problem Solving Skills, and Academic Grades","title-short":"More Than Just Fun and Games","URL":"http://link.springer.com/10.1007/s10964-013-9913-9","volume":"42","author":[{"family":"Adachi","given":"Paul J. C."},{"family":"Willoughby","given":"Teena"}],"accessed":{"date-parts":[["2023",3,20]]},"issued":{"date-parts":[["2013",7]]}}}],"schema":"https://github.com/citation-style-language/schema/raw/master/csl-citation.json"} </w:instrText>
      </w:r>
      <w:r w:rsidR="00077F17">
        <w:rPr>
          <w:rFonts w:ascii="Times New Roman" w:hAnsi="Times New Roman" w:cs="Times New Roman"/>
        </w:rPr>
        <w:fldChar w:fldCharType="separate"/>
      </w:r>
      <w:r w:rsidR="00077F17">
        <w:rPr>
          <w:rFonts w:ascii="Times New Roman" w:hAnsi="Times New Roman" w:cs="Times New Roman"/>
          <w:noProof/>
        </w:rPr>
        <w:t xml:space="preserve">Adachi </w:t>
      </w:r>
      <w:r w:rsidR="00A075FF">
        <w:rPr>
          <w:rFonts w:ascii="Times New Roman" w:hAnsi="Times New Roman" w:cs="Times New Roman"/>
          <w:noProof/>
        </w:rPr>
        <w:t>and</w:t>
      </w:r>
      <w:r w:rsidR="00077F17">
        <w:rPr>
          <w:rFonts w:ascii="Times New Roman" w:hAnsi="Times New Roman" w:cs="Times New Roman"/>
          <w:noProof/>
        </w:rPr>
        <w:t xml:space="preserve"> Willoughby (2013)</w:t>
      </w:r>
      <w:r w:rsidR="00077F17">
        <w:rPr>
          <w:rFonts w:ascii="Times New Roman" w:hAnsi="Times New Roman" w:cs="Times New Roman"/>
        </w:rPr>
        <w:fldChar w:fldCharType="end"/>
      </w:r>
      <w:r w:rsidR="00077F17">
        <w:rPr>
          <w:rFonts w:ascii="Times New Roman" w:hAnsi="Times New Roman" w:cs="Times New Roman"/>
        </w:rPr>
        <w:t xml:space="preserve"> commenced this approach through their comparison </w:t>
      </w:r>
      <w:r w:rsidR="00A075FF">
        <w:rPr>
          <w:rFonts w:ascii="Times New Roman" w:hAnsi="Times New Roman" w:cs="Times New Roman"/>
        </w:rPr>
        <w:t xml:space="preserve">of problem solving abilities </w:t>
      </w:r>
      <w:r w:rsidR="00077F17">
        <w:rPr>
          <w:rFonts w:ascii="Times New Roman" w:hAnsi="Times New Roman" w:cs="Times New Roman"/>
        </w:rPr>
        <w:t>to academic grades and scholastic achievement</w:t>
      </w:r>
      <w:r w:rsidR="00A075FF">
        <w:rPr>
          <w:rFonts w:ascii="Times New Roman" w:hAnsi="Times New Roman" w:cs="Times New Roman"/>
        </w:rPr>
        <w:t>. While this area of research arguably is still in its infancy, the avenues to narrow focus are ever present.</w:t>
      </w:r>
    </w:p>
    <w:p w14:paraId="5DCD054B" w14:textId="77777777" w:rsidR="008A1550" w:rsidRDefault="008A1550" w:rsidP="004C728A">
      <w:pPr>
        <w:spacing w:line="480" w:lineRule="auto"/>
        <w:ind w:left="0" w:firstLine="709"/>
        <w:rPr>
          <w:rFonts w:ascii="Times New Roman" w:hAnsi="Times New Roman" w:cs="Times New Roman"/>
        </w:rPr>
      </w:pPr>
    </w:p>
    <w:p w14:paraId="5A1F2083" w14:textId="48BEFA4E" w:rsidR="00F95661" w:rsidRDefault="00437923" w:rsidP="00F54270">
      <w:pPr>
        <w:spacing w:line="480" w:lineRule="auto"/>
        <w:ind w:left="13" w:right="0" w:firstLine="554"/>
        <w:jc w:val="left"/>
        <w:rPr>
          <w:rFonts w:ascii="Times New Roman" w:hAnsi="Times New Roman" w:cs="Times New Roman"/>
        </w:rPr>
      </w:pPr>
      <w:r>
        <w:rPr>
          <w:rFonts w:ascii="Times New Roman" w:hAnsi="Times New Roman" w:cs="Times New Roman"/>
        </w:rPr>
        <w:t xml:space="preserve">In conclusion, the results of our study and their comparison to previously attained results, does appear to support previous findings. The potential for further research into more specific elements of problem solving </w:t>
      </w:r>
      <w:r w:rsidR="00120A0B">
        <w:rPr>
          <w:rFonts w:ascii="Times New Roman" w:hAnsi="Times New Roman" w:cs="Times New Roman"/>
        </w:rPr>
        <w:t xml:space="preserve">ability </w:t>
      </w:r>
      <w:r>
        <w:rPr>
          <w:rFonts w:ascii="Times New Roman" w:hAnsi="Times New Roman" w:cs="Times New Roman"/>
        </w:rPr>
        <w:t xml:space="preserve">is gathering, all the while moving in an affirmative direction towards the positive influence of </w:t>
      </w:r>
      <w:r w:rsidR="00120A0B">
        <w:rPr>
          <w:rFonts w:ascii="Times New Roman" w:hAnsi="Times New Roman" w:cs="Times New Roman"/>
        </w:rPr>
        <w:t>VG consumption</w:t>
      </w:r>
      <w:r>
        <w:rPr>
          <w:rFonts w:ascii="Times New Roman" w:hAnsi="Times New Roman" w:cs="Times New Roman"/>
        </w:rPr>
        <w:t>.</w:t>
      </w:r>
    </w:p>
    <w:p w14:paraId="51BB3DC9" w14:textId="13B39CDA" w:rsidR="00871EDA" w:rsidRDefault="00C41398" w:rsidP="00F54270">
      <w:pPr>
        <w:spacing w:line="480" w:lineRule="auto"/>
        <w:ind w:left="13" w:right="0" w:firstLine="554"/>
        <w:jc w:val="left"/>
        <w:rPr>
          <w:rFonts w:ascii="Times New Roman" w:hAnsi="Times New Roman" w:cs="Times New Roman"/>
        </w:rPr>
      </w:pPr>
      <w:r>
        <w:rPr>
          <w:rFonts w:ascii="Times New Roman" w:hAnsi="Times New Roman" w:cs="Times New Roman"/>
        </w:rPr>
        <w:t xml:space="preserve"> </w:t>
      </w:r>
    </w:p>
    <w:p w14:paraId="48E48138" w14:textId="77777777" w:rsidR="00871EDA" w:rsidRDefault="00871EDA" w:rsidP="00F54270">
      <w:pPr>
        <w:spacing w:line="480" w:lineRule="auto"/>
        <w:ind w:left="13" w:right="0" w:firstLine="554"/>
        <w:jc w:val="left"/>
        <w:rPr>
          <w:rFonts w:ascii="Times New Roman" w:hAnsi="Times New Roman" w:cs="Times New Roman"/>
        </w:rPr>
      </w:pPr>
    </w:p>
    <w:p w14:paraId="7DD42C91" w14:textId="77777777" w:rsidR="00FB488C" w:rsidRDefault="00FB488C" w:rsidP="00F54270">
      <w:pPr>
        <w:spacing w:line="480" w:lineRule="auto"/>
        <w:ind w:left="13" w:right="0" w:firstLine="554"/>
        <w:jc w:val="left"/>
        <w:rPr>
          <w:rFonts w:ascii="Times New Roman" w:hAnsi="Times New Roman" w:cs="Times New Roman"/>
        </w:rPr>
      </w:pPr>
    </w:p>
    <w:p w14:paraId="2CEB2B48" w14:textId="77777777" w:rsidR="00A103A1" w:rsidRDefault="00A103A1" w:rsidP="00F54270">
      <w:pPr>
        <w:spacing w:line="480" w:lineRule="auto"/>
        <w:ind w:left="13" w:right="0" w:firstLine="554"/>
        <w:jc w:val="left"/>
        <w:rPr>
          <w:rFonts w:ascii="Times New Roman" w:hAnsi="Times New Roman" w:cs="Times New Roman"/>
        </w:rPr>
      </w:pPr>
    </w:p>
    <w:p w14:paraId="7176F829" w14:textId="79E05CB7" w:rsidR="00040669" w:rsidRDefault="00947A49" w:rsidP="00F54270">
      <w:pPr>
        <w:spacing w:after="0" w:line="480" w:lineRule="auto"/>
        <w:ind w:left="0" w:right="0" w:firstLine="0"/>
        <w:jc w:val="center"/>
        <w:rPr>
          <w:rFonts w:ascii="Times New Roman" w:hAnsi="Times New Roman" w:cs="Times New Roman"/>
        </w:rPr>
      </w:pPr>
      <w:r>
        <w:rPr>
          <w:rFonts w:ascii="Times New Roman" w:hAnsi="Times New Roman" w:cs="Times New Roman"/>
        </w:rPr>
        <w:br w:type="page"/>
      </w:r>
      <w:r w:rsidR="002C4B4B" w:rsidRPr="00947A49">
        <w:rPr>
          <w:rFonts w:ascii="Times New Roman" w:hAnsi="Times New Roman" w:cs="Times New Roman"/>
        </w:rPr>
        <w:lastRenderedPageBreak/>
        <w:t>References</w:t>
      </w:r>
    </w:p>
    <w:p w14:paraId="7C6882D1" w14:textId="77777777" w:rsidR="00077F17" w:rsidRPr="00077F17" w:rsidRDefault="00F95661" w:rsidP="00077F17">
      <w:pPr>
        <w:pStyle w:val="Bibliography"/>
        <w:rPr>
          <w:color w:val="auto"/>
          <w:lang w:val="en-GB"/>
        </w:rPr>
      </w:pPr>
      <w:r>
        <w:fldChar w:fldCharType="begin"/>
      </w:r>
      <w:r>
        <w:instrText xml:space="preserve"> ADDIN ZOTERO_BIBL {"uncited":[],"omitted":[],"custom":[]} CSL_BIBLIOGRAPHY </w:instrText>
      </w:r>
      <w:r>
        <w:fldChar w:fldCharType="separate"/>
      </w:r>
      <w:r w:rsidR="00077F17" w:rsidRPr="00077F17">
        <w:rPr>
          <w:color w:val="auto"/>
          <w:lang w:val="en-GB"/>
        </w:rPr>
        <w:t xml:space="preserve">Adachi, P. J. C., &amp; Willoughby, T. (2013). More Than Just Fun and Games: The Longitudinal Relationships Between Strategic Video Games, Self-Reported Problem Solving Skills, and Academic Grades. </w:t>
      </w:r>
      <w:r w:rsidR="00077F17" w:rsidRPr="00077F17">
        <w:rPr>
          <w:i/>
          <w:iCs/>
          <w:color w:val="auto"/>
          <w:lang w:val="en-GB"/>
        </w:rPr>
        <w:t>Journal of Youth and Adolescence</w:t>
      </w:r>
      <w:r w:rsidR="00077F17" w:rsidRPr="00077F17">
        <w:rPr>
          <w:color w:val="auto"/>
          <w:lang w:val="en-GB"/>
        </w:rPr>
        <w:t xml:space="preserve">, </w:t>
      </w:r>
      <w:r w:rsidR="00077F17" w:rsidRPr="00077F17">
        <w:rPr>
          <w:i/>
          <w:iCs/>
          <w:color w:val="auto"/>
          <w:lang w:val="en-GB"/>
        </w:rPr>
        <w:t>42</w:t>
      </w:r>
      <w:r w:rsidR="00077F17" w:rsidRPr="00077F17">
        <w:rPr>
          <w:color w:val="auto"/>
          <w:lang w:val="en-GB"/>
        </w:rPr>
        <w:t>(7), 1041–1052. https://doi.org/10.1007/s10964-013-9913-9</w:t>
      </w:r>
    </w:p>
    <w:p w14:paraId="506F99C4" w14:textId="77777777" w:rsidR="00077F17" w:rsidRPr="00077F17" w:rsidRDefault="00077F17" w:rsidP="00077F17">
      <w:pPr>
        <w:pStyle w:val="Bibliography"/>
        <w:rPr>
          <w:color w:val="auto"/>
          <w:lang w:val="en-GB"/>
        </w:rPr>
      </w:pPr>
      <w:r w:rsidRPr="00077F17">
        <w:rPr>
          <w:color w:val="auto"/>
          <w:lang w:val="en-GB"/>
        </w:rPr>
        <w:t xml:space="preserve">Choi, E., Shin, S., Ryu, J., Jung, K., Kim, S., &amp; Park, M. (2020). Commercial video games and cognitive functions: Video game genres and modulating factors of cognitive enhancement. </w:t>
      </w:r>
      <w:proofErr w:type="spellStart"/>
      <w:r w:rsidRPr="00077F17">
        <w:rPr>
          <w:i/>
          <w:iCs/>
          <w:color w:val="auto"/>
          <w:lang w:val="en-GB"/>
        </w:rPr>
        <w:t>Behavioral</w:t>
      </w:r>
      <w:proofErr w:type="spellEnd"/>
      <w:r w:rsidRPr="00077F17">
        <w:rPr>
          <w:i/>
          <w:iCs/>
          <w:color w:val="auto"/>
          <w:lang w:val="en-GB"/>
        </w:rPr>
        <w:t xml:space="preserve"> and Brain Functions</w:t>
      </w:r>
      <w:r w:rsidRPr="00077F17">
        <w:rPr>
          <w:color w:val="auto"/>
          <w:lang w:val="en-GB"/>
        </w:rPr>
        <w:t xml:space="preserve">, </w:t>
      </w:r>
      <w:r w:rsidRPr="00077F17">
        <w:rPr>
          <w:i/>
          <w:iCs/>
          <w:color w:val="auto"/>
          <w:lang w:val="en-GB"/>
        </w:rPr>
        <w:t>16</w:t>
      </w:r>
      <w:r w:rsidRPr="00077F17">
        <w:rPr>
          <w:color w:val="auto"/>
          <w:lang w:val="en-GB"/>
        </w:rPr>
        <w:t>(1), 2. https://doi.org/10.1186/s12993-020-0165-z</w:t>
      </w:r>
    </w:p>
    <w:p w14:paraId="646AC832" w14:textId="77777777" w:rsidR="00077F17" w:rsidRPr="00077F17" w:rsidRDefault="00077F17" w:rsidP="00077F17">
      <w:pPr>
        <w:pStyle w:val="Bibliography"/>
        <w:rPr>
          <w:color w:val="auto"/>
          <w:lang w:val="en-GB"/>
        </w:rPr>
      </w:pPr>
      <w:r w:rsidRPr="00077F17">
        <w:rPr>
          <w:color w:val="auto"/>
          <w:lang w:val="en-GB"/>
        </w:rPr>
        <w:t xml:space="preserve">Gobet, F., Johnston, S. J., Ferrufino, G., Johnston, M., Jones, M. B., Molyneux, A., Terzis, A., &amp; Weeden, L. (2014). “No level up!”: No effects of video game specialization and expertise on cognitive performance. </w:t>
      </w:r>
      <w:r w:rsidRPr="00077F17">
        <w:rPr>
          <w:i/>
          <w:iCs/>
          <w:color w:val="auto"/>
          <w:lang w:val="en-GB"/>
        </w:rPr>
        <w:t>Frontiers in Psychology</w:t>
      </w:r>
      <w:r w:rsidRPr="00077F17">
        <w:rPr>
          <w:color w:val="auto"/>
          <w:lang w:val="en-GB"/>
        </w:rPr>
        <w:t xml:space="preserve">, </w:t>
      </w:r>
      <w:r w:rsidRPr="00077F17">
        <w:rPr>
          <w:i/>
          <w:iCs/>
          <w:color w:val="auto"/>
          <w:lang w:val="en-GB"/>
        </w:rPr>
        <w:t>5</w:t>
      </w:r>
      <w:r w:rsidRPr="00077F17">
        <w:rPr>
          <w:color w:val="auto"/>
          <w:lang w:val="en-GB"/>
        </w:rPr>
        <w:t>. https://www.frontiersin.org/articles/10.3389/fpsyg.2014.01337</w:t>
      </w:r>
    </w:p>
    <w:p w14:paraId="6F8F17C1" w14:textId="77777777" w:rsidR="00077F17" w:rsidRPr="00077F17" w:rsidRDefault="00077F17" w:rsidP="00077F17">
      <w:pPr>
        <w:pStyle w:val="Bibliography"/>
        <w:rPr>
          <w:color w:val="auto"/>
          <w:lang w:val="en-GB"/>
        </w:rPr>
      </w:pPr>
      <w:r w:rsidRPr="00077F17">
        <w:rPr>
          <w:color w:val="auto"/>
          <w:lang w:val="en-GB"/>
        </w:rPr>
        <w:t xml:space="preserve">Shute, V. J., Ventura, M., &amp; Ke, F. (2015). The power of play: The effects of Portal 2 and Lumosity on cognitive and noncognitive skills. </w:t>
      </w:r>
      <w:r w:rsidRPr="00077F17">
        <w:rPr>
          <w:i/>
          <w:iCs/>
          <w:color w:val="auto"/>
          <w:lang w:val="en-GB"/>
        </w:rPr>
        <w:t>Computers &amp; Education</w:t>
      </w:r>
      <w:r w:rsidRPr="00077F17">
        <w:rPr>
          <w:color w:val="auto"/>
          <w:lang w:val="en-GB"/>
        </w:rPr>
        <w:t xml:space="preserve">, </w:t>
      </w:r>
      <w:r w:rsidRPr="00077F17">
        <w:rPr>
          <w:i/>
          <w:iCs/>
          <w:color w:val="auto"/>
          <w:lang w:val="en-GB"/>
        </w:rPr>
        <w:t>80</w:t>
      </w:r>
      <w:r w:rsidRPr="00077F17">
        <w:rPr>
          <w:color w:val="auto"/>
          <w:lang w:val="en-GB"/>
        </w:rPr>
        <w:t>, 58–67. https://doi.org/10.1016/j.compedu.2014.08.013</w:t>
      </w:r>
    </w:p>
    <w:p w14:paraId="68F5CD73" w14:textId="7924D060" w:rsidR="00F95661" w:rsidRPr="00947A49" w:rsidRDefault="00F95661" w:rsidP="00F54270">
      <w:pPr>
        <w:spacing w:after="0" w:line="480" w:lineRule="auto"/>
        <w:ind w:left="0" w:right="0" w:firstLine="0"/>
        <w:jc w:val="left"/>
        <w:rPr>
          <w:rFonts w:ascii="Times New Roman" w:hAnsi="Times New Roman" w:cs="Times New Roman"/>
        </w:rPr>
      </w:pPr>
      <w:r>
        <w:rPr>
          <w:rFonts w:ascii="Times New Roman" w:hAnsi="Times New Roman" w:cs="Times New Roman"/>
        </w:rPr>
        <w:fldChar w:fldCharType="end"/>
      </w:r>
    </w:p>
    <w:sectPr w:rsidR="00F95661" w:rsidRPr="00947A49" w:rsidSect="004A2BCC">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8E6F" w14:textId="77777777" w:rsidR="0083128E" w:rsidRDefault="0083128E" w:rsidP="00DB0CD5">
      <w:pPr>
        <w:spacing w:after="0" w:line="240" w:lineRule="auto"/>
      </w:pPr>
      <w:r>
        <w:separator/>
      </w:r>
    </w:p>
  </w:endnote>
  <w:endnote w:type="continuationSeparator" w:id="0">
    <w:p w14:paraId="0A797FB1" w14:textId="77777777" w:rsidR="0083128E" w:rsidRDefault="0083128E" w:rsidP="00DB0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57F89" w14:textId="77777777" w:rsidR="00D031C4"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9757" w14:textId="4D65C775" w:rsidR="00D031C4" w:rsidRDefault="00000000">
    <w:pPr>
      <w:spacing w:after="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415A2" w14:textId="77777777" w:rsidR="00D031C4" w:rsidRDefault="00000000">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F5A08" w14:textId="77777777" w:rsidR="0083128E" w:rsidRDefault="0083128E" w:rsidP="00DB0CD5">
      <w:pPr>
        <w:spacing w:after="0" w:line="240" w:lineRule="auto"/>
      </w:pPr>
      <w:r>
        <w:separator/>
      </w:r>
    </w:p>
  </w:footnote>
  <w:footnote w:type="continuationSeparator" w:id="0">
    <w:p w14:paraId="088A3396" w14:textId="77777777" w:rsidR="0083128E" w:rsidRDefault="0083128E" w:rsidP="00DB0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2908519"/>
      <w:docPartObj>
        <w:docPartGallery w:val="Page Numbers (Top of Page)"/>
        <w:docPartUnique/>
      </w:docPartObj>
    </w:sdtPr>
    <w:sdtContent>
      <w:p w14:paraId="2DE07572" w14:textId="6D46BCB2" w:rsidR="00DB0CD5" w:rsidRDefault="00DB0CD5" w:rsidP="00E54B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3622C3" w14:textId="77777777" w:rsidR="00DB0CD5" w:rsidRDefault="00DB0CD5" w:rsidP="00DB0C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4969775"/>
      <w:docPartObj>
        <w:docPartGallery w:val="Page Numbers (Top of Page)"/>
        <w:docPartUnique/>
      </w:docPartObj>
    </w:sdtPr>
    <w:sdtContent>
      <w:p w14:paraId="1C80F31B" w14:textId="6182B695" w:rsidR="00DB0CD5" w:rsidRDefault="00DB0CD5" w:rsidP="00E54BE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6F6BA2" w14:textId="77777777" w:rsidR="00DB0CD5" w:rsidRDefault="00DB0CD5" w:rsidP="00DB0CD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D0B"/>
    <w:multiLevelType w:val="hybridMultilevel"/>
    <w:tmpl w:val="C8CE12D6"/>
    <w:lvl w:ilvl="0" w:tplc="32FC4118">
      <w:numFmt w:val="bullet"/>
      <w:lvlText w:val="-"/>
      <w:lvlJc w:val="left"/>
      <w:pPr>
        <w:ind w:left="720" w:hanging="360"/>
      </w:pPr>
      <w:rPr>
        <w:rFonts w:ascii="Times New Roman" w:eastAsia="Calibri" w:hAnsi="Times New Roman"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8124BE"/>
    <w:multiLevelType w:val="hybridMultilevel"/>
    <w:tmpl w:val="B9A6A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621BDE"/>
    <w:multiLevelType w:val="hybridMultilevel"/>
    <w:tmpl w:val="9858D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314D9E"/>
    <w:multiLevelType w:val="multilevel"/>
    <w:tmpl w:val="D1B0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056478">
    <w:abstractNumId w:val="3"/>
  </w:num>
  <w:num w:numId="2" w16cid:durableId="1936668046">
    <w:abstractNumId w:val="2"/>
  </w:num>
  <w:num w:numId="3" w16cid:durableId="407381783">
    <w:abstractNumId w:val="1"/>
  </w:num>
  <w:num w:numId="4" w16cid:durableId="80373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B8"/>
    <w:rsid w:val="00040669"/>
    <w:rsid w:val="0004502C"/>
    <w:rsid w:val="00072C5E"/>
    <w:rsid w:val="00077F17"/>
    <w:rsid w:val="000E4880"/>
    <w:rsid w:val="00117E48"/>
    <w:rsid w:val="00120A0B"/>
    <w:rsid w:val="00133050"/>
    <w:rsid w:val="00144F67"/>
    <w:rsid w:val="00150009"/>
    <w:rsid w:val="001962FE"/>
    <w:rsid w:val="001A44C7"/>
    <w:rsid w:val="001E41E0"/>
    <w:rsid w:val="00240513"/>
    <w:rsid w:val="00265E77"/>
    <w:rsid w:val="002A642A"/>
    <w:rsid w:val="002C4B4B"/>
    <w:rsid w:val="002E55EB"/>
    <w:rsid w:val="00323998"/>
    <w:rsid w:val="003510A6"/>
    <w:rsid w:val="003673FE"/>
    <w:rsid w:val="003D280A"/>
    <w:rsid w:val="00411C3E"/>
    <w:rsid w:val="00436646"/>
    <w:rsid w:val="00437923"/>
    <w:rsid w:val="0044109B"/>
    <w:rsid w:val="004734DA"/>
    <w:rsid w:val="0049027C"/>
    <w:rsid w:val="004A2BCC"/>
    <w:rsid w:val="004C728A"/>
    <w:rsid w:val="004D16B8"/>
    <w:rsid w:val="005A2F00"/>
    <w:rsid w:val="005B5CA1"/>
    <w:rsid w:val="005C6D02"/>
    <w:rsid w:val="005F1B3D"/>
    <w:rsid w:val="00662FB4"/>
    <w:rsid w:val="00675F70"/>
    <w:rsid w:val="006837A5"/>
    <w:rsid w:val="00693ACA"/>
    <w:rsid w:val="00696329"/>
    <w:rsid w:val="006C20A2"/>
    <w:rsid w:val="006C3FB5"/>
    <w:rsid w:val="006E3E06"/>
    <w:rsid w:val="00751292"/>
    <w:rsid w:val="00786C76"/>
    <w:rsid w:val="007C08B0"/>
    <w:rsid w:val="007D75EB"/>
    <w:rsid w:val="0082335C"/>
    <w:rsid w:val="00830A62"/>
    <w:rsid w:val="0083128E"/>
    <w:rsid w:val="008500D6"/>
    <w:rsid w:val="008616C2"/>
    <w:rsid w:val="008678DB"/>
    <w:rsid w:val="00871EDA"/>
    <w:rsid w:val="008A1550"/>
    <w:rsid w:val="008A3FFD"/>
    <w:rsid w:val="009166DD"/>
    <w:rsid w:val="009172A4"/>
    <w:rsid w:val="00922C7C"/>
    <w:rsid w:val="00934825"/>
    <w:rsid w:val="00937577"/>
    <w:rsid w:val="00943966"/>
    <w:rsid w:val="00947A49"/>
    <w:rsid w:val="00960EED"/>
    <w:rsid w:val="00986E45"/>
    <w:rsid w:val="00997BB9"/>
    <w:rsid w:val="009A51AB"/>
    <w:rsid w:val="009B740C"/>
    <w:rsid w:val="009E75D8"/>
    <w:rsid w:val="009F5E36"/>
    <w:rsid w:val="00A01214"/>
    <w:rsid w:val="00A075FF"/>
    <w:rsid w:val="00A103A1"/>
    <w:rsid w:val="00A11CF4"/>
    <w:rsid w:val="00A1289E"/>
    <w:rsid w:val="00A53A80"/>
    <w:rsid w:val="00A54807"/>
    <w:rsid w:val="00A57977"/>
    <w:rsid w:val="00A62395"/>
    <w:rsid w:val="00AC6AFE"/>
    <w:rsid w:val="00AD1FCE"/>
    <w:rsid w:val="00AD72C5"/>
    <w:rsid w:val="00AF5D27"/>
    <w:rsid w:val="00B805AF"/>
    <w:rsid w:val="00BB4DF5"/>
    <w:rsid w:val="00C04D48"/>
    <w:rsid w:val="00C154CC"/>
    <w:rsid w:val="00C41398"/>
    <w:rsid w:val="00C77679"/>
    <w:rsid w:val="00C82CA6"/>
    <w:rsid w:val="00C967B9"/>
    <w:rsid w:val="00CD1C86"/>
    <w:rsid w:val="00CF0B7E"/>
    <w:rsid w:val="00D169CA"/>
    <w:rsid w:val="00D27DCE"/>
    <w:rsid w:val="00D3076E"/>
    <w:rsid w:val="00D36325"/>
    <w:rsid w:val="00D418F8"/>
    <w:rsid w:val="00D4799A"/>
    <w:rsid w:val="00D73285"/>
    <w:rsid w:val="00DB0CD5"/>
    <w:rsid w:val="00DD406B"/>
    <w:rsid w:val="00E40E47"/>
    <w:rsid w:val="00E6201C"/>
    <w:rsid w:val="00E845DB"/>
    <w:rsid w:val="00EA5505"/>
    <w:rsid w:val="00EC2DC7"/>
    <w:rsid w:val="00EE08CF"/>
    <w:rsid w:val="00F423D5"/>
    <w:rsid w:val="00F54270"/>
    <w:rsid w:val="00F95661"/>
    <w:rsid w:val="00FB488C"/>
    <w:rsid w:val="00FF42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0E0D1"/>
  <w15:chartTrackingRefBased/>
  <w15:docId w15:val="{A939DDD1-5554-9E47-A6FD-23109B82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B4B"/>
    <w:pPr>
      <w:spacing w:after="3" w:line="265" w:lineRule="auto"/>
      <w:ind w:left="1" w:right="18" w:hanging="1"/>
      <w:jc w:val="both"/>
    </w:pPr>
    <w:rPr>
      <w:rFonts w:ascii="Calibri" w:eastAsia="Calibri" w:hAnsi="Calibri" w:cs="Calibri"/>
      <w:color w:val="000000"/>
      <w:lang w:eastAsia="en-GB"/>
    </w:rPr>
  </w:style>
  <w:style w:type="paragraph" w:styleId="Heading1">
    <w:name w:val="heading 1"/>
    <w:next w:val="Normal"/>
    <w:link w:val="Heading1Char"/>
    <w:uiPriority w:val="9"/>
    <w:qFormat/>
    <w:rsid w:val="002C4B4B"/>
    <w:pPr>
      <w:keepNext/>
      <w:keepLines/>
      <w:spacing w:after="216" w:line="259" w:lineRule="auto"/>
      <w:ind w:left="37" w:hanging="10"/>
      <w:outlineLvl w:val="0"/>
    </w:pPr>
    <w:rPr>
      <w:rFonts w:ascii="Calibri" w:eastAsia="Calibri" w:hAnsi="Calibri" w:cs="Calibri"/>
      <w:b/>
      <w:color w:val="000000"/>
      <w:sz w:val="3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16B8"/>
    <w:rPr>
      <w:color w:val="0000FF"/>
      <w:u w:val="single"/>
    </w:rPr>
  </w:style>
  <w:style w:type="character" w:customStyle="1" w:styleId="Heading1Char">
    <w:name w:val="Heading 1 Char"/>
    <w:basedOn w:val="DefaultParagraphFont"/>
    <w:link w:val="Heading1"/>
    <w:uiPriority w:val="9"/>
    <w:rsid w:val="002C4B4B"/>
    <w:rPr>
      <w:rFonts w:ascii="Calibri" w:eastAsia="Calibri" w:hAnsi="Calibri" w:cs="Calibri"/>
      <w:b/>
      <w:color w:val="000000"/>
      <w:sz w:val="34"/>
      <w:lang w:eastAsia="en-GB"/>
    </w:rPr>
  </w:style>
  <w:style w:type="paragraph" w:styleId="Bibliography">
    <w:name w:val="Bibliography"/>
    <w:basedOn w:val="Normal"/>
    <w:next w:val="Normal"/>
    <w:uiPriority w:val="37"/>
    <w:unhideWhenUsed/>
    <w:rsid w:val="002C4B4B"/>
    <w:pPr>
      <w:spacing w:after="0" w:line="480" w:lineRule="auto"/>
      <w:ind w:left="720" w:hanging="720"/>
    </w:pPr>
  </w:style>
  <w:style w:type="character" w:styleId="UnresolvedMention">
    <w:name w:val="Unresolved Mention"/>
    <w:basedOn w:val="DefaultParagraphFont"/>
    <w:uiPriority w:val="99"/>
    <w:semiHidden/>
    <w:unhideWhenUsed/>
    <w:rsid w:val="00EE08CF"/>
    <w:rPr>
      <w:color w:val="605E5C"/>
      <w:shd w:val="clear" w:color="auto" w:fill="E1DFDD"/>
    </w:rPr>
  </w:style>
  <w:style w:type="paragraph" w:styleId="Header">
    <w:name w:val="header"/>
    <w:basedOn w:val="Normal"/>
    <w:link w:val="HeaderChar"/>
    <w:uiPriority w:val="99"/>
    <w:unhideWhenUsed/>
    <w:rsid w:val="00DB0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CD5"/>
    <w:rPr>
      <w:rFonts w:ascii="Calibri" w:eastAsia="Calibri" w:hAnsi="Calibri" w:cs="Calibri"/>
      <w:color w:val="000000"/>
      <w:lang w:eastAsia="en-GB"/>
    </w:rPr>
  </w:style>
  <w:style w:type="character" w:styleId="PageNumber">
    <w:name w:val="page number"/>
    <w:basedOn w:val="DefaultParagraphFont"/>
    <w:uiPriority w:val="99"/>
    <w:semiHidden/>
    <w:unhideWhenUsed/>
    <w:rsid w:val="00DB0CD5"/>
  </w:style>
  <w:style w:type="paragraph" w:styleId="ListParagraph">
    <w:name w:val="List Paragraph"/>
    <w:basedOn w:val="Normal"/>
    <w:uiPriority w:val="34"/>
    <w:qFormat/>
    <w:rsid w:val="00751292"/>
    <w:pPr>
      <w:ind w:left="720"/>
      <w:contextualSpacing/>
    </w:pPr>
  </w:style>
  <w:style w:type="table" w:styleId="TableGrid">
    <w:name w:val="Table Grid"/>
    <w:basedOn w:val="TableNormal"/>
    <w:uiPriority w:val="39"/>
    <w:rsid w:val="007D7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3432">
      <w:bodyDiv w:val="1"/>
      <w:marLeft w:val="0"/>
      <w:marRight w:val="0"/>
      <w:marTop w:val="0"/>
      <w:marBottom w:val="0"/>
      <w:divBdr>
        <w:top w:val="none" w:sz="0" w:space="0" w:color="auto"/>
        <w:left w:val="none" w:sz="0" w:space="0" w:color="auto"/>
        <w:bottom w:val="none" w:sz="0" w:space="0" w:color="auto"/>
        <w:right w:val="none" w:sz="0" w:space="0" w:color="auto"/>
      </w:divBdr>
    </w:div>
    <w:div w:id="369035941">
      <w:bodyDiv w:val="1"/>
      <w:marLeft w:val="0"/>
      <w:marRight w:val="0"/>
      <w:marTop w:val="0"/>
      <w:marBottom w:val="0"/>
      <w:divBdr>
        <w:top w:val="none" w:sz="0" w:space="0" w:color="auto"/>
        <w:left w:val="none" w:sz="0" w:space="0" w:color="auto"/>
        <w:bottom w:val="none" w:sz="0" w:space="0" w:color="auto"/>
        <w:right w:val="none" w:sz="0" w:space="0" w:color="auto"/>
      </w:divBdr>
    </w:div>
    <w:div w:id="469329544">
      <w:bodyDiv w:val="1"/>
      <w:marLeft w:val="0"/>
      <w:marRight w:val="0"/>
      <w:marTop w:val="0"/>
      <w:marBottom w:val="0"/>
      <w:divBdr>
        <w:top w:val="none" w:sz="0" w:space="0" w:color="auto"/>
        <w:left w:val="none" w:sz="0" w:space="0" w:color="auto"/>
        <w:bottom w:val="none" w:sz="0" w:space="0" w:color="auto"/>
        <w:right w:val="none" w:sz="0" w:space="0" w:color="auto"/>
      </w:divBdr>
    </w:div>
    <w:div w:id="670134378">
      <w:bodyDiv w:val="1"/>
      <w:marLeft w:val="0"/>
      <w:marRight w:val="0"/>
      <w:marTop w:val="0"/>
      <w:marBottom w:val="0"/>
      <w:divBdr>
        <w:top w:val="none" w:sz="0" w:space="0" w:color="auto"/>
        <w:left w:val="none" w:sz="0" w:space="0" w:color="auto"/>
        <w:bottom w:val="none" w:sz="0" w:space="0" w:color="auto"/>
        <w:right w:val="none" w:sz="0" w:space="0" w:color="auto"/>
      </w:divBdr>
    </w:div>
    <w:div w:id="863709732">
      <w:bodyDiv w:val="1"/>
      <w:marLeft w:val="0"/>
      <w:marRight w:val="0"/>
      <w:marTop w:val="0"/>
      <w:marBottom w:val="0"/>
      <w:divBdr>
        <w:top w:val="none" w:sz="0" w:space="0" w:color="auto"/>
        <w:left w:val="none" w:sz="0" w:space="0" w:color="auto"/>
        <w:bottom w:val="none" w:sz="0" w:space="0" w:color="auto"/>
        <w:right w:val="none" w:sz="0" w:space="0" w:color="auto"/>
      </w:divBdr>
    </w:div>
    <w:div w:id="928736076">
      <w:bodyDiv w:val="1"/>
      <w:marLeft w:val="0"/>
      <w:marRight w:val="0"/>
      <w:marTop w:val="0"/>
      <w:marBottom w:val="0"/>
      <w:divBdr>
        <w:top w:val="none" w:sz="0" w:space="0" w:color="auto"/>
        <w:left w:val="none" w:sz="0" w:space="0" w:color="auto"/>
        <w:bottom w:val="none" w:sz="0" w:space="0" w:color="auto"/>
        <w:right w:val="none" w:sz="0" w:space="0" w:color="auto"/>
      </w:divBdr>
    </w:div>
    <w:div w:id="1013070614">
      <w:bodyDiv w:val="1"/>
      <w:marLeft w:val="0"/>
      <w:marRight w:val="0"/>
      <w:marTop w:val="0"/>
      <w:marBottom w:val="0"/>
      <w:divBdr>
        <w:top w:val="none" w:sz="0" w:space="0" w:color="auto"/>
        <w:left w:val="none" w:sz="0" w:space="0" w:color="auto"/>
        <w:bottom w:val="none" w:sz="0" w:space="0" w:color="auto"/>
        <w:right w:val="none" w:sz="0" w:space="0" w:color="auto"/>
      </w:divBdr>
    </w:div>
    <w:div w:id="1075517182">
      <w:bodyDiv w:val="1"/>
      <w:marLeft w:val="0"/>
      <w:marRight w:val="0"/>
      <w:marTop w:val="0"/>
      <w:marBottom w:val="0"/>
      <w:divBdr>
        <w:top w:val="none" w:sz="0" w:space="0" w:color="auto"/>
        <w:left w:val="none" w:sz="0" w:space="0" w:color="auto"/>
        <w:bottom w:val="none" w:sz="0" w:space="0" w:color="auto"/>
        <w:right w:val="none" w:sz="0" w:space="0" w:color="auto"/>
      </w:divBdr>
    </w:div>
    <w:div w:id="1267738379">
      <w:bodyDiv w:val="1"/>
      <w:marLeft w:val="0"/>
      <w:marRight w:val="0"/>
      <w:marTop w:val="0"/>
      <w:marBottom w:val="0"/>
      <w:divBdr>
        <w:top w:val="none" w:sz="0" w:space="0" w:color="auto"/>
        <w:left w:val="none" w:sz="0" w:space="0" w:color="auto"/>
        <w:bottom w:val="none" w:sz="0" w:space="0" w:color="auto"/>
        <w:right w:val="none" w:sz="0" w:space="0" w:color="auto"/>
      </w:divBdr>
      <w:divsChild>
        <w:div w:id="347097752">
          <w:marLeft w:val="480"/>
          <w:marRight w:val="0"/>
          <w:marTop w:val="0"/>
          <w:marBottom w:val="0"/>
          <w:divBdr>
            <w:top w:val="none" w:sz="0" w:space="0" w:color="auto"/>
            <w:left w:val="none" w:sz="0" w:space="0" w:color="auto"/>
            <w:bottom w:val="none" w:sz="0" w:space="0" w:color="auto"/>
            <w:right w:val="none" w:sz="0" w:space="0" w:color="auto"/>
          </w:divBdr>
          <w:divsChild>
            <w:div w:id="1198196453">
              <w:marLeft w:val="0"/>
              <w:marRight w:val="0"/>
              <w:marTop w:val="0"/>
              <w:marBottom w:val="0"/>
              <w:divBdr>
                <w:top w:val="none" w:sz="0" w:space="0" w:color="auto"/>
                <w:left w:val="none" w:sz="0" w:space="0" w:color="auto"/>
                <w:bottom w:val="none" w:sz="0" w:space="0" w:color="auto"/>
                <w:right w:val="none" w:sz="0" w:space="0" w:color="auto"/>
              </w:divBdr>
            </w:div>
            <w:div w:id="5908142">
              <w:marLeft w:val="0"/>
              <w:marRight w:val="0"/>
              <w:marTop w:val="0"/>
              <w:marBottom w:val="0"/>
              <w:divBdr>
                <w:top w:val="none" w:sz="0" w:space="0" w:color="auto"/>
                <w:left w:val="none" w:sz="0" w:space="0" w:color="auto"/>
                <w:bottom w:val="none" w:sz="0" w:space="0" w:color="auto"/>
                <w:right w:val="none" w:sz="0" w:space="0" w:color="auto"/>
              </w:divBdr>
            </w:div>
            <w:div w:id="1658652942">
              <w:marLeft w:val="0"/>
              <w:marRight w:val="0"/>
              <w:marTop w:val="0"/>
              <w:marBottom w:val="0"/>
              <w:divBdr>
                <w:top w:val="none" w:sz="0" w:space="0" w:color="auto"/>
                <w:left w:val="none" w:sz="0" w:space="0" w:color="auto"/>
                <w:bottom w:val="none" w:sz="0" w:space="0" w:color="auto"/>
                <w:right w:val="none" w:sz="0" w:space="0" w:color="auto"/>
              </w:divBdr>
            </w:div>
            <w:div w:id="19831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0AB1B782-FEA7-3D46-82EA-51904E3E6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5</Pages>
  <Words>3860</Words>
  <Characters>22003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ALFORD</dc:creator>
  <cp:keywords/>
  <dc:description/>
  <cp:lastModifiedBy>MICHAEL ALFORD</cp:lastModifiedBy>
  <cp:revision>77</cp:revision>
  <cp:lastPrinted>2023-05-13T05:05:00Z</cp:lastPrinted>
  <dcterms:created xsi:type="dcterms:W3CDTF">2023-05-13T04:29:00Z</dcterms:created>
  <dcterms:modified xsi:type="dcterms:W3CDTF">2023-05-20T04:27:00Z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id="g24UBi9P"/&gt;&lt;style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