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B0C9" w14:textId="4C4F2F61" w:rsidR="00D031C4" w:rsidRPr="00604E2B" w:rsidRDefault="000A51F7" w:rsidP="00054480">
      <w:pPr>
        <w:spacing w:after="0" w:line="480" w:lineRule="auto"/>
        <w:ind w:left="10" w:right="19" w:hanging="10"/>
        <w:jc w:val="center"/>
        <w:rPr>
          <w:rFonts w:ascii="Times New Roman" w:hAnsi="Times New Roman" w:cs="Times New Roman"/>
        </w:rPr>
      </w:pPr>
      <w:r>
        <w:rPr>
          <w:rFonts w:ascii="Times New Roman" w:hAnsi="Times New Roman" w:cs="Times New Roman"/>
          <w:b/>
        </w:rPr>
        <w:t>HSH105</w:t>
      </w:r>
      <w:r w:rsidR="00DF1FE6" w:rsidRPr="00604E2B">
        <w:rPr>
          <w:rFonts w:ascii="Times New Roman" w:hAnsi="Times New Roman" w:cs="Times New Roman"/>
          <w:b/>
        </w:rPr>
        <w:t xml:space="preserve"> Assessment Task </w:t>
      </w:r>
      <w:r w:rsidR="00C52F56">
        <w:rPr>
          <w:rFonts w:ascii="Times New Roman" w:hAnsi="Times New Roman" w:cs="Times New Roman"/>
          <w:b/>
        </w:rPr>
        <w:t>3</w:t>
      </w:r>
      <w:r w:rsidR="00DF1FE6" w:rsidRPr="00604E2B">
        <w:rPr>
          <w:rFonts w:ascii="Times New Roman" w:hAnsi="Times New Roman" w:cs="Times New Roman"/>
          <w:b/>
        </w:rPr>
        <w:t xml:space="preserve">: </w:t>
      </w:r>
      <w:r w:rsidR="00C52F56">
        <w:rPr>
          <w:rFonts w:ascii="Times New Roman" w:hAnsi="Times New Roman" w:cs="Times New Roman"/>
          <w:b/>
        </w:rPr>
        <w:t>Written Assessment</w:t>
      </w:r>
    </w:p>
    <w:p w14:paraId="1336DD3F" w14:textId="77777777" w:rsidR="00D031C4" w:rsidRPr="00604E2B" w:rsidRDefault="00DF1FE6" w:rsidP="00054480">
      <w:pPr>
        <w:spacing w:after="0" w:line="480" w:lineRule="auto"/>
        <w:ind w:left="10" w:hanging="10"/>
        <w:jc w:val="center"/>
        <w:rPr>
          <w:rFonts w:ascii="Times New Roman" w:hAnsi="Times New Roman" w:cs="Times New Roman"/>
        </w:rPr>
      </w:pPr>
      <w:r w:rsidRPr="00604E2B">
        <w:rPr>
          <w:rFonts w:ascii="Times New Roman" w:hAnsi="Times New Roman" w:cs="Times New Roman"/>
        </w:rPr>
        <w:t>Student Name: Michael Alford</w:t>
      </w:r>
    </w:p>
    <w:p w14:paraId="562B6D54" w14:textId="77777777" w:rsidR="00E973C3" w:rsidRPr="00604E2B" w:rsidRDefault="00DF1FE6" w:rsidP="00054480">
      <w:pPr>
        <w:spacing w:after="0" w:line="480" w:lineRule="auto"/>
        <w:ind w:left="697" w:right="516" w:hanging="204"/>
        <w:jc w:val="center"/>
        <w:rPr>
          <w:rFonts w:ascii="Times New Roman" w:hAnsi="Times New Roman" w:cs="Times New Roman"/>
        </w:rPr>
      </w:pPr>
      <w:r w:rsidRPr="00604E2B">
        <w:rPr>
          <w:rFonts w:ascii="Times New Roman" w:hAnsi="Times New Roman" w:cs="Times New Roman"/>
        </w:rPr>
        <w:t>Unit Submitted for: HSH105 - Understanding Families and Health Student ID: 221147552</w:t>
      </w:r>
    </w:p>
    <w:p w14:paraId="3AD285A4" w14:textId="6B3C38A6" w:rsidR="00D031C4" w:rsidRPr="00604E2B" w:rsidRDefault="00DF1FE6" w:rsidP="00054480">
      <w:pPr>
        <w:spacing w:after="0" w:line="480" w:lineRule="auto"/>
        <w:ind w:left="697" w:right="516" w:hanging="204"/>
        <w:jc w:val="center"/>
        <w:rPr>
          <w:rFonts w:ascii="Times New Roman" w:hAnsi="Times New Roman" w:cs="Times New Roman"/>
        </w:rPr>
      </w:pPr>
      <w:r w:rsidRPr="00604E2B">
        <w:rPr>
          <w:rFonts w:ascii="Times New Roman" w:hAnsi="Times New Roman" w:cs="Times New Roman"/>
        </w:rPr>
        <w:t>Final Word Count:</w:t>
      </w:r>
      <w:r w:rsidR="006C47C5" w:rsidRPr="00604E2B">
        <w:rPr>
          <w:rFonts w:ascii="Times New Roman" w:hAnsi="Times New Roman" w:cs="Times New Roman"/>
        </w:rPr>
        <w:t xml:space="preserve"> </w:t>
      </w:r>
      <w:r w:rsidR="000A51F7">
        <w:rPr>
          <w:rFonts w:ascii="Times New Roman" w:hAnsi="Times New Roman" w:cs="Times New Roman"/>
        </w:rPr>
        <w:t>XXX</w:t>
      </w:r>
    </w:p>
    <w:p w14:paraId="6F105CF7" w14:textId="77777777" w:rsidR="00822361" w:rsidRPr="00604E2B" w:rsidRDefault="00822361">
      <w:pPr>
        <w:spacing w:after="112"/>
        <w:ind w:left="10" w:right="19" w:hanging="10"/>
        <w:jc w:val="center"/>
        <w:rPr>
          <w:rFonts w:ascii="Times New Roman" w:hAnsi="Times New Roman" w:cs="Times New Roman"/>
          <w:b/>
        </w:rPr>
      </w:pPr>
    </w:p>
    <w:p w14:paraId="73784C45" w14:textId="77777777" w:rsidR="00822361" w:rsidRPr="00604E2B" w:rsidRDefault="00822361">
      <w:pPr>
        <w:spacing w:after="112"/>
        <w:ind w:left="10" w:right="19" w:hanging="10"/>
        <w:jc w:val="center"/>
        <w:rPr>
          <w:rFonts w:ascii="Times New Roman" w:hAnsi="Times New Roman" w:cs="Times New Roman"/>
          <w:b/>
        </w:rPr>
      </w:pPr>
    </w:p>
    <w:p w14:paraId="17254E94" w14:textId="77777777" w:rsidR="00822361" w:rsidRPr="00604E2B" w:rsidRDefault="00822361">
      <w:pPr>
        <w:spacing w:after="112"/>
        <w:ind w:left="10" w:right="19" w:hanging="10"/>
        <w:jc w:val="center"/>
        <w:rPr>
          <w:rFonts w:ascii="Times New Roman" w:hAnsi="Times New Roman" w:cs="Times New Roman"/>
          <w:b/>
        </w:rPr>
      </w:pPr>
    </w:p>
    <w:p w14:paraId="0D27B5C7" w14:textId="77777777" w:rsidR="00822361" w:rsidRPr="00604E2B" w:rsidRDefault="00822361">
      <w:pPr>
        <w:spacing w:after="112"/>
        <w:ind w:left="10" w:right="19" w:hanging="10"/>
        <w:jc w:val="center"/>
        <w:rPr>
          <w:rFonts w:ascii="Times New Roman" w:hAnsi="Times New Roman" w:cs="Times New Roman"/>
          <w:b/>
        </w:rPr>
      </w:pPr>
    </w:p>
    <w:p w14:paraId="4E632D4A"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225E439B"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6218488E"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31D849D0"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4A40C695"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080CF224"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0FBCABE4"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395DB08E" w14:textId="71D9FE43" w:rsidR="00D031C4" w:rsidRPr="00604E2B" w:rsidRDefault="00DF1FE6" w:rsidP="00054480">
      <w:pPr>
        <w:spacing w:after="112" w:line="240" w:lineRule="auto"/>
        <w:ind w:left="0" w:right="19" w:firstLine="0"/>
        <w:jc w:val="center"/>
        <w:rPr>
          <w:rFonts w:ascii="Times New Roman" w:hAnsi="Times New Roman" w:cs="Times New Roman"/>
        </w:rPr>
      </w:pPr>
      <w:r w:rsidRPr="00604E2B">
        <w:rPr>
          <w:rFonts w:ascii="Times New Roman" w:hAnsi="Times New Roman" w:cs="Times New Roman"/>
          <w:b/>
        </w:rPr>
        <w:t>Author Declaration</w:t>
      </w:r>
    </w:p>
    <w:p w14:paraId="0DF6881E" w14:textId="52006721" w:rsidR="00D031C4" w:rsidRPr="00604E2B" w:rsidRDefault="00DF1FE6" w:rsidP="001F5C18">
      <w:pPr>
        <w:spacing w:line="240" w:lineRule="auto"/>
        <w:ind w:left="10" w:right="0" w:hanging="10"/>
        <w:jc w:val="center"/>
        <w:rPr>
          <w:rFonts w:ascii="Times New Roman" w:hAnsi="Times New Roman" w:cs="Times New Roman"/>
        </w:rPr>
      </w:pPr>
      <w:r w:rsidRPr="00604E2B">
        <w:rPr>
          <w:rFonts w:ascii="Times New Roman" w:hAnsi="Times New Roman" w:cs="Times New Roman"/>
        </w:rPr>
        <w:t>I, Michael Alford, declare that I am the sole author of the following work submitted as part of the assessment in HPS203/773. Particularly, I have not colluded with other students in the completion of this work; I have not</w:t>
      </w:r>
      <w:r w:rsidR="009E39BB" w:rsidRPr="00604E2B">
        <w:rPr>
          <w:rFonts w:ascii="Times New Roman" w:hAnsi="Times New Roman" w:cs="Times New Roman"/>
        </w:rPr>
        <w:t xml:space="preserve"> </w:t>
      </w:r>
      <w:r w:rsidRPr="00604E2B">
        <w:rPr>
          <w:rFonts w:ascii="Times New Roman" w:hAnsi="Times New Roman" w:cs="Times New Roman"/>
        </w:rPr>
        <w:t>duplicated work of my peers or from sources such as books, journal articles,</w:t>
      </w:r>
    </w:p>
    <w:p w14:paraId="45D0962E" w14:textId="77777777" w:rsidR="00D031C4" w:rsidRPr="00604E2B" w:rsidRDefault="00DF1FE6" w:rsidP="001F5C18">
      <w:pPr>
        <w:spacing w:line="240" w:lineRule="auto"/>
        <w:ind w:left="13" w:right="0"/>
        <w:jc w:val="center"/>
        <w:rPr>
          <w:rFonts w:ascii="Times New Roman" w:hAnsi="Times New Roman" w:cs="Times New Roman"/>
        </w:rPr>
      </w:pPr>
      <w:r w:rsidRPr="00604E2B">
        <w:rPr>
          <w:rFonts w:ascii="Times New Roman" w:hAnsi="Times New Roman" w:cs="Times New Roman"/>
        </w:rPr>
        <w:t>or websites without adaptation and due citation; and I have not contracted a</w:t>
      </w:r>
    </w:p>
    <w:p w14:paraId="66BFA009" w14:textId="6131C97D" w:rsidR="00E973C3" w:rsidRPr="00604E2B" w:rsidRDefault="00DF1FE6" w:rsidP="00CA0DB9">
      <w:pPr>
        <w:spacing w:line="240" w:lineRule="auto"/>
        <w:ind w:left="10" w:right="0" w:hanging="10"/>
        <w:jc w:val="center"/>
        <w:rPr>
          <w:rFonts w:ascii="Times New Roman" w:hAnsi="Times New Roman" w:cs="Times New Roman"/>
        </w:rPr>
      </w:pPr>
      <w:r w:rsidRPr="00604E2B">
        <w:rPr>
          <w:rFonts w:ascii="Times New Roman" w:hAnsi="Times New Roman" w:cs="Times New Roman"/>
        </w:rPr>
        <w:t>third-party to complete any component of this assessment on my behalf. I acknowledge that any of these activities would constitute Academic</w:t>
      </w:r>
      <w:r w:rsidR="009E39BB" w:rsidRPr="00604E2B">
        <w:rPr>
          <w:rFonts w:ascii="Times New Roman" w:hAnsi="Times New Roman" w:cs="Times New Roman"/>
        </w:rPr>
        <w:t xml:space="preserve"> </w:t>
      </w:r>
      <w:r w:rsidRPr="00604E2B">
        <w:rPr>
          <w:rFonts w:ascii="Times New Roman" w:hAnsi="Times New Roman" w:cs="Times New Roman"/>
        </w:rPr>
        <w:t>Misconduct as defined by Regulation 4.1(2) of Deakin University and may consequently attract penalties as defined in Schedule A: Penalties for Student Academic Misconduct.</w:t>
      </w:r>
    </w:p>
    <w:p w14:paraId="3CB4D367" w14:textId="13E72D0A" w:rsidR="00C52F56" w:rsidRDefault="00C52F56">
      <w:pPr>
        <w:spacing w:after="0" w:line="240" w:lineRule="auto"/>
        <w:ind w:left="0" w:right="0" w:firstLine="0"/>
        <w:jc w:val="left"/>
        <w:rPr>
          <w:rFonts w:ascii="Times New Roman" w:hAnsi="Times New Roman" w:cs="Times New Roman"/>
        </w:rPr>
      </w:pPr>
      <w:r>
        <w:rPr>
          <w:rFonts w:ascii="Times New Roman" w:hAnsi="Times New Roman" w:cs="Times New Roman"/>
        </w:rPr>
        <w:br w:type="page"/>
      </w:r>
    </w:p>
    <w:p w14:paraId="04B71CC5" w14:textId="7BEE7CF7" w:rsidR="00C52F56" w:rsidRPr="00C979F3" w:rsidRDefault="00C52F56" w:rsidP="00C979F3">
      <w:pPr>
        <w:spacing w:after="0" w:line="480" w:lineRule="auto"/>
        <w:ind w:left="0" w:right="0" w:firstLine="0"/>
        <w:jc w:val="center"/>
        <w:rPr>
          <w:rFonts w:ascii="Times New Roman" w:eastAsia="Times New Roman" w:hAnsi="Times New Roman" w:cs="Times New Roman"/>
          <w:color w:val="auto"/>
        </w:rPr>
      </w:pPr>
      <w:r w:rsidRPr="00C979F3">
        <w:rPr>
          <w:rStyle w:val="Strong"/>
          <w:rFonts w:ascii="Times New Roman" w:hAnsi="Times New Roman" w:cs="Times New Roman"/>
          <w:color w:val="auto"/>
        </w:rPr>
        <w:lastRenderedPageBreak/>
        <w:t>Introduction</w:t>
      </w:r>
    </w:p>
    <w:p w14:paraId="2EE8A9F4" w14:textId="69A1EF39" w:rsidR="004D0B2F" w:rsidRDefault="00C52F56" w:rsidP="00E2737A">
      <w:pPr>
        <w:pStyle w:val="NormalWeb"/>
        <w:spacing w:before="0" w:beforeAutospacing="0" w:after="0" w:afterAutospacing="0"/>
        <w:rPr>
          <w:i/>
          <w:iCs/>
          <w:color w:val="363635"/>
        </w:rPr>
      </w:pPr>
      <w:r w:rsidRPr="00ED2839">
        <w:rPr>
          <w:i/>
          <w:iCs/>
          <w:color w:val="363635"/>
          <w:highlight w:val="yellow"/>
        </w:rPr>
        <w:t>You need to include an introduction (approximately 100 words) that includes a brief statement to set the context and identifies what your assessment will cover in terms of the overview of the challenge/issue, the health impacts, the influence of other settings families engage with and recommendations. This acts to 'signpost' to your reader what content will follow in your response.</w:t>
      </w:r>
    </w:p>
    <w:p w14:paraId="6DEC40CE" w14:textId="77777777" w:rsidR="00E2737A" w:rsidRDefault="00E2737A" w:rsidP="00E2737A">
      <w:pPr>
        <w:pStyle w:val="NormalWeb"/>
        <w:spacing w:before="0" w:beforeAutospacing="0" w:after="0" w:afterAutospacing="0"/>
        <w:rPr>
          <w:i/>
          <w:iCs/>
          <w:color w:val="363635"/>
        </w:rPr>
      </w:pPr>
    </w:p>
    <w:p w14:paraId="13913140" w14:textId="19B932F5" w:rsidR="00ED2839" w:rsidRPr="00C979F3" w:rsidRDefault="00C979F3" w:rsidP="00C979F3">
      <w:pPr>
        <w:pStyle w:val="NormalWeb"/>
        <w:spacing w:before="0" w:beforeAutospacing="0" w:after="0" w:afterAutospacing="0"/>
        <w:jc w:val="center"/>
        <w:rPr>
          <w:b/>
          <w:bCs/>
          <w:color w:val="363635"/>
        </w:rPr>
      </w:pPr>
      <w:r w:rsidRPr="00C979F3">
        <w:rPr>
          <w:b/>
          <w:bCs/>
          <w:color w:val="363635"/>
        </w:rPr>
        <w:t>Overview of the challenge / Issue</w:t>
      </w:r>
    </w:p>
    <w:p w14:paraId="557105DC" w14:textId="00B4572C" w:rsidR="00C104E5" w:rsidRDefault="004D0B2F" w:rsidP="00C979F3">
      <w:pPr>
        <w:pStyle w:val="NormalWeb"/>
        <w:spacing w:line="480" w:lineRule="auto"/>
        <w:ind w:firstLine="709"/>
        <w:rPr>
          <w:color w:val="363635"/>
        </w:rPr>
      </w:pPr>
      <w:r w:rsidRPr="00640C84">
        <w:rPr>
          <w:color w:val="363635"/>
        </w:rPr>
        <w:t>Across the population in Australia</w:t>
      </w:r>
      <w:r w:rsidR="00313118" w:rsidRPr="00640C84">
        <w:rPr>
          <w:color w:val="363635"/>
        </w:rPr>
        <w:t>,</w:t>
      </w:r>
      <w:r w:rsidRPr="00640C84">
        <w:rPr>
          <w:color w:val="363635"/>
        </w:rPr>
        <w:t xml:space="preserve"> it was found that 1% of all Australians had participated in problem gambling in 2018</w:t>
      </w:r>
      <w:r w:rsidR="00313118" w:rsidRPr="00640C84">
        <w:rPr>
          <w:color w:val="363635"/>
        </w:rPr>
        <w:t xml:space="preserve"> </w:t>
      </w:r>
      <w:r w:rsidR="00313118" w:rsidRPr="00640C84">
        <w:rPr>
          <w:color w:val="363635"/>
        </w:rPr>
        <w:fldChar w:fldCharType="begin"/>
      </w:r>
      <w:r w:rsidR="00313118" w:rsidRPr="00640C84">
        <w:rPr>
          <w:color w:val="363635"/>
        </w:rPr>
        <w:instrText xml:space="preserve"> ADDIN ZOTERO_ITEM CSL_CITATION {"citationID":"bZ7PSuSW","properties":{"formattedCitation":"(Australian Institute of Health and Welfare, 2021)","plainCitation":"(Australian Institute of Health and Welfare, 2021)","noteIndex":0},"citationItems":[{"id":3394,"uris":["http://zotero.org/users/7783071/items/YV7BD8LW"],"itemData":{"id":3394,"type":"webpage","abstract":"Gambling in Australia page on the Australian Institute of Health and Welfare website","container-title":"Australian Institute of Health and Welfare","language":"en-AU","title":"Gambling in Australia","URL":"https://www.aihw.gov.au/reports/australias-welfare/gambling#harms","author":[{"literal":"Australian Institute of Health and Welfare"}],"accessed":{"date-parts":[["2023",5,31]]},"issued":{"date-parts":[["2021"]]}}}],"schema":"https://github.com/citation-style-language/schema/raw/master/csl-citation.json"} </w:instrText>
      </w:r>
      <w:r w:rsidR="00313118" w:rsidRPr="00640C84">
        <w:rPr>
          <w:color w:val="363635"/>
        </w:rPr>
        <w:fldChar w:fldCharType="separate"/>
      </w:r>
      <w:r w:rsidR="00313118" w:rsidRPr="00640C84">
        <w:rPr>
          <w:noProof/>
          <w:color w:val="363635"/>
        </w:rPr>
        <w:t>(Australian Institute of Health and Welfare, 2021)</w:t>
      </w:r>
      <w:r w:rsidR="00313118" w:rsidRPr="00640C84">
        <w:rPr>
          <w:color w:val="363635"/>
        </w:rPr>
        <w:fldChar w:fldCharType="end"/>
      </w:r>
      <w:r w:rsidRPr="00640C84">
        <w:rPr>
          <w:color w:val="363635"/>
        </w:rPr>
        <w:t xml:space="preserve">. </w:t>
      </w:r>
      <w:r w:rsidR="00555C0A" w:rsidRPr="00640C84">
        <w:rPr>
          <w:color w:val="363635"/>
        </w:rPr>
        <w:t>Th</w:t>
      </w:r>
      <w:r w:rsidR="007A7CD1">
        <w:rPr>
          <w:color w:val="363635"/>
        </w:rPr>
        <w:t>is</w:t>
      </w:r>
      <w:r w:rsidR="00555C0A" w:rsidRPr="00640C84">
        <w:rPr>
          <w:color w:val="363635"/>
        </w:rPr>
        <w:t xml:space="preserve"> assessment of gambling data was measured by the Australian Institute of He</w:t>
      </w:r>
      <w:r w:rsidR="00CB1679" w:rsidRPr="00640C84">
        <w:rPr>
          <w:color w:val="363635"/>
        </w:rPr>
        <w:softHyphen/>
      </w:r>
      <w:r w:rsidR="00CB1679" w:rsidRPr="00640C84">
        <w:rPr>
          <w:color w:val="363635"/>
        </w:rPr>
        <w:softHyphen/>
      </w:r>
      <w:r w:rsidR="00555C0A" w:rsidRPr="00640C84">
        <w:rPr>
          <w:color w:val="363635"/>
        </w:rPr>
        <w:t xml:space="preserve">alth and Welfare using the Problem Gambling Severity Index (PGSI). Participants scoring between 8 – 27 in this test were identified as problem gamblers. </w:t>
      </w:r>
      <w:r w:rsidR="00F50009" w:rsidRPr="00640C84">
        <w:rPr>
          <w:color w:val="363635"/>
        </w:rPr>
        <w:t xml:space="preserve">The </w:t>
      </w:r>
      <w:r w:rsidR="00313118" w:rsidRPr="00640C84">
        <w:rPr>
          <w:color w:val="363635"/>
        </w:rPr>
        <w:t xml:space="preserve">social </w:t>
      </w:r>
      <w:r w:rsidR="00F50009" w:rsidRPr="00640C84">
        <w:rPr>
          <w:color w:val="363635"/>
        </w:rPr>
        <w:t xml:space="preserve">costs of gambling addiction </w:t>
      </w:r>
      <w:r w:rsidR="00965462" w:rsidRPr="00640C84">
        <w:rPr>
          <w:color w:val="363635"/>
        </w:rPr>
        <w:t>can be</w:t>
      </w:r>
      <w:r w:rsidR="00F50009" w:rsidRPr="00640C84">
        <w:rPr>
          <w:color w:val="363635"/>
        </w:rPr>
        <w:t xml:space="preserve"> high when it comes to individuals, but they do not affect only the individua</w:t>
      </w:r>
      <w:r w:rsidR="00921E2D" w:rsidRPr="00640C84">
        <w:rPr>
          <w:color w:val="363635"/>
        </w:rPr>
        <w:t>l</w:t>
      </w:r>
      <w:r w:rsidR="006E3203" w:rsidRPr="00640C84">
        <w:rPr>
          <w:color w:val="363635"/>
        </w:rPr>
        <w:t xml:space="preserve">. </w:t>
      </w:r>
      <w:r w:rsidR="00C51617" w:rsidRPr="00640C84">
        <w:rPr>
          <w:color w:val="363635"/>
        </w:rPr>
        <w:t xml:space="preserve">It has been found that a person with a severe gambling addiction can negatively impact up to 6 others in their immediate and extended family. </w:t>
      </w:r>
      <w:r w:rsidR="00C104E5" w:rsidRPr="00640C84">
        <w:rPr>
          <w:color w:val="363635"/>
        </w:rPr>
        <w:t xml:space="preserve">While problem </w:t>
      </w:r>
      <w:r w:rsidR="00C51617" w:rsidRPr="00640C84">
        <w:rPr>
          <w:color w:val="363635"/>
        </w:rPr>
        <w:t xml:space="preserve">gambling </w:t>
      </w:r>
      <w:r w:rsidR="00C104E5" w:rsidRPr="00640C84">
        <w:rPr>
          <w:color w:val="363635"/>
        </w:rPr>
        <w:t>can have a range of negative social impacts on both the individual and families, the most significant of these harms impact</w:t>
      </w:r>
      <w:r w:rsidR="008F59B9" w:rsidRPr="00640C84">
        <w:rPr>
          <w:color w:val="363635"/>
        </w:rPr>
        <w:t>s</w:t>
      </w:r>
      <w:r w:rsidR="00C104E5" w:rsidRPr="00640C84">
        <w:rPr>
          <w:color w:val="363635"/>
        </w:rPr>
        <w:t xml:space="preserve"> relationships (24.9%), physical health (20.6%), and emotional or psychological health (18.6%).</w:t>
      </w:r>
    </w:p>
    <w:p w14:paraId="3AEBDE27" w14:textId="684F5646" w:rsidR="00ED2839" w:rsidRPr="00C979F3" w:rsidRDefault="00C979F3" w:rsidP="00C979F3">
      <w:pPr>
        <w:pStyle w:val="NormalWeb"/>
        <w:jc w:val="center"/>
        <w:rPr>
          <w:b/>
          <w:bCs/>
          <w:color w:val="363635"/>
        </w:rPr>
      </w:pPr>
      <w:r w:rsidRPr="00C979F3">
        <w:rPr>
          <w:b/>
          <w:bCs/>
          <w:color w:val="363635"/>
        </w:rPr>
        <w:t>Health Impacts of Gambling</w:t>
      </w:r>
    </w:p>
    <w:p w14:paraId="7BBCDB80" w14:textId="77777777" w:rsidR="00A602B1" w:rsidRDefault="00700561" w:rsidP="00C979F3">
      <w:pPr>
        <w:pStyle w:val="NormalWeb"/>
        <w:spacing w:line="480" w:lineRule="auto"/>
        <w:ind w:firstLine="709"/>
        <w:rPr>
          <w:color w:val="363635"/>
        </w:rPr>
      </w:pPr>
      <w:r w:rsidRPr="00700561">
        <w:rPr>
          <w:color w:val="363635"/>
        </w:rPr>
        <w:lastRenderedPageBreak/>
        <w:t xml:space="preserve">There are many documented health impacts of problem gambling and gambling addiction </w:t>
      </w:r>
      <w:r>
        <w:rPr>
          <w:color w:val="363635"/>
        </w:rPr>
        <w:fldChar w:fldCharType="begin"/>
      </w:r>
      <w:r w:rsidR="00497803">
        <w:rPr>
          <w:color w:val="363635"/>
        </w:rPr>
        <w:instrText xml:space="preserve"> ADDIN ZOTERO_ITEM CSL_CITATION {"citationID":"63t5L5a4","properties":{"formattedCitation":"(Victorian Responsible Gambling Foundation, 2019)","plainCitation":"(Victorian Responsible Gambling Foundation, 2019)","noteIndex":0},"citationItems":[{"id":3391,"uris":["http://zotero.org/users/7783071/items/BHQWIRZV"],"itemData":{"id":3391,"type":"webpage","container-title":"Victorian Responsible Gambling Foundation","genre":"Text","language":"en-AU","note":"Last Modified: 2019-12-17\npublisher: Victorian Responsible Gambling Foundation","title":"Types of harm from gambling","URL":"https://responsiblegambling.vic.gov.au/resources/gambling-victoria/gambling-harm-victoria/types-harm-gambling/","author":[{"literal":"Victorian Responsible Gambling Foundation"}],"accessed":{"date-parts":[["2023",5,30]]},"issued":{"date-parts":[["2019",12,17]]}}}],"schema":"https://github.com/citation-style-language/schema/raw/master/csl-citation.json"} </w:instrText>
      </w:r>
      <w:r>
        <w:rPr>
          <w:color w:val="363635"/>
        </w:rPr>
        <w:fldChar w:fldCharType="separate"/>
      </w:r>
      <w:r w:rsidR="00497803">
        <w:rPr>
          <w:color w:val="363635"/>
        </w:rPr>
        <w:t>(Victorian Responsible Gambling Foundation, 2019)</w:t>
      </w:r>
      <w:r>
        <w:rPr>
          <w:color w:val="363635"/>
        </w:rPr>
        <w:fldChar w:fldCharType="end"/>
      </w:r>
      <w:r>
        <w:rPr>
          <w:color w:val="363635"/>
        </w:rPr>
        <w:t xml:space="preserve">, however, some significant examples include </w:t>
      </w:r>
      <w:r w:rsidR="00FF5D43">
        <w:rPr>
          <w:color w:val="363635"/>
        </w:rPr>
        <w:t>relationship difficulties</w:t>
      </w:r>
      <w:r>
        <w:rPr>
          <w:color w:val="363635"/>
        </w:rPr>
        <w:t xml:space="preserve">, </w:t>
      </w:r>
      <w:r w:rsidR="00FF5D43">
        <w:rPr>
          <w:color w:val="363635"/>
        </w:rPr>
        <w:t>p</w:t>
      </w:r>
      <w:r>
        <w:rPr>
          <w:color w:val="363635"/>
        </w:rPr>
        <w:t>hysical health impacts,</w:t>
      </w:r>
      <w:r w:rsidR="00FF5D43">
        <w:rPr>
          <w:color w:val="363635"/>
        </w:rPr>
        <w:t xml:space="preserve"> emotional or psychological distress, and </w:t>
      </w:r>
      <w:r>
        <w:rPr>
          <w:color w:val="363635"/>
        </w:rPr>
        <w:t xml:space="preserve"> </w:t>
      </w:r>
      <w:r w:rsidR="00FF5D43">
        <w:rPr>
          <w:color w:val="363635"/>
        </w:rPr>
        <w:t>financial problems.</w:t>
      </w:r>
    </w:p>
    <w:p w14:paraId="3CBC0C2E" w14:textId="152C1A67" w:rsidR="00A602B1" w:rsidRDefault="00FF5D43" w:rsidP="00C979F3">
      <w:pPr>
        <w:pStyle w:val="NormalWeb"/>
        <w:spacing w:line="480" w:lineRule="auto"/>
        <w:ind w:firstLine="709"/>
        <w:rPr>
          <w:color w:val="363635"/>
        </w:rPr>
      </w:pPr>
      <w:r>
        <w:rPr>
          <w:color w:val="363635"/>
        </w:rPr>
        <w:t xml:space="preserve">The impacts of problem gambling on relationships </w:t>
      </w:r>
      <w:r w:rsidR="00B000F4">
        <w:rPr>
          <w:color w:val="363635"/>
        </w:rPr>
        <w:t xml:space="preserve">at the </w:t>
      </w:r>
      <w:r>
        <w:rPr>
          <w:color w:val="363635"/>
        </w:rPr>
        <w:t xml:space="preserve">family </w:t>
      </w:r>
      <w:r w:rsidR="00B000F4">
        <w:rPr>
          <w:color w:val="363635"/>
        </w:rPr>
        <w:t xml:space="preserve">level </w:t>
      </w:r>
      <w:r>
        <w:rPr>
          <w:color w:val="363635"/>
        </w:rPr>
        <w:t>can be significant</w:t>
      </w:r>
      <w:r w:rsidR="00B000F4">
        <w:rPr>
          <w:color w:val="363635"/>
        </w:rPr>
        <w:t>,</w:t>
      </w:r>
      <w:r>
        <w:rPr>
          <w:color w:val="363635"/>
        </w:rPr>
        <w:t xml:space="preserve"> with effects felt </w:t>
      </w:r>
      <w:r w:rsidR="00B000F4">
        <w:rPr>
          <w:color w:val="363635"/>
        </w:rPr>
        <w:t>by</w:t>
      </w:r>
      <w:r>
        <w:rPr>
          <w:color w:val="363635"/>
        </w:rPr>
        <w:t xml:space="preserve"> all family members. </w:t>
      </w:r>
      <w:r w:rsidR="00B000F4">
        <w:rPr>
          <w:color w:val="363635"/>
        </w:rPr>
        <w:t xml:space="preserve">Spouses can be most typically effected by problem gambling as a source of disagreement, and through the neglect of responsibilities within the family. The neglect of family responsibilities as a primary source of conflict within a partnership, </w:t>
      </w:r>
      <w:r w:rsidR="006C2C42">
        <w:rPr>
          <w:color w:val="363635"/>
        </w:rPr>
        <w:t xml:space="preserve">due to the isolation and </w:t>
      </w:r>
      <w:r w:rsidR="0021106E">
        <w:rPr>
          <w:color w:val="363635"/>
        </w:rPr>
        <w:t>self-s</w:t>
      </w:r>
      <w:r w:rsidR="00A602B1">
        <w:rPr>
          <w:color w:val="363635"/>
        </w:rPr>
        <w:t>acrifice</w:t>
      </w:r>
      <w:r w:rsidR="006C2C42">
        <w:rPr>
          <w:color w:val="363635"/>
        </w:rPr>
        <w:t xml:space="preserve"> needed for a partner to pick up the slack of a parent who is absorbed in gambling activity outside the family.</w:t>
      </w:r>
      <w:r w:rsidR="00A602B1">
        <w:rPr>
          <w:color w:val="363635"/>
        </w:rPr>
        <w:t xml:space="preserve"> The burden of sole responsibility for the family while a partner is engaged with gambling, places an uneven responsibility on the responsible parent, meaning that neglect may extend to the children as well as the remaining partner in a gambler’s absence.</w:t>
      </w:r>
    </w:p>
    <w:p w14:paraId="38B5AACD" w14:textId="14478A07" w:rsidR="00A602B1" w:rsidRDefault="00A602B1" w:rsidP="00C979F3">
      <w:pPr>
        <w:pStyle w:val="NormalWeb"/>
        <w:spacing w:line="480" w:lineRule="auto"/>
        <w:ind w:firstLine="709"/>
        <w:rPr>
          <w:color w:val="363635"/>
        </w:rPr>
      </w:pPr>
      <w:r>
        <w:rPr>
          <w:color w:val="363635"/>
        </w:rPr>
        <w:t xml:space="preserve">Some of the physical health impacts of problem gambling or addiction can include anxiety and depression, </w:t>
      </w:r>
      <w:r w:rsidR="00923FB2">
        <w:rPr>
          <w:color w:val="363635"/>
        </w:rPr>
        <w:t>and a reduction in the duration and quality of sleep reduction</w:t>
      </w:r>
      <w:r w:rsidR="008515F6">
        <w:rPr>
          <w:color w:val="363635"/>
        </w:rPr>
        <w:t xml:space="preserve"> </w:t>
      </w:r>
      <w:r w:rsidR="008515F6">
        <w:rPr>
          <w:color w:val="363635"/>
        </w:rPr>
        <w:fldChar w:fldCharType="begin"/>
      </w:r>
      <w:r w:rsidR="008515F6">
        <w:rPr>
          <w:color w:val="363635"/>
        </w:rPr>
        <w:instrText xml:space="preserve"> ADDIN ZOTERO_ITEM CSL_CITATION {"citationID":"AmgjuDIg","properties":{"formattedCitation":"(Victorian Responsible Gambling Foundation, 2019)","plainCitation":"(Victorian Responsible Gambling Foundation, 2019)","noteIndex":0},"citationItems":[{"id":3391,"uris":["http://zotero.org/users/7783071/items/BHQWIRZV"],"itemData":{"id":3391,"type":"webpage","container-title":"Victorian Responsible Gambling Foundation","genre":"Text","language":"en-AU","note":"Last Modified: 2019-12-17\npublisher: Victorian Responsible Gambling Foundation","title":"Types of harm from gambling","URL":"https://responsiblegambling.vic.gov.au/resources/gambling-victoria/gambling-harm-victoria/types-harm-gambling/","author":[{"literal":"Victorian Responsible Gambling Foundation"}],"accessed":{"date-parts":[["2023",5,30]]},"issued":{"date-parts":[["2019",12,17]]}}}],"schema":"https://github.com/citation-style-language/schema/raw/master/csl-citation.json"} </w:instrText>
      </w:r>
      <w:r w:rsidR="008515F6">
        <w:rPr>
          <w:color w:val="363635"/>
        </w:rPr>
        <w:fldChar w:fldCharType="separate"/>
      </w:r>
      <w:r w:rsidR="008515F6">
        <w:rPr>
          <w:noProof/>
          <w:color w:val="363635"/>
        </w:rPr>
        <w:t>(Victorian Responsible Gambling Foundation, 2019)</w:t>
      </w:r>
      <w:r w:rsidR="008515F6">
        <w:rPr>
          <w:color w:val="363635"/>
        </w:rPr>
        <w:fldChar w:fldCharType="end"/>
      </w:r>
      <w:r w:rsidR="005A5E2D">
        <w:rPr>
          <w:color w:val="363635"/>
        </w:rPr>
        <w:t>.</w:t>
      </w:r>
      <w:r w:rsidR="005B343E">
        <w:rPr>
          <w:color w:val="363635"/>
        </w:rPr>
        <w:t xml:space="preserve"> </w:t>
      </w:r>
      <w:r w:rsidR="008515F6">
        <w:rPr>
          <w:color w:val="363635"/>
        </w:rPr>
        <w:t xml:space="preserve">The primary physical symptoms linked with problem gambling have been identified as reduced sleep as a result of worry, stress, depression and anxiety disorders. </w:t>
      </w:r>
      <w:r w:rsidR="008515F6">
        <w:rPr>
          <w:color w:val="363635"/>
        </w:rPr>
        <w:lastRenderedPageBreak/>
        <w:t>People directly affected by problem gambling are commonly likely to overuse health care and engage in repeat visits to their doctor. The statistics on this topic also suggest that problem gamblers are at much higher risk of being diagnosed with a depression or anxiety disorders.</w:t>
      </w:r>
      <w:r w:rsidR="00A55802">
        <w:rPr>
          <w:color w:val="363635"/>
        </w:rPr>
        <w:t xml:space="preserve"> Links have also been found between problem gambling and the prevalence of tobacco and alcohol overuse, as well as further illicit substances.</w:t>
      </w:r>
    </w:p>
    <w:p w14:paraId="2DFE1B74" w14:textId="6FA90B14" w:rsidR="00A55802" w:rsidRDefault="00A24F8F" w:rsidP="00C979F3">
      <w:pPr>
        <w:pStyle w:val="NormalWeb"/>
        <w:spacing w:line="480" w:lineRule="auto"/>
        <w:ind w:firstLine="709"/>
        <w:rPr>
          <w:color w:val="363635"/>
        </w:rPr>
      </w:pPr>
      <w:r>
        <w:rPr>
          <w:color w:val="363635"/>
        </w:rPr>
        <w:t>The Victorian Responsible Gambling Foundation (2019) has found that there are significant emotional impacts to problem gamblers centring around self-perception and disrupted feelings of self-worth. Some of the early warning signs experienced by people with gambling addiction are feelings of anger and hopelessness, which can quickly develop into failure, vulnerability, worthlessness and extreme distress. These emotional disturbances have also been reported as impacting the gambler’s immediate family as well as the gambler.</w:t>
      </w:r>
    </w:p>
    <w:p w14:paraId="3B428531" w14:textId="472C7999" w:rsidR="00DF46B9" w:rsidRPr="00700561" w:rsidRDefault="00DF4EB2" w:rsidP="00C979F3">
      <w:pPr>
        <w:pStyle w:val="NormalWeb"/>
        <w:spacing w:line="480" w:lineRule="auto"/>
        <w:ind w:firstLine="709"/>
        <w:rPr>
          <w:color w:val="363635"/>
        </w:rPr>
      </w:pPr>
      <w:r>
        <w:rPr>
          <w:color w:val="363635"/>
        </w:rPr>
        <w:t>Financial difficulties have also been highlighted as problematic for those at high risk of gambling addiction, and are the fourth most common problem experienced by the individual and their families (</w:t>
      </w:r>
      <w:r>
        <w:rPr>
          <w:color w:val="363635"/>
        </w:rPr>
        <w:t>Victorian Responsible Gambling Foundation</w:t>
      </w:r>
      <w:r>
        <w:rPr>
          <w:color w:val="363635"/>
        </w:rPr>
        <w:t xml:space="preserve">., </w:t>
      </w:r>
      <w:r>
        <w:rPr>
          <w:color w:val="363635"/>
        </w:rPr>
        <w:t>2019</w:t>
      </w:r>
      <w:r>
        <w:rPr>
          <w:color w:val="363635"/>
        </w:rPr>
        <w:t xml:space="preserve">). </w:t>
      </w:r>
      <w:r w:rsidR="008720EB">
        <w:rPr>
          <w:color w:val="363635"/>
        </w:rPr>
        <w:t xml:space="preserve">Financial problems can extend into multiple areas of the family’s day to day life including recreational activities (the family suddenly not being able to afford them), as well as more serious events such as </w:t>
      </w:r>
      <w:r w:rsidR="008720EB">
        <w:rPr>
          <w:color w:val="363635"/>
        </w:rPr>
        <w:lastRenderedPageBreak/>
        <w:t>grocery shopping, medication and educational needs for children at school. Some individuals have also been reported to go as far as losing their houses or having to file for bankruptcy.</w:t>
      </w:r>
    </w:p>
    <w:p w14:paraId="71FEDAA8" w14:textId="2E4F0D4C" w:rsidR="008720D6" w:rsidRPr="00C979F3" w:rsidRDefault="00C979F3" w:rsidP="00C979F3">
      <w:pPr>
        <w:pStyle w:val="Heading4"/>
        <w:spacing w:before="300" w:after="150" w:line="480" w:lineRule="auto"/>
        <w:jc w:val="center"/>
        <w:rPr>
          <w:rStyle w:val="Strong"/>
          <w:rFonts w:ascii="Times New Roman" w:hAnsi="Times New Roman" w:cs="Times New Roman"/>
          <w:b w:val="0"/>
          <w:bCs w:val="0"/>
          <w:i w:val="0"/>
          <w:iCs w:val="0"/>
          <w:color w:val="035670"/>
        </w:rPr>
      </w:pPr>
      <w:r>
        <w:rPr>
          <w:rStyle w:val="Strong"/>
          <w:rFonts w:ascii="Times New Roman" w:hAnsi="Times New Roman" w:cs="Times New Roman"/>
          <w:b w:val="0"/>
          <w:bCs w:val="0"/>
          <w:i w:val="0"/>
          <w:iCs w:val="0"/>
          <w:color w:val="035670"/>
        </w:rPr>
        <w:t>Influence of other settings families engage with</w:t>
      </w:r>
    </w:p>
    <w:p w14:paraId="07885D8A" w14:textId="2ACB15A7" w:rsidR="00C52F56" w:rsidRPr="00C979F3" w:rsidRDefault="00C74D15" w:rsidP="00D567A2">
      <w:pPr>
        <w:pStyle w:val="NormalWeb"/>
        <w:spacing w:before="0" w:beforeAutospacing="0" w:after="0" w:afterAutospacing="0" w:line="480" w:lineRule="auto"/>
        <w:ind w:firstLine="709"/>
        <w:rPr>
          <w:color w:val="363635"/>
        </w:rPr>
      </w:pPr>
      <w:r w:rsidRPr="00C979F3">
        <w:rPr>
          <w:color w:val="363635"/>
        </w:rPr>
        <w:t xml:space="preserve">Bronfenbrenner’s Bioecological Model is a descriptive model of childhood and adolescent development, which serves to link together the </w:t>
      </w:r>
      <w:r w:rsidR="00226E3E" w:rsidRPr="00C979F3">
        <w:rPr>
          <w:color w:val="363635"/>
        </w:rPr>
        <w:t xml:space="preserve">various </w:t>
      </w:r>
      <w:r w:rsidRPr="00C979F3">
        <w:rPr>
          <w:color w:val="363635"/>
        </w:rPr>
        <w:t>areas of influence over our development</w:t>
      </w:r>
      <w:r w:rsidR="00226E3E" w:rsidRPr="00C979F3">
        <w:rPr>
          <w:color w:val="363635"/>
        </w:rPr>
        <w:t xml:space="preserve">. </w:t>
      </w:r>
      <w:r w:rsidR="002C6C7E">
        <w:rPr>
          <w:color w:val="363635"/>
        </w:rPr>
        <w:t xml:space="preserve">The model focusses on the individual at the centre, with other areas of impact on the individual radiating outward. </w:t>
      </w:r>
      <w:r w:rsidR="00226E3E" w:rsidRPr="00C979F3">
        <w:rPr>
          <w:color w:val="363635"/>
        </w:rPr>
        <w:t>S</w:t>
      </w:r>
      <w:r w:rsidRPr="00C979F3">
        <w:rPr>
          <w:color w:val="363635"/>
        </w:rPr>
        <w:t>uch a</w:t>
      </w:r>
      <w:r w:rsidR="00226E3E" w:rsidRPr="00C979F3">
        <w:rPr>
          <w:color w:val="363635"/>
        </w:rPr>
        <w:t>rea</w:t>
      </w:r>
      <w:r w:rsidRPr="00C979F3">
        <w:rPr>
          <w:color w:val="363635"/>
        </w:rPr>
        <w:t xml:space="preserve">s </w:t>
      </w:r>
      <w:r w:rsidR="00226E3E" w:rsidRPr="00C979F3">
        <w:rPr>
          <w:color w:val="363635"/>
        </w:rPr>
        <w:t xml:space="preserve">include </w:t>
      </w:r>
      <w:r w:rsidRPr="00C979F3">
        <w:rPr>
          <w:color w:val="363635"/>
        </w:rPr>
        <w:t>a child’s inherent nature</w:t>
      </w:r>
      <w:r w:rsidR="002C6C7E">
        <w:rPr>
          <w:color w:val="363635"/>
        </w:rPr>
        <w:t xml:space="preserve"> and qualities</w:t>
      </w:r>
      <w:r w:rsidRPr="00C979F3">
        <w:rPr>
          <w:color w:val="363635"/>
        </w:rPr>
        <w:t>, home and family life</w:t>
      </w:r>
      <w:r w:rsidR="008B26B7" w:rsidRPr="00C979F3">
        <w:rPr>
          <w:color w:val="363635"/>
        </w:rPr>
        <w:t>,</w:t>
      </w:r>
      <w:r w:rsidRPr="00C979F3">
        <w:rPr>
          <w:color w:val="363635"/>
        </w:rPr>
        <w:t xml:space="preserve"> a</w:t>
      </w:r>
      <w:r w:rsidR="00226E3E" w:rsidRPr="00C979F3">
        <w:rPr>
          <w:color w:val="363635"/>
        </w:rPr>
        <w:t>s</w:t>
      </w:r>
      <w:r w:rsidRPr="00C979F3">
        <w:rPr>
          <w:color w:val="363635"/>
        </w:rPr>
        <w:t xml:space="preserve"> well as external areas of influence, such as culture and neighbourhood</w:t>
      </w:r>
      <w:r w:rsidR="008B26B7" w:rsidRPr="00C979F3">
        <w:rPr>
          <w:color w:val="363635"/>
        </w:rPr>
        <w:t xml:space="preserve"> </w:t>
      </w:r>
      <w:r w:rsidR="008B26B7" w:rsidRPr="00C979F3">
        <w:rPr>
          <w:color w:val="363635"/>
        </w:rPr>
        <w:fldChar w:fldCharType="begin"/>
      </w:r>
      <w:r w:rsidR="00700561" w:rsidRPr="00C979F3">
        <w:rPr>
          <w:color w:val="363635"/>
        </w:rPr>
        <w:instrText xml:space="preserve"> ADDIN ZOTERO_ITEM CSL_CITATION {"citationID":"FeVfcS97","properties":{"formattedCitation":"(Sigelman et al., 2019)","plainCitation":"(Sigelman et al., 2019)","noteIndex":0},"citationItems":[{"id":3393,"uris":["http://zotero.org/users/7783071/items/LKRQ8UX9"],"itemData":{"id":3393,"type":"book","edition":"3rd Australian and New Zealand edition","event-place":"South Melbourne, Victoria, Australia","ISBN":"978-0-17-041591-0","language":"eng","note":"OCLC: 1076747983","publisher":"Cengage Learning Australia","publisher-place":"South Melbourne, Victoria, Australia","source":"Open WorldCat","title":"Life span human development","author":[{"family":"Sigelman","given":"Carol K."},{"family":"De George-Walker","given":"Linda"},{"family":"Cunial","given":"Kimberley"},{"family":"Rider","given":"Elizabeth A."}],"issued":{"date-parts":[["2019"]]}}}],"schema":"https://github.com/citation-style-language/schema/raw/master/csl-citation.json"} </w:instrText>
      </w:r>
      <w:r w:rsidR="008B26B7" w:rsidRPr="00C979F3">
        <w:rPr>
          <w:color w:val="363635"/>
        </w:rPr>
        <w:fldChar w:fldCharType="separate"/>
      </w:r>
      <w:r w:rsidR="00700561" w:rsidRPr="00C979F3">
        <w:rPr>
          <w:color w:val="000000"/>
          <w:lang w:val="en-GB"/>
        </w:rPr>
        <w:t>(Sigelman et al., 2019)</w:t>
      </w:r>
      <w:r w:rsidR="008B26B7" w:rsidRPr="00C979F3">
        <w:rPr>
          <w:color w:val="363635"/>
        </w:rPr>
        <w:fldChar w:fldCharType="end"/>
      </w:r>
      <w:r w:rsidRPr="00C979F3">
        <w:rPr>
          <w:color w:val="363635"/>
        </w:rPr>
        <w:t>.</w:t>
      </w:r>
    </w:p>
    <w:p w14:paraId="68799EE4" w14:textId="330D956C" w:rsidR="000D5376" w:rsidRDefault="0076076D" w:rsidP="00D567A2">
      <w:pPr>
        <w:pStyle w:val="NormalWeb"/>
        <w:spacing w:before="0" w:beforeAutospacing="0" w:after="0" w:afterAutospacing="0" w:line="480" w:lineRule="auto"/>
        <w:ind w:firstLine="709"/>
        <w:rPr>
          <w:color w:val="363635"/>
        </w:rPr>
      </w:pPr>
      <w:r w:rsidRPr="000D5376">
        <w:rPr>
          <w:color w:val="363635"/>
        </w:rPr>
        <w:t xml:space="preserve">The impact of problem gambling on children can effect outcomes for a child’s education and their parent’s relationship with the school </w:t>
      </w:r>
      <w:r w:rsidR="00CA0228">
        <w:rPr>
          <w:color w:val="363635"/>
        </w:rPr>
        <w:t>or</w:t>
      </w:r>
      <w:r w:rsidRPr="000D5376">
        <w:rPr>
          <w:color w:val="363635"/>
        </w:rPr>
        <w:t xml:space="preserve"> educator in the microsystem and mesosystem layers of Bronfenbrenner’s Bioecological Model. </w:t>
      </w:r>
      <w:r w:rsidR="000D5376">
        <w:rPr>
          <w:color w:val="363635"/>
        </w:rPr>
        <w:t xml:space="preserve">As demonstrated by </w:t>
      </w:r>
      <w:r w:rsidR="000D5376" w:rsidRPr="000D5376">
        <w:rPr>
          <w:color w:val="363635"/>
        </w:rPr>
        <w:fldChar w:fldCharType="begin"/>
      </w:r>
      <w:r w:rsidR="000D5376" w:rsidRPr="000D5376">
        <w:rPr>
          <w:color w:val="363635"/>
        </w:rPr>
        <w:instrText xml:space="preserve"> ADDIN ZOTERO_ITEM CSL_CITATION {"citationID":"unmaHTu8","properties":{"formattedCitation":"(Suomi et al., 2022)","plainCitation":"(Suomi et al., 2022)","noteIndex":0},"citationItems":[{"id":3409,"uris":["http://zotero.org/users/7783071/items/I5TMFXPL"],"itemData":{"id":3409,"type":"article-journal","abstract":"Background: Children living with a problem gambling parent are at risk of harm but no previous systematic reviews have specifically focused on the relationship of parental problem gambling and child wellbeing out­ comes. The current review aimed to redress this gap by reviewing all available empirical evidence on parental problem gambling and child wellbeing.\nMethod: Articles were identified by searching PsychINFO, CINAHL, Medline and Scopus. The search included terminology pertaining to parents, problem gambling and children and we included all peer-reviewed articles that reported parental problem gambling and child wellbeing outcome(s).\nResults: Overall, 35 studies reporting a relationship between parental problem gambling and child wellbeing were included. Child wellbeing outcomes were reported across six domains: (1) psychological (k = 14); (2) family relationships (k = 17); (3) violence (k = 9); (4) behavioural (k = 7); (5) financial (k = 9); and (6) physical health (k = 3). The included studies were mostly unequivocal about negative impacts of parental problem gambling across the six domains. Sixteen studies provided evidence of negative child outcomes that were directly attrib­ uted to parental problem gambling (e.g., as a result of your parent’s problematic gambling, you felt depressed). Nineteen studies reported evidence of the association of child negative outcomes and parental problem gambling but child outcomes were not directly attributed to parental problem gambling (e.g., parent is a problem gambler, child is depressed). Evidence was particularly robust on child distress and family dysfunction directly attributed to parental problem gambling.\nConclusion: This is the first systematic review focusing exclusively on specific intra- and interpersonal problems experienced by children whose parents have a gambling problem.","container-title":"Addictive Behaviors","DOI":"10.1016/j.addbeh.2021.107205","ISSN":"03064603","journalAbbreviation":"Addictive Behaviors","language":"en","page":"107205","source":"DOI.org (Crossref)","title":"Parental problem gambling and child wellbeing: Systematic review and synthesis of evidence","title-short":"Parental problem gambling and child wellbeing","URL":"https://linkinghub.elsevier.com/retrieve/pii/S0306460321003907","volume":"126","author":[{"family":"Suomi","given":"Aino"},{"family":"Lucas","given":"Nina"},{"family":"Dowling","given":"Nicki"},{"family":"Delfabbro","given":"Paul"}],"accessed":{"date-parts":[["2023",6,4]]},"issued":{"date-parts":[["2022",3]]}}}],"schema":"https://github.com/citation-style-language/schema/raw/master/csl-citation.json"} </w:instrText>
      </w:r>
      <w:r w:rsidR="000D5376" w:rsidRPr="000D5376">
        <w:rPr>
          <w:color w:val="363635"/>
        </w:rPr>
        <w:fldChar w:fldCharType="separate"/>
      </w:r>
      <w:r w:rsidR="000D5376" w:rsidRPr="000D5376">
        <w:rPr>
          <w:noProof/>
          <w:color w:val="363635"/>
        </w:rPr>
        <w:t xml:space="preserve">Suomi et al. </w:t>
      </w:r>
      <w:r w:rsidR="000D5376">
        <w:rPr>
          <w:noProof/>
          <w:color w:val="363635"/>
        </w:rPr>
        <w:t>(</w:t>
      </w:r>
      <w:r w:rsidR="000D5376" w:rsidRPr="000D5376">
        <w:rPr>
          <w:noProof/>
          <w:color w:val="363635"/>
        </w:rPr>
        <w:t>2022)</w:t>
      </w:r>
      <w:r w:rsidR="000D5376" w:rsidRPr="000D5376">
        <w:rPr>
          <w:color w:val="363635"/>
        </w:rPr>
        <w:fldChar w:fldCharType="end"/>
      </w:r>
      <w:r w:rsidR="000D5376">
        <w:rPr>
          <w:color w:val="363635"/>
        </w:rPr>
        <w:t xml:space="preserve">, children often miss days at school as a result of problem gambling, with communication between parents and schools also strained. At the microsystem level, the child is exposed to </w:t>
      </w:r>
      <w:r w:rsidR="00CA0228">
        <w:rPr>
          <w:color w:val="363635"/>
        </w:rPr>
        <w:t xml:space="preserve">financial neglect, potentially missing out on inclusive events within school such as excursions, and other activities. </w:t>
      </w:r>
      <w:r w:rsidR="008442AA">
        <w:rPr>
          <w:color w:val="363635"/>
        </w:rPr>
        <w:t xml:space="preserve">At the mesosystem level, communications </w:t>
      </w:r>
      <w:r w:rsidR="008442AA">
        <w:rPr>
          <w:color w:val="363635"/>
        </w:rPr>
        <w:lastRenderedPageBreak/>
        <w:t>between parents and the school may be difficult as a result of the problems going on at home, and any stigma attached to openly discussing the problem.</w:t>
      </w:r>
    </w:p>
    <w:p w14:paraId="53A33BE4" w14:textId="3D959B4F" w:rsidR="00D567A2" w:rsidRDefault="00A72EEC" w:rsidP="00D567A2">
      <w:pPr>
        <w:pStyle w:val="NormalWeb"/>
        <w:spacing w:before="0" w:beforeAutospacing="0" w:after="0" w:afterAutospacing="0" w:line="480" w:lineRule="auto"/>
        <w:ind w:firstLine="709"/>
        <w:rPr>
          <w:color w:val="363635"/>
        </w:rPr>
      </w:pPr>
      <w:r>
        <w:rPr>
          <w:color w:val="363635"/>
        </w:rPr>
        <w:t xml:space="preserve">Looking again at the microsystem level, a child’s peer group can be affected by parental problem gambling in a number of ways </w:t>
      </w:r>
      <w:r w:rsidR="00E6389B">
        <w:rPr>
          <w:color w:val="363635"/>
        </w:rPr>
        <w:fldChar w:fldCharType="begin"/>
      </w:r>
      <w:r w:rsidR="00E6389B">
        <w:rPr>
          <w:color w:val="363635"/>
        </w:rPr>
        <w:instrText xml:space="preserve"> ADDIN ZOTERO_ITEM CSL_CITATION {"citationID":"rcGEgY6H","properties":{"formattedCitation":"(Savolainen et al., 2019)","plainCitation":"(Savolainen et al., 2019)","noteIndex":0},"citationItems":[{"id":3411,"uris":["http://zotero.org/users/7783071/items/B59JZIWJ"],"itemData":{"id":3411,"type":"article-journal","abstract":"Gambling opportunities have increased rapidly during recent years. Previous research shows that gambling is a popular activity among youth, which may contribute to problem gambling. This study examined how social identification with online and offline peer groups associates with youth problem gambling behavior and if perceived social support buffers this relationship. Data were gathered with an online survey with 1212 American and 1200 Finnish participants between 15 and 25 years of age. Measures included the South Oaks Gambling Screen for problem gambling, and items for peer group identification and perceived social support. It was found that youth who identify strongly with offline peer groups were less likely to engage in problem gambling, while strong identification with online peer groups had the opposite effect. We also found that the associations between social identification and problem gambling behavior were moderated by perceived social support. Online peer groups may be a determinant in youth problem gambling. Focusing on offline peer groups and increasing social support can hold significant potential in youth gambling prevention.","container-title":"Journal of Gambling Studies","DOI":"10.1007/s10899-018-9813-8","ISSN":"1573-3602","issue":"1","journalAbbreviation":"J Gambl Stud","language":"en","page":"15-30","source":"Springer Link","title":"Peer Group Identification as Determinant of Youth Behavior and the Role of Perceived Social Support in Problem Gambling","URL":"https://doi.org/10.1007/s10899-018-9813-8","volume":"35","author":[{"family":"Savolainen","given":"Iina"},{"family":"Sirola","given":"Anu"},{"family":"Kaakinen","given":"Markus"},{"family":"Oksanen","given":"Atte"}],"accessed":{"date-parts":[["2023",6,4]]},"issued":{"date-parts":[["2019",3,1]]}}}],"schema":"https://github.com/citation-style-language/schema/raw/master/csl-citation.json"} </w:instrText>
      </w:r>
      <w:r w:rsidR="00E6389B">
        <w:rPr>
          <w:color w:val="363635"/>
        </w:rPr>
        <w:fldChar w:fldCharType="separate"/>
      </w:r>
      <w:r w:rsidR="00E6389B">
        <w:rPr>
          <w:noProof/>
          <w:color w:val="363635"/>
        </w:rPr>
        <w:t>(Savolainen et al., 2019)</w:t>
      </w:r>
      <w:r w:rsidR="00E6389B">
        <w:rPr>
          <w:color w:val="363635"/>
        </w:rPr>
        <w:fldChar w:fldCharType="end"/>
      </w:r>
      <w:r w:rsidR="00E6389B">
        <w:rPr>
          <w:color w:val="363635"/>
        </w:rPr>
        <w:t xml:space="preserve">. While acknowledging prior discussion around the pressures placed on children and the family’s relationship with school, Savolainen et al (2019) highlight the unintended consequence of peer related problem gambling amongst children through various digital mediums with the opportunity to gamble more prevalent than ever. This type of behaviour can be normalised within a family setting, suggesting that children raised in this environment may be at a higher risk of developing risk-taking behaviours alongside their parents privately or online. It is also suggested here that </w:t>
      </w:r>
      <w:r w:rsidR="003F052C">
        <w:rPr>
          <w:color w:val="363635"/>
        </w:rPr>
        <w:t>gambling communities existing online t</w:t>
      </w:r>
      <w:r w:rsidR="00E6389B">
        <w:rPr>
          <w:color w:val="363635"/>
        </w:rPr>
        <w:t>hat children are potentially exposed to through online gambling, can provide an avenue for peer bonding and acceptance into social groups</w:t>
      </w:r>
      <w:r w:rsidR="003F052C">
        <w:rPr>
          <w:color w:val="363635"/>
        </w:rPr>
        <w:t xml:space="preserve"> in place of the traditional face to face experiences of the classroom and school experience generally</w:t>
      </w:r>
      <w:r w:rsidR="00E6389B">
        <w:rPr>
          <w:color w:val="363635"/>
        </w:rPr>
        <w:t xml:space="preserve">.  </w:t>
      </w:r>
    </w:p>
    <w:p w14:paraId="10B82530" w14:textId="77777777" w:rsidR="0018623B" w:rsidRDefault="0018623B" w:rsidP="00922A68">
      <w:pPr>
        <w:pStyle w:val="NormalWeb"/>
        <w:spacing w:before="0" w:beforeAutospacing="0" w:after="0" w:afterAutospacing="0"/>
        <w:rPr>
          <w:i/>
          <w:iCs/>
          <w:color w:val="363635"/>
        </w:rPr>
      </w:pPr>
    </w:p>
    <w:p w14:paraId="13DA32AD" w14:textId="77777777" w:rsidR="0018623B" w:rsidRDefault="0018623B" w:rsidP="00922A68">
      <w:pPr>
        <w:pStyle w:val="NormalWeb"/>
        <w:spacing w:before="0" w:beforeAutospacing="0" w:after="0" w:afterAutospacing="0"/>
        <w:rPr>
          <w:i/>
          <w:iCs/>
          <w:color w:val="363635"/>
        </w:rPr>
      </w:pPr>
    </w:p>
    <w:p w14:paraId="53DA26ED" w14:textId="77777777" w:rsidR="00C979F3" w:rsidRDefault="00C979F3" w:rsidP="00922A68">
      <w:pPr>
        <w:pStyle w:val="NormalWeb"/>
        <w:spacing w:before="0" w:beforeAutospacing="0" w:after="0" w:afterAutospacing="0"/>
        <w:rPr>
          <w:i/>
          <w:iCs/>
          <w:color w:val="363635"/>
        </w:rPr>
      </w:pPr>
    </w:p>
    <w:p w14:paraId="687061A6" w14:textId="77777777" w:rsidR="00C979F3" w:rsidRDefault="00C979F3" w:rsidP="00922A68">
      <w:pPr>
        <w:pStyle w:val="NormalWeb"/>
        <w:spacing w:before="0" w:beforeAutospacing="0" w:after="0" w:afterAutospacing="0"/>
        <w:rPr>
          <w:i/>
          <w:iCs/>
          <w:color w:val="363635"/>
        </w:rPr>
      </w:pPr>
    </w:p>
    <w:p w14:paraId="6D0A60C2" w14:textId="77777777" w:rsidR="00C979F3" w:rsidRDefault="00C979F3" w:rsidP="00922A68">
      <w:pPr>
        <w:pStyle w:val="NormalWeb"/>
        <w:spacing w:before="0" w:beforeAutospacing="0" w:after="0" w:afterAutospacing="0"/>
        <w:rPr>
          <w:i/>
          <w:iCs/>
          <w:color w:val="363635"/>
        </w:rPr>
      </w:pPr>
    </w:p>
    <w:p w14:paraId="7DBC256B" w14:textId="3A5F1737" w:rsidR="007C249E" w:rsidRDefault="00C52F56" w:rsidP="00922A68">
      <w:pPr>
        <w:pStyle w:val="NormalWeb"/>
        <w:spacing w:before="0" w:beforeAutospacing="0" w:after="0" w:afterAutospacing="0"/>
        <w:rPr>
          <w:i/>
          <w:iCs/>
          <w:color w:val="363635"/>
        </w:rPr>
      </w:pPr>
      <w:r w:rsidRPr="009A3281">
        <w:rPr>
          <w:i/>
          <w:iCs/>
          <w:color w:val="363635"/>
        </w:rPr>
        <w:t xml:space="preserve">Use Bronfenbrenner's bioecological model to </w:t>
      </w:r>
      <w:r w:rsidRPr="009A3281">
        <w:rPr>
          <w:b/>
          <w:bCs/>
          <w:i/>
          <w:iCs/>
          <w:color w:val="363635"/>
        </w:rPr>
        <w:t xml:space="preserve">analyse </w:t>
      </w:r>
      <w:r w:rsidRPr="009A3281">
        <w:rPr>
          <w:i/>
          <w:iCs/>
          <w:color w:val="363635"/>
          <w:u w:val="single"/>
        </w:rPr>
        <w:t>three additional settings</w:t>
      </w:r>
      <w:r w:rsidRPr="009A3281">
        <w:rPr>
          <w:i/>
          <w:iCs/>
          <w:color w:val="363635"/>
        </w:rPr>
        <w:t xml:space="preserve"> (e.g., beyond the immediate family) (approximately 150 words per setting for a </w:t>
      </w:r>
      <w:r w:rsidRPr="009A3281">
        <w:rPr>
          <w:i/>
          <w:iCs/>
          <w:color w:val="363635"/>
        </w:rPr>
        <w:lastRenderedPageBreak/>
        <w:t xml:space="preserve">total of 450 words) that may influence a family's experience of this </w:t>
      </w:r>
      <w:r w:rsidR="00292107">
        <w:rPr>
          <w:i/>
          <w:iCs/>
          <w:color w:val="363635"/>
        </w:rPr>
        <w:t xml:space="preserve"> c</w:t>
      </w:r>
      <w:r w:rsidRPr="009A3281">
        <w:rPr>
          <w:i/>
          <w:iCs/>
          <w:color w:val="363635"/>
        </w:rPr>
        <w:t>hallenge/issue.</w:t>
      </w:r>
    </w:p>
    <w:p w14:paraId="7F7D56C0" w14:textId="77777777" w:rsidR="007C249E" w:rsidRDefault="007C249E" w:rsidP="00922A68">
      <w:pPr>
        <w:pStyle w:val="NormalWeb"/>
        <w:spacing w:before="0" w:beforeAutospacing="0" w:after="0" w:afterAutospacing="0"/>
        <w:rPr>
          <w:i/>
          <w:iCs/>
          <w:color w:val="363635"/>
        </w:rPr>
      </w:pPr>
    </w:p>
    <w:p w14:paraId="7ABA7F56" w14:textId="77777777" w:rsidR="00922A68" w:rsidRDefault="00922A68" w:rsidP="00922A68">
      <w:pPr>
        <w:pStyle w:val="Heading4"/>
        <w:spacing w:before="0" w:line="312" w:lineRule="atLeast"/>
        <w:rPr>
          <w:rStyle w:val="Strong"/>
          <w:rFonts w:ascii="Times New Roman" w:hAnsi="Times New Roman" w:cs="Times New Roman"/>
          <w:b w:val="0"/>
          <w:bCs w:val="0"/>
          <w:color w:val="035670"/>
        </w:rPr>
      </w:pPr>
    </w:p>
    <w:p w14:paraId="10B3E0CA" w14:textId="3AAC3002" w:rsidR="00C52F56" w:rsidRPr="009A3281" w:rsidRDefault="00C52F56" w:rsidP="00922A68">
      <w:pPr>
        <w:pStyle w:val="Heading4"/>
        <w:spacing w:before="0" w:line="312" w:lineRule="atLeast"/>
        <w:rPr>
          <w:rFonts w:ascii="Times New Roman" w:hAnsi="Times New Roman" w:cs="Times New Roman"/>
          <w:color w:val="363635"/>
        </w:rPr>
      </w:pPr>
      <w:r w:rsidRPr="009A3281">
        <w:rPr>
          <w:rStyle w:val="Strong"/>
          <w:rFonts w:ascii="Times New Roman" w:hAnsi="Times New Roman" w:cs="Times New Roman"/>
          <w:b w:val="0"/>
          <w:bCs w:val="0"/>
          <w:color w:val="035670"/>
        </w:rPr>
        <w:t>E. Recommended strategies to manage the challenge/</w:t>
      </w:r>
      <w:proofErr w:type="gramStart"/>
      <w:r w:rsidRPr="009A3281">
        <w:rPr>
          <w:rStyle w:val="Strong"/>
          <w:rFonts w:ascii="Times New Roman" w:hAnsi="Times New Roman" w:cs="Times New Roman"/>
          <w:b w:val="0"/>
          <w:bCs w:val="0"/>
          <w:color w:val="035670"/>
        </w:rPr>
        <w:t>issue</w:t>
      </w:r>
      <w:proofErr w:type="gramEnd"/>
    </w:p>
    <w:p w14:paraId="5FC36585" w14:textId="61E78DEF" w:rsidR="00C52F56" w:rsidRPr="009A3281" w:rsidRDefault="00C52F56" w:rsidP="00922A68">
      <w:pPr>
        <w:pStyle w:val="NormalWeb"/>
        <w:spacing w:before="0" w:beforeAutospacing="0" w:after="0" w:afterAutospacing="0"/>
        <w:rPr>
          <w:i/>
          <w:iCs/>
          <w:color w:val="363635"/>
        </w:rPr>
      </w:pPr>
      <w:r w:rsidRPr="009A3281">
        <w:rPr>
          <w:i/>
          <w:iCs/>
          <w:color w:val="363635"/>
        </w:rPr>
        <w:t xml:space="preserve">You need to </w:t>
      </w:r>
      <w:r w:rsidRPr="009A3281">
        <w:rPr>
          <w:rStyle w:val="Strong"/>
          <w:i/>
          <w:iCs/>
          <w:color w:val="363635"/>
        </w:rPr>
        <w:t>briefly identify</w:t>
      </w:r>
      <w:r w:rsidRPr="009A3281">
        <w:rPr>
          <w:i/>
          <w:iCs/>
          <w:color w:val="363635"/>
        </w:rPr>
        <w:t xml:space="preserve"> </w:t>
      </w:r>
      <w:r w:rsidRPr="009A3281">
        <w:rPr>
          <w:i/>
          <w:iCs/>
          <w:color w:val="363635"/>
          <w:u w:val="single"/>
        </w:rPr>
        <w:t>three</w:t>
      </w:r>
      <w:r w:rsidRPr="009A3281">
        <w:rPr>
          <w:i/>
          <w:iCs/>
          <w:color w:val="363635"/>
        </w:rPr>
        <w:t xml:space="preserve"> clear strategies (approximately 50 words each) families could adopt to reduce the impacts of this challenge/issue.</w:t>
      </w:r>
    </w:p>
    <w:p w14:paraId="661A8BBC" w14:textId="0B3CFFD7" w:rsidR="00C52F56" w:rsidRDefault="00C52F56" w:rsidP="00922A68">
      <w:pPr>
        <w:pStyle w:val="NormalWeb"/>
        <w:spacing w:before="0" w:beforeAutospacing="0" w:after="0" w:afterAutospacing="0"/>
        <w:rPr>
          <w:i/>
          <w:iCs/>
          <w:color w:val="363635"/>
        </w:rPr>
      </w:pPr>
      <w:r w:rsidRPr="009A3281">
        <w:rPr>
          <w:i/>
          <w:iCs/>
          <w:color w:val="363635"/>
        </w:rPr>
        <w:t>These recommendations should be supported by references.</w:t>
      </w:r>
    </w:p>
    <w:p w14:paraId="5693A1A6" w14:textId="5FAA751A" w:rsidR="00922A68" w:rsidRDefault="00922A68" w:rsidP="00922A68">
      <w:pPr>
        <w:pStyle w:val="NormalWeb"/>
        <w:spacing w:before="0" w:beforeAutospacing="0" w:after="0" w:afterAutospacing="0"/>
        <w:rPr>
          <w:i/>
          <w:iCs/>
          <w:color w:val="363635"/>
        </w:rPr>
      </w:pPr>
      <w:r>
        <w:rPr>
          <w:i/>
          <w:iCs/>
          <w:color w:val="363635"/>
        </w:rPr>
        <w:t>Strategies:</w:t>
      </w:r>
    </w:p>
    <w:p w14:paraId="31D7077B" w14:textId="6E7D36AF" w:rsidR="00922A68" w:rsidRDefault="00922A68" w:rsidP="00922A68">
      <w:pPr>
        <w:pStyle w:val="NormalWeb"/>
        <w:numPr>
          <w:ilvl w:val="0"/>
          <w:numId w:val="3"/>
        </w:numPr>
        <w:spacing w:before="0" w:beforeAutospacing="0" w:after="0" w:afterAutospacing="0"/>
        <w:rPr>
          <w:i/>
          <w:iCs/>
          <w:color w:val="363635"/>
        </w:rPr>
      </w:pPr>
      <w:r>
        <w:rPr>
          <w:i/>
          <w:iCs/>
          <w:color w:val="363635"/>
        </w:rPr>
        <w:t>One Strategy</w:t>
      </w:r>
    </w:p>
    <w:p w14:paraId="417BD39A" w14:textId="7F72FAFF" w:rsidR="00922A68" w:rsidRDefault="00922A68" w:rsidP="00922A68">
      <w:pPr>
        <w:pStyle w:val="NormalWeb"/>
        <w:numPr>
          <w:ilvl w:val="0"/>
          <w:numId w:val="3"/>
        </w:numPr>
        <w:spacing w:before="0" w:beforeAutospacing="0" w:after="0" w:afterAutospacing="0"/>
        <w:rPr>
          <w:i/>
          <w:iCs/>
          <w:color w:val="363635"/>
        </w:rPr>
      </w:pPr>
      <w:r>
        <w:rPr>
          <w:i/>
          <w:iCs/>
          <w:color w:val="363635"/>
        </w:rPr>
        <w:t>Two Strategy</w:t>
      </w:r>
    </w:p>
    <w:p w14:paraId="0F620057" w14:textId="0DF31280" w:rsidR="00922A68" w:rsidRPr="009A3281" w:rsidRDefault="00922A68" w:rsidP="00922A68">
      <w:pPr>
        <w:pStyle w:val="NormalWeb"/>
        <w:numPr>
          <w:ilvl w:val="0"/>
          <w:numId w:val="3"/>
        </w:numPr>
        <w:spacing w:before="0" w:beforeAutospacing="0" w:after="0" w:afterAutospacing="0"/>
        <w:rPr>
          <w:i/>
          <w:iCs/>
          <w:color w:val="363635"/>
        </w:rPr>
      </w:pPr>
      <w:r>
        <w:rPr>
          <w:i/>
          <w:iCs/>
          <w:color w:val="363635"/>
        </w:rPr>
        <w:t xml:space="preserve">Three </w:t>
      </w:r>
      <w:r w:rsidR="00A96BEA">
        <w:rPr>
          <w:i/>
          <w:iCs/>
          <w:color w:val="363635"/>
        </w:rPr>
        <w:t>S</w:t>
      </w:r>
      <w:r>
        <w:rPr>
          <w:i/>
          <w:iCs/>
          <w:color w:val="363635"/>
        </w:rPr>
        <w:t>trategy</w:t>
      </w:r>
    </w:p>
    <w:p w14:paraId="1568979E" w14:textId="77777777" w:rsidR="00922A68" w:rsidRDefault="00922A68" w:rsidP="00922A68">
      <w:pPr>
        <w:pStyle w:val="Heading4"/>
        <w:spacing w:before="0" w:line="312" w:lineRule="atLeast"/>
        <w:rPr>
          <w:rStyle w:val="Strong"/>
          <w:rFonts w:ascii="Times New Roman" w:hAnsi="Times New Roman" w:cs="Times New Roman"/>
          <w:b w:val="0"/>
          <w:bCs w:val="0"/>
          <w:color w:val="035670"/>
        </w:rPr>
      </w:pPr>
    </w:p>
    <w:p w14:paraId="236FA522" w14:textId="5FB3F270" w:rsidR="00C52F56" w:rsidRPr="009A3281" w:rsidRDefault="00C52F56" w:rsidP="00922A68">
      <w:pPr>
        <w:pStyle w:val="Heading4"/>
        <w:spacing w:before="0" w:line="312" w:lineRule="atLeast"/>
        <w:rPr>
          <w:rFonts w:ascii="Times New Roman" w:hAnsi="Times New Roman" w:cs="Times New Roman"/>
          <w:color w:val="363635"/>
        </w:rPr>
      </w:pPr>
      <w:r w:rsidRPr="009A3281">
        <w:rPr>
          <w:rStyle w:val="Strong"/>
          <w:rFonts w:ascii="Times New Roman" w:hAnsi="Times New Roman" w:cs="Times New Roman"/>
          <w:b w:val="0"/>
          <w:bCs w:val="0"/>
          <w:color w:val="035670"/>
        </w:rPr>
        <w:t>F. Conclusion</w:t>
      </w:r>
    </w:p>
    <w:p w14:paraId="0D1ECA2B" w14:textId="3E2F91CE" w:rsidR="00C52F56" w:rsidRPr="009A3281" w:rsidRDefault="00C52F56" w:rsidP="00922A68">
      <w:pPr>
        <w:pStyle w:val="NormalWeb"/>
        <w:spacing w:before="0" w:beforeAutospacing="0" w:after="0" w:afterAutospacing="0"/>
        <w:rPr>
          <w:i/>
          <w:iCs/>
          <w:color w:val="363635"/>
        </w:rPr>
      </w:pPr>
      <w:r w:rsidRPr="009A3281">
        <w:rPr>
          <w:i/>
          <w:iCs/>
          <w:color w:val="363635"/>
        </w:rPr>
        <w:t>You should include a conclusion (approximately 100 words) that summarises the main points of your assessment. This should not introduce new concepts and does not require in-text citations (as all of the information you summarise should have already been cited in the body of your report).</w:t>
      </w:r>
    </w:p>
    <w:p w14:paraId="2E999C26" w14:textId="25200A93" w:rsidR="00C52F56" w:rsidRDefault="00C52F56">
      <w:pPr>
        <w:spacing w:after="0" w:line="240" w:lineRule="auto"/>
        <w:ind w:left="0" w:right="0" w:firstLine="0"/>
        <w:jc w:val="left"/>
        <w:rPr>
          <w:rFonts w:ascii="Times New Roman" w:hAnsi="Times New Roman" w:cs="Times New Roman"/>
        </w:rPr>
      </w:pPr>
      <w:r>
        <w:rPr>
          <w:rFonts w:ascii="Times New Roman" w:hAnsi="Times New Roman" w:cs="Times New Roman"/>
        </w:rPr>
        <w:br w:type="page"/>
      </w:r>
    </w:p>
    <w:p w14:paraId="601E7384" w14:textId="34552621" w:rsidR="00D031C4" w:rsidRPr="00604E2B" w:rsidRDefault="00DF1FE6" w:rsidP="00CA35A8">
      <w:pPr>
        <w:pStyle w:val="Heading1"/>
        <w:spacing w:line="240" w:lineRule="auto"/>
        <w:ind w:left="22"/>
        <w:jc w:val="center"/>
        <w:rPr>
          <w:rFonts w:ascii="Times New Roman" w:hAnsi="Times New Roman" w:cs="Times New Roman"/>
          <w:sz w:val="24"/>
        </w:rPr>
      </w:pPr>
      <w:r w:rsidRPr="00604E2B">
        <w:rPr>
          <w:rFonts w:ascii="Times New Roman" w:hAnsi="Times New Roman" w:cs="Times New Roman"/>
          <w:sz w:val="24"/>
        </w:rPr>
        <w:lastRenderedPageBreak/>
        <w:t>References</w:t>
      </w:r>
    </w:p>
    <w:p w14:paraId="6DE8A59D" w14:textId="77777777" w:rsidR="008050D9" w:rsidRPr="008050D9" w:rsidRDefault="008050D9" w:rsidP="008050D9">
      <w:pPr>
        <w:pStyle w:val="Bibliography"/>
        <w:rPr>
          <w:rFonts w:ascii="Times New Roman" w:hAnsi="Times New Roman" w:cs="Times New Roman"/>
          <w:lang w:val="en-GB"/>
        </w:rPr>
      </w:pPr>
      <w:r>
        <w:fldChar w:fldCharType="begin"/>
      </w:r>
      <w:r>
        <w:instrText xml:space="preserve"> ADDIN ZOTERO_BIBL {"uncited":[],"omitted":[],"custom":[]} CSL_BIBLIOGRAPHY </w:instrText>
      </w:r>
      <w:r>
        <w:fldChar w:fldCharType="separate"/>
      </w:r>
      <w:r w:rsidRPr="008050D9">
        <w:rPr>
          <w:rFonts w:ascii="Times New Roman" w:hAnsi="Times New Roman" w:cs="Times New Roman"/>
          <w:lang w:val="en-GB"/>
        </w:rPr>
        <w:t xml:space="preserve">Australian Institute of Health and Welfare. (2021). </w:t>
      </w:r>
      <w:r w:rsidRPr="008050D9">
        <w:rPr>
          <w:rFonts w:ascii="Times New Roman" w:hAnsi="Times New Roman" w:cs="Times New Roman"/>
          <w:i/>
          <w:iCs/>
          <w:lang w:val="en-GB"/>
        </w:rPr>
        <w:t>Gambling in Australia</w:t>
      </w:r>
      <w:r w:rsidRPr="008050D9">
        <w:rPr>
          <w:rFonts w:ascii="Times New Roman" w:hAnsi="Times New Roman" w:cs="Times New Roman"/>
          <w:lang w:val="en-GB"/>
        </w:rPr>
        <w:t>. Australian Institute of Health and Welfare. https://www.aihw.gov.au/reports/australias-welfare/gambling#harms</w:t>
      </w:r>
    </w:p>
    <w:p w14:paraId="11267A7D" w14:textId="77777777" w:rsidR="008050D9" w:rsidRPr="008050D9" w:rsidRDefault="008050D9" w:rsidP="008050D9">
      <w:pPr>
        <w:pStyle w:val="Bibliography"/>
        <w:rPr>
          <w:rFonts w:ascii="Times New Roman" w:hAnsi="Times New Roman" w:cs="Times New Roman"/>
          <w:lang w:val="en-GB"/>
        </w:rPr>
      </w:pPr>
      <w:r w:rsidRPr="008050D9">
        <w:rPr>
          <w:rFonts w:ascii="Times New Roman" w:hAnsi="Times New Roman" w:cs="Times New Roman"/>
          <w:lang w:val="en-GB"/>
        </w:rPr>
        <w:t xml:space="preserve">Savolainen, I., </w:t>
      </w:r>
      <w:proofErr w:type="spellStart"/>
      <w:r w:rsidRPr="008050D9">
        <w:rPr>
          <w:rFonts w:ascii="Times New Roman" w:hAnsi="Times New Roman" w:cs="Times New Roman"/>
          <w:lang w:val="en-GB"/>
        </w:rPr>
        <w:t>Sirola</w:t>
      </w:r>
      <w:proofErr w:type="spellEnd"/>
      <w:r w:rsidRPr="008050D9">
        <w:rPr>
          <w:rFonts w:ascii="Times New Roman" w:hAnsi="Times New Roman" w:cs="Times New Roman"/>
          <w:lang w:val="en-GB"/>
        </w:rPr>
        <w:t xml:space="preserve">, A., Kaakinen, M., &amp; Oksanen, A. (2019). Peer Group Identification as Determinant of Youth </w:t>
      </w:r>
      <w:proofErr w:type="spellStart"/>
      <w:r w:rsidRPr="008050D9">
        <w:rPr>
          <w:rFonts w:ascii="Times New Roman" w:hAnsi="Times New Roman" w:cs="Times New Roman"/>
          <w:lang w:val="en-GB"/>
        </w:rPr>
        <w:t>Behavior</w:t>
      </w:r>
      <w:proofErr w:type="spellEnd"/>
      <w:r w:rsidRPr="008050D9">
        <w:rPr>
          <w:rFonts w:ascii="Times New Roman" w:hAnsi="Times New Roman" w:cs="Times New Roman"/>
          <w:lang w:val="en-GB"/>
        </w:rPr>
        <w:t xml:space="preserve"> and the Role of Perceived Social Support in Problem Gambling. </w:t>
      </w:r>
      <w:r w:rsidRPr="008050D9">
        <w:rPr>
          <w:rFonts w:ascii="Times New Roman" w:hAnsi="Times New Roman" w:cs="Times New Roman"/>
          <w:i/>
          <w:iCs/>
          <w:lang w:val="en-GB"/>
        </w:rPr>
        <w:t>Journal of Gambling Studies</w:t>
      </w:r>
      <w:r w:rsidRPr="008050D9">
        <w:rPr>
          <w:rFonts w:ascii="Times New Roman" w:hAnsi="Times New Roman" w:cs="Times New Roman"/>
          <w:lang w:val="en-GB"/>
        </w:rPr>
        <w:t xml:space="preserve">, </w:t>
      </w:r>
      <w:r w:rsidRPr="008050D9">
        <w:rPr>
          <w:rFonts w:ascii="Times New Roman" w:hAnsi="Times New Roman" w:cs="Times New Roman"/>
          <w:i/>
          <w:iCs/>
          <w:lang w:val="en-GB"/>
        </w:rPr>
        <w:t>35</w:t>
      </w:r>
      <w:r w:rsidRPr="008050D9">
        <w:rPr>
          <w:rFonts w:ascii="Times New Roman" w:hAnsi="Times New Roman" w:cs="Times New Roman"/>
          <w:lang w:val="en-GB"/>
        </w:rPr>
        <w:t>(1), 15–30. https://doi.org/10.1007/s10899-018-9813-8</w:t>
      </w:r>
    </w:p>
    <w:p w14:paraId="0C35CA08" w14:textId="77777777" w:rsidR="008050D9" w:rsidRPr="008050D9" w:rsidRDefault="008050D9" w:rsidP="008050D9">
      <w:pPr>
        <w:pStyle w:val="Bibliography"/>
        <w:rPr>
          <w:rFonts w:ascii="Times New Roman" w:hAnsi="Times New Roman" w:cs="Times New Roman"/>
          <w:lang w:val="en-GB"/>
        </w:rPr>
      </w:pPr>
      <w:proofErr w:type="spellStart"/>
      <w:r w:rsidRPr="008050D9">
        <w:rPr>
          <w:rFonts w:ascii="Times New Roman" w:hAnsi="Times New Roman" w:cs="Times New Roman"/>
          <w:lang w:val="en-GB"/>
        </w:rPr>
        <w:t>Sigelman</w:t>
      </w:r>
      <w:proofErr w:type="spellEnd"/>
      <w:r w:rsidRPr="008050D9">
        <w:rPr>
          <w:rFonts w:ascii="Times New Roman" w:hAnsi="Times New Roman" w:cs="Times New Roman"/>
          <w:lang w:val="en-GB"/>
        </w:rPr>
        <w:t xml:space="preserve">, C. K., De George-Walker, L., </w:t>
      </w:r>
      <w:proofErr w:type="spellStart"/>
      <w:r w:rsidRPr="008050D9">
        <w:rPr>
          <w:rFonts w:ascii="Times New Roman" w:hAnsi="Times New Roman" w:cs="Times New Roman"/>
          <w:lang w:val="en-GB"/>
        </w:rPr>
        <w:t>Cunial</w:t>
      </w:r>
      <w:proofErr w:type="spellEnd"/>
      <w:r w:rsidRPr="008050D9">
        <w:rPr>
          <w:rFonts w:ascii="Times New Roman" w:hAnsi="Times New Roman" w:cs="Times New Roman"/>
          <w:lang w:val="en-GB"/>
        </w:rPr>
        <w:t xml:space="preserve">, K., &amp; Rider, E. A. (2019). </w:t>
      </w:r>
      <w:r w:rsidRPr="008050D9">
        <w:rPr>
          <w:rFonts w:ascii="Times New Roman" w:hAnsi="Times New Roman" w:cs="Times New Roman"/>
          <w:i/>
          <w:iCs/>
          <w:lang w:val="en-GB"/>
        </w:rPr>
        <w:t>Life span human development</w:t>
      </w:r>
      <w:r w:rsidRPr="008050D9">
        <w:rPr>
          <w:rFonts w:ascii="Times New Roman" w:hAnsi="Times New Roman" w:cs="Times New Roman"/>
          <w:lang w:val="en-GB"/>
        </w:rPr>
        <w:t xml:space="preserve"> (3rd Australian and New Zealand edition). Cengage Learning Australia.</w:t>
      </w:r>
    </w:p>
    <w:p w14:paraId="0694465D" w14:textId="1AC57520" w:rsidR="008050D9" w:rsidRPr="008050D9" w:rsidRDefault="008050D9" w:rsidP="008050D9">
      <w:pPr>
        <w:pStyle w:val="Bibliography"/>
        <w:rPr>
          <w:rFonts w:ascii="Times New Roman" w:hAnsi="Times New Roman" w:cs="Times New Roman"/>
          <w:lang w:val="en-GB"/>
        </w:rPr>
      </w:pPr>
      <w:r w:rsidRPr="008050D9">
        <w:rPr>
          <w:rFonts w:ascii="Times New Roman" w:hAnsi="Times New Roman" w:cs="Times New Roman"/>
          <w:lang w:val="en-GB"/>
        </w:rPr>
        <w:t xml:space="preserve">Suomi, A., Lucas, N., Dowling, N., &amp; </w:t>
      </w:r>
      <w:proofErr w:type="spellStart"/>
      <w:r w:rsidRPr="008050D9">
        <w:rPr>
          <w:rFonts w:ascii="Times New Roman" w:hAnsi="Times New Roman" w:cs="Times New Roman"/>
          <w:lang w:val="en-GB"/>
        </w:rPr>
        <w:t>Delfabbro</w:t>
      </w:r>
      <w:proofErr w:type="spellEnd"/>
      <w:r w:rsidRPr="008050D9">
        <w:rPr>
          <w:rFonts w:ascii="Times New Roman" w:hAnsi="Times New Roman" w:cs="Times New Roman"/>
          <w:lang w:val="en-GB"/>
        </w:rPr>
        <w:t xml:space="preserve">, P. (2022). Parental problem gambling and child wellbeing: Systematic review and synthesis of evidence. </w:t>
      </w:r>
      <w:r w:rsidRPr="008050D9">
        <w:rPr>
          <w:rFonts w:ascii="Times New Roman" w:hAnsi="Times New Roman" w:cs="Times New Roman"/>
          <w:i/>
          <w:iCs/>
          <w:lang w:val="en-GB"/>
        </w:rPr>
        <w:t>Addictive Behavio</w:t>
      </w:r>
      <w:r>
        <w:rPr>
          <w:rFonts w:ascii="Times New Roman" w:hAnsi="Times New Roman" w:cs="Times New Roman"/>
          <w:i/>
          <w:iCs/>
          <w:lang w:val="en-GB"/>
        </w:rPr>
        <w:t>u</w:t>
      </w:r>
      <w:r w:rsidRPr="008050D9">
        <w:rPr>
          <w:rFonts w:ascii="Times New Roman" w:hAnsi="Times New Roman" w:cs="Times New Roman"/>
          <w:i/>
          <w:iCs/>
          <w:lang w:val="en-GB"/>
        </w:rPr>
        <w:t>rs</w:t>
      </w:r>
      <w:r w:rsidRPr="008050D9">
        <w:rPr>
          <w:rFonts w:ascii="Times New Roman" w:hAnsi="Times New Roman" w:cs="Times New Roman"/>
          <w:lang w:val="en-GB"/>
        </w:rPr>
        <w:t xml:space="preserve">, </w:t>
      </w:r>
      <w:r w:rsidRPr="008050D9">
        <w:rPr>
          <w:rFonts w:ascii="Times New Roman" w:hAnsi="Times New Roman" w:cs="Times New Roman"/>
          <w:i/>
          <w:iCs/>
          <w:lang w:val="en-GB"/>
        </w:rPr>
        <w:t>126</w:t>
      </w:r>
      <w:r w:rsidRPr="008050D9">
        <w:rPr>
          <w:rFonts w:ascii="Times New Roman" w:hAnsi="Times New Roman" w:cs="Times New Roman"/>
          <w:lang w:val="en-GB"/>
        </w:rPr>
        <w:t>, 107205. https://doi.org/10.1016/j.addbeh.2021.107205</w:t>
      </w:r>
    </w:p>
    <w:p w14:paraId="015C0CC5" w14:textId="5B497B4F" w:rsidR="008050D9" w:rsidRPr="008050D9" w:rsidRDefault="008050D9" w:rsidP="008050D9">
      <w:pPr>
        <w:pStyle w:val="Bibliography"/>
        <w:rPr>
          <w:rFonts w:ascii="Times New Roman" w:hAnsi="Times New Roman" w:cs="Times New Roman"/>
          <w:lang w:val="en-GB"/>
        </w:rPr>
      </w:pPr>
      <w:r w:rsidRPr="008050D9">
        <w:rPr>
          <w:rFonts w:ascii="Times New Roman" w:hAnsi="Times New Roman" w:cs="Times New Roman"/>
          <w:lang w:val="en-GB"/>
        </w:rPr>
        <w:t xml:space="preserve">Victorian Responsible Gambling Foundation. (2019, December 17). </w:t>
      </w:r>
      <w:r w:rsidRPr="008050D9">
        <w:rPr>
          <w:rFonts w:ascii="Times New Roman" w:hAnsi="Times New Roman" w:cs="Times New Roman"/>
          <w:i/>
          <w:iCs/>
          <w:lang w:val="en-GB"/>
        </w:rPr>
        <w:t>Types of harm from gambling</w:t>
      </w:r>
      <w:r w:rsidRPr="008050D9">
        <w:rPr>
          <w:rFonts w:ascii="Times New Roman" w:hAnsi="Times New Roman" w:cs="Times New Roman"/>
          <w:lang w:val="en-GB"/>
        </w:rPr>
        <w:t>. Victorian Responsible Gambling Foundation; Victorian Responsible Gambling Foundation. https://responsiblegambling.vic.gov.au/resources/gambling-victoria/gambling-harm-victoria/types-harm-gambling/</w:t>
      </w:r>
    </w:p>
    <w:p w14:paraId="605B2675" w14:textId="4D55AD78" w:rsidR="00FD260C" w:rsidRPr="00604E2B" w:rsidRDefault="008050D9" w:rsidP="008050D9">
      <w:pPr>
        <w:spacing w:line="240" w:lineRule="auto"/>
        <w:ind w:left="0" w:firstLine="0"/>
        <w:jc w:val="left"/>
        <w:rPr>
          <w:rFonts w:ascii="Times New Roman" w:hAnsi="Times New Roman" w:cs="Times New Roman"/>
        </w:rPr>
      </w:pPr>
      <w:r>
        <w:rPr>
          <w:rFonts w:ascii="Times New Roman" w:hAnsi="Times New Roman" w:cs="Times New Roman"/>
        </w:rPr>
        <w:lastRenderedPageBreak/>
        <w:fldChar w:fldCharType="end"/>
      </w:r>
    </w:p>
    <w:sectPr w:rsidR="00FD260C" w:rsidRPr="00604E2B">
      <w:footerReference w:type="even" r:id="rId7"/>
      <w:footerReference w:type="default" r:id="rId8"/>
      <w:footerReference w:type="first" r:id="rId9"/>
      <w:pgSz w:w="12240" w:h="15840"/>
      <w:pgMar w:top="2520" w:right="2207" w:bottom="2349" w:left="219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C107" w14:textId="77777777" w:rsidR="0038561F" w:rsidRDefault="0038561F">
      <w:pPr>
        <w:spacing w:after="0" w:line="240" w:lineRule="auto"/>
      </w:pPr>
      <w:r>
        <w:separator/>
      </w:r>
    </w:p>
  </w:endnote>
  <w:endnote w:type="continuationSeparator" w:id="0">
    <w:p w14:paraId="4B14EF59" w14:textId="77777777" w:rsidR="0038561F" w:rsidRDefault="0038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B7E1" w14:textId="77777777" w:rsidR="00D031C4" w:rsidRDefault="00DF1FE6">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9B96" w14:textId="77777777" w:rsidR="00D031C4" w:rsidRDefault="00DF1FE6">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B5EB" w14:textId="77777777" w:rsidR="00D031C4" w:rsidRDefault="00D031C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FA79" w14:textId="77777777" w:rsidR="0038561F" w:rsidRDefault="0038561F">
      <w:pPr>
        <w:spacing w:after="0" w:line="240" w:lineRule="auto"/>
      </w:pPr>
      <w:r>
        <w:separator/>
      </w:r>
    </w:p>
  </w:footnote>
  <w:footnote w:type="continuationSeparator" w:id="0">
    <w:p w14:paraId="776E70F4" w14:textId="77777777" w:rsidR="0038561F" w:rsidRDefault="00385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5EE0"/>
    <w:multiLevelType w:val="hybridMultilevel"/>
    <w:tmpl w:val="C7327A44"/>
    <w:lvl w:ilvl="0" w:tplc="B560D05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7D051D"/>
    <w:multiLevelType w:val="hybridMultilevel"/>
    <w:tmpl w:val="E9983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972857"/>
    <w:multiLevelType w:val="hybridMultilevel"/>
    <w:tmpl w:val="B0C8962E"/>
    <w:lvl w:ilvl="0" w:tplc="D8969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5A2553F"/>
    <w:multiLevelType w:val="hybridMultilevel"/>
    <w:tmpl w:val="605E53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3197167">
    <w:abstractNumId w:val="3"/>
  </w:num>
  <w:num w:numId="2" w16cid:durableId="2092502065">
    <w:abstractNumId w:val="2"/>
  </w:num>
  <w:num w:numId="3" w16cid:durableId="154298084">
    <w:abstractNumId w:val="1"/>
  </w:num>
  <w:num w:numId="4" w16cid:durableId="109814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1C4"/>
    <w:rsid w:val="00054480"/>
    <w:rsid w:val="000A51F7"/>
    <w:rsid w:val="000D5376"/>
    <w:rsid w:val="00112E23"/>
    <w:rsid w:val="0018623B"/>
    <w:rsid w:val="001B189B"/>
    <w:rsid w:val="001F5C18"/>
    <w:rsid w:val="0021106E"/>
    <w:rsid w:val="00226E3E"/>
    <w:rsid w:val="00292107"/>
    <w:rsid w:val="002C6C7E"/>
    <w:rsid w:val="00313118"/>
    <w:rsid w:val="0038561F"/>
    <w:rsid w:val="003D7AA8"/>
    <w:rsid w:val="003F052C"/>
    <w:rsid w:val="0048141D"/>
    <w:rsid w:val="00497803"/>
    <w:rsid w:val="004D0B2F"/>
    <w:rsid w:val="00555C0A"/>
    <w:rsid w:val="00596CF7"/>
    <w:rsid w:val="005A5E2D"/>
    <w:rsid w:val="005B343E"/>
    <w:rsid w:val="00604E2B"/>
    <w:rsid w:val="00625B7B"/>
    <w:rsid w:val="00640C84"/>
    <w:rsid w:val="006C2C42"/>
    <w:rsid w:val="006C47C5"/>
    <w:rsid w:val="006E3203"/>
    <w:rsid w:val="00700561"/>
    <w:rsid w:val="00706A35"/>
    <w:rsid w:val="00725539"/>
    <w:rsid w:val="0076076D"/>
    <w:rsid w:val="00795AF2"/>
    <w:rsid w:val="007A7CD1"/>
    <w:rsid w:val="007C249E"/>
    <w:rsid w:val="008050D9"/>
    <w:rsid w:val="00822361"/>
    <w:rsid w:val="008442AA"/>
    <w:rsid w:val="008515F6"/>
    <w:rsid w:val="0086017B"/>
    <w:rsid w:val="008720D6"/>
    <w:rsid w:val="008720EB"/>
    <w:rsid w:val="008B26B7"/>
    <w:rsid w:val="008E7796"/>
    <w:rsid w:val="008F3BFC"/>
    <w:rsid w:val="008F59B9"/>
    <w:rsid w:val="00921E2D"/>
    <w:rsid w:val="00922A68"/>
    <w:rsid w:val="00923FB2"/>
    <w:rsid w:val="00965462"/>
    <w:rsid w:val="00995E6D"/>
    <w:rsid w:val="009969B9"/>
    <w:rsid w:val="009A3281"/>
    <w:rsid w:val="009D667A"/>
    <w:rsid w:val="009E39BB"/>
    <w:rsid w:val="00A24F8F"/>
    <w:rsid w:val="00A51621"/>
    <w:rsid w:val="00A55802"/>
    <w:rsid w:val="00A602B1"/>
    <w:rsid w:val="00A72EEC"/>
    <w:rsid w:val="00A814EA"/>
    <w:rsid w:val="00A96BEA"/>
    <w:rsid w:val="00B000F4"/>
    <w:rsid w:val="00B20A3D"/>
    <w:rsid w:val="00BF35E7"/>
    <w:rsid w:val="00C04BCC"/>
    <w:rsid w:val="00C104E5"/>
    <w:rsid w:val="00C51617"/>
    <w:rsid w:val="00C52F56"/>
    <w:rsid w:val="00C74D15"/>
    <w:rsid w:val="00C979F3"/>
    <w:rsid w:val="00CA0228"/>
    <w:rsid w:val="00CA0DB9"/>
    <w:rsid w:val="00CA35A8"/>
    <w:rsid w:val="00CB1679"/>
    <w:rsid w:val="00D031C4"/>
    <w:rsid w:val="00D35859"/>
    <w:rsid w:val="00D567A2"/>
    <w:rsid w:val="00DD702B"/>
    <w:rsid w:val="00DF1FE6"/>
    <w:rsid w:val="00DF46B9"/>
    <w:rsid w:val="00DF4EB2"/>
    <w:rsid w:val="00E2737A"/>
    <w:rsid w:val="00E6389B"/>
    <w:rsid w:val="00E973C3"/>
    <w:rsid w:val="00ED2839"/>
    <w:rsid w:val="00EE4109"/>
    <w:rsid w:val="00F50009"/>
    <w:rsid w:val="00FC1917"/>
    <w:rsid w:val="00FD260C"/>
    <w:rsid w:val="00FF5D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00D7B0"/>
  <w15:docId w15:val="{A03ADBA1-4BA8-924F-8770-E227E2BF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 w:right="18" w:hanging="1"/>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16" w:line="259" w:lineRule="auto"/>
      <w:ind w:left="37" w:hanging="10"/>
      <w:outlineLvl w:val="0"/>
    </w:pPr>
    <w:rPr>
      <w:rFonts w:ascii="Calibri" w:eastAsia="Calibri" w:hAnsi="Calibri" w:cs="Calibri"/>
      <w:b/>
      <w:color w:val="000000"/>
      <w:sz w:val="34"/>
    </w:rPr>
  </w:style>
  <w:style w:type="paragraph" w:styleId="Heading4">
    <w:name w:val="heading 4"/>
    <w:basedOn w:val="Normal"/>
    <w:next w:val="Normal"/>
    <w:link w:val="Heading4Char"/>
    <w:uiPriority w:val="9"/>
    <w:semiHidden/>
    <w:unhideWhenUsed/>
    <w:qFormat/>
    <w:rsid w:val="00C52F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4"/>
    </w:rPr>
  </w:style>
  <w:style w:type="paragraph" w:styleId="Bibliography">
    <w:name w:val="Bibliography"/>
    <w:basedOn w:val="Normal"/>
    <w:next w:val="Normal"/>
    <w:uiPriority w:val="37"/>
    <w:unhideWhenUsed/>
    <w:rsid w:val="00FD260C"/>
    <w:pPr>
      <w:spacing w:after="0" w:line="480" w:lineRule="auto"/>
      <w:ind w:left="720" w:hanging="720"/>
    </w:pPr>
  </w:style>
  <w:style w:type="character" w:customStyle="1" w:styleId="Heading4Char">
    <w:name w:val="Heading 4 Char"/>
    <w:basedOn w:val="DefaultParagraphFont"/>
    <w:link w:val="Heading4"/>
    <w:uiPriority w:val="9"/>
    <w:semiHidden/>
    <w:rsid w:val="00C52F5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52F56"/>
    <w:rPr>
      <w:b/>
      <w:bCs/>
    </w:rPr>
  </w:style>
  <w:style w:type="paragraph" w:styleId="NormalWeb">
    <w:name w:val="Normal (Web)"/>
    <w:basedOn w:val="Normal"/>
    <w:uiPriority w:val="99"/>
    <w:semiHidden/>
    <w:unhideWhenUsed/>
    <w:rsid w:val="00C52F56"/>
    <w:pPr>
      <w:spacing w:before="100" w:beforeAutospacing="1" w:after="100" w:afterAutospacing="1" w:line="240" w:lineRule="auto"/>
      <w:ind w:left="0" w:right="0" w:firstLine="0"/>
      <w:jc w:val="left"/>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8783">
      <w:bodyDiv w:val="1"/>
      <w:marLeft w:val="0"/>
      <w:marRight w:val="0"/>
      <w:marTop w:val="0"/>
      <w:marBottom w:val="0"/>
      <w:divBdr>
        <w:top w:val="none" w:sz="0" w:space="0" w:color="auto"/>
        <w:left w:val="none" w:sz="0" w:space="0" w:color="auto"/>
        <w:bottom w:val="none" w:sz="0" w:space="0" w:color="auto"/>
        <w:right w:val="none" w:sz="0" w:space="0" w:color="auto"/>
      </w:divBdr>
      <w:divsChild>
        <w:div w:id="2104060520">
          <w:marLeft w:val="0"/>
          <w:marRight w:val="0"/>
          <w:marTop w:val="0"/>
          <w:marBottom w:val="0"/>
          <w:divBdr>
            <w:top w:val="none" w:sz="0" w:space="0" w:color="auto"/>
            <w:left w:val="none" w:sz="0" w:space="0" w:color="auto"/>
            <w:bottom w:val="none" w:sz="0" w:space="0" w:color="auto"/>
            <w:right w:val="none" w:sz="0" w:space="0" w:color="auto"/>
          </w:divBdr>
        </w:div>
        <w:div w:id="10796701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ALFORD</dc:creator>
  <cp:keywords/>
  <cp:lastModifiedBy>MICHAEL ALFORD</cp:lastModifiedBy>
  <cp:revision>69</cp:revision>
  <cp:lastPrinted>2023-05-13T04:41:00Z</cp:lastPrinted>
  <dcterms:created xsi:type="dcterms:W3CDTF">2023-05-10T05:30:00Z</dcterms:created>
  <dcterms:modified xsi:type="dcterms:W3CDTF">2023-06-04T13:29:00Z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id="176EZwH2"/&gt;&lt;style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