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A5C5F" w14:textId="77777777" w:rsidR="00C27718" w:rsidRDefault="00C27718" w:rsidP="00C27718">
      <w:pPr>
        <w:jc w:val="center"/>
        <w:rPr>
          <w:rFonts w:ascii="Times New Roman" w:hAnsi="Times New Roman" w:cs="Times New Roman"/>
          <w:b/>
          <w:bCs/>
          <w:sz w:val="24"/>
          <w:szCs w:val="24"/>
        </w:rPr>
      </w:pPr>
    </w:p>
    <w:p w14:paraId="73855AAC" w14:textId="77777777" w:rsidR="00C27718" w:rsidRDefault="00C27718" w:rsidP="00C27718">
      <w:pPr>
        <w:jc w:val="center"/>
        <w:rPr>
          <w:rFonts w:ascii="Times New Roman" w:hAnsi="Times New Roman" w:cs="Times New Roman"/>
          <w:b/>
          <w:bCs/>
          <w:sz w:val="24"/>
          <w:szCs w:val="24"/>
        </w:rPr>
      </w:pPr>
    </w:p>
    <w:p w14:paraId="057F186E" w14:textId="77777777" w:rsidR="00C27718" w:rsidRDefault="00C27718" w:rsidP="00C27718">
      <w:pPr>
        <w:jc w:val="center"/>
        <w:rPr>
          <w:rFonts w:ascii="Times New Roman" w:hAnsi="Times New Roman" w:cs="Times New Roman"/>
          <w:b/>
          <w:bCs/>
          <w:sz w:val="24"/>
          <w:szCs w:val="24"/>
        </w:rPr>
      </w:pPr>
    </w:p>
    <w:p w14:paraId="5997C9D0" w14:textId="77777777" w:rsidR="00C27718" w:rsidRDefault="00C27718" w:rsidP="00C27718">
      <w:pPr>
        <w:jc w:val="center"/>
        <w:rPr>
          <w:rFonts w:ascii="Times New Roman" w:hAnsi="Times New Roman" w:cs="Times New Roman"/>
          <w:b/>
          <w:bCs/>
          <w:sz w:val="24"/>
          <w:szCs w:val="24"/>
        </w:rPr>
      </w:pPr>
    </w:p>
    <w:p w14:paraId="620ADBD9" w14:textId="77777777" w:rsidR="00C27718" w:rsidRDefault="00C27718" w:rsidP="00C27718">
      <w:pPr>
        <w:jc w:val="center"/>
        <w:rPr>
          <w:rFonts w:ascii="Times New Roman" w:hAnsi="Times New Roman" w:cs="Times New Roman"/>
          <w:b/>
          <w:bCs/>
          <w:sz w:val="24"/>
          <w:szCs w:val="24"/>
        </w:rPr>
      </w:pPr>
    </w:p>
    <w:p w14:paraId="19A272F8" w14:textId="77777777" w:rsidR="00C27718" w:rsidRDefault="00C27718" w:rsidP="00C27718">
      <w:pPr>
        <w:jc w:val="center"/>
        <w:rPr>
          <w:rFonts w:ascii="Times New Roman" w:hAnsi="Times New Roman" w:cs="Times New Roman"/>
          <w:b/>
          <w:bCs/>
          <w:sz w:val="24"/>
          <w:szCs w:val="24"/>
        </w:rPr>
      </w:pPr>
    </w:p>
    <w:p w14:paraId="0297DD20" w14:textId="77777777" w:rsidR="00C27718" w:rsidRDefault="00C27718" w:rsidP="00C27718">
      <w:pPr>
        <w:jc w:val="center"/>
        <w:rPr>
          <w:rFonts w:ascii="Times New Roman" w:hAnsi="Times New Roman" w:cs="Times New Roman"/>
          <w:b/>
          <w:bCs/>
          <w:sz w:val="24"/>
          <w:szCs w:val="24"/>
        </w:rPr>
      </w:pPr>
    </w:p>
    <w:p w14:paraId="1332A48E" w14:textId="77777777" w:rsidR="00C27718" w:rsidRDefault="00C27718" w:rsidP="00C27718">
      <w:pPr>
        <w:jc w:val="center"/>
        <w:rPr>
          <w:rFonts w:ascii="Times New Roman" w:hAnsi="Times New Roman" w:cs="Times New Roman"/>
          <w:b/>
          <w:bCs/>
          <w:sz w:val="24"/>
          <w:szCs w:val="24"/>
        </w:rPr>
      </w:pPr>
    </w:p>
    <w:p w14:paraId="5412C3E3" w14:textId="77777777" w:rsidR="00C27718" w:rsidRDefault="00C27718" w:rsidP="00C27718">
      <w:pPr>
        <w:jc w:val="center"/>
        <w:rPr>
          <w:rFonts w:ascii="Times New Roman" w:hAnsi="Times New Roman" w:cs="Times New Roman"/>
          <w:b/>
          <w:bCs/>
          <w:sz w:val="24"/>
          <w:szCs w:val="24"/>
        </w:rPr>
      </w:pPr>
    </w:p>
    <w:p w14:paraId="4CB38141" w14:textId="77777777" w:rsidR="00C27718" w:rsidRDefault="00C27718" w:rsidP="00C27718">
      <w:pPr>
        <w:jc w:val="center"/>
        <w:rPr>
          <w:rFonts w:ascii="Times New Roman" w:hAnsi="Times New Roman" w:cs="Times New Roman"/>
          <w:b/>
          <w:bCs/>
          <w:sz w:val="24"/>
          <w:szCs w:val="24"/>
        </w:rPr>
      </w:pPr>
    </w:p>
    <w:p w14:paraId="4AA55AEA" w14:textId="77777777" w:rsidR="00C27718" w:rsidRDefault="00C27718" w:rsidP="00C27718">
      <w:pPr>
        <w:jc w:val="center"/>
        <w:rPr>
          <w:rFonts w:ascii="Times New Roman" w:hAnsi="Times New Roman" w:cs="Times New Roman"/>
          <w:b/>
          <w:bCs/>
          <w:sz w:val="24"/>
          <w:szCs w:val="24"/>
        </w:rPr>
      </w:pPr>
    </w:p>
    <w:p w14:paraId="70D89CFF" w14:textId="77777777" w:rsidR="00C27718" w:rsidRDefault="00C27718" w:rsidP="00C27718">
      <w:pPr>
        <w:jc w:val="center"/>
        <w:rPr>
          <w:rFonts w:ascii="Times New Roman" w:hAnsi="Times New Roman" w:cs="Times New Roman"/>
          <w:b/>
          <w:bCs/>
          <w:sz w:val="24"/>
          <w:szCs w:val="24"/>
        </w:rPr>
      </w:pPr>
    </w:p>
    <w:p w14:paraId="2869D8F2" w14:textId="449DB293" w:rsidR="00C27718" w:rsidRPr="00C27718" w:rsidRDefault="00C27718" w:rsidP="00C27718">
      <w:pPr>
        <w:jc w:val="center"/>
        <w:rPr>
          <w:rFonts w:ascii="Times New Roman" w:hAnsi="Times New Roman" w:cs="Times New Roman"/>
          <w:b/>
          <w:bCs/>
          <w:sz w:val="24"/>
          <w:szCs w:val="24"/>
        </w:rPr>
      </w:pPr>
      <w:r w:rsidRPr="00C27718">
        <w:rPr>
          <w:rFonts w:ascii="Times New Roman" w:hAnsi="Times New Roman" w:cs="Times New Roman"/>
          <w:b/>
          <w:bCs/>
          <w:sz w:val="24"/>
          <w:szCs w:val="24"/>
        </w:rPr>
        <w:t>Assignment 4: Exploring Instruction-Level Parallelism</w:t>
      </w:r>
    </w:p>
    <w:p w14:paraId="7FB48018" w14:textId="77777777" w:rsidR="00C27718" w:rsidRPr="00C27718" w:rsidRDefault="00C27718" w:rsidP="00C27718">
      <w:pPr>
        <w:jc w:val="center"/>
        <w:rPr>
          <w:rFonts w:ascii="Times New Roman" w:hAnsi="Times New Roman" w:cs="Times New Roman"/>
          <w:b/>
          <w:bCs/>
          <w:sz w:val="24"/>
          <w:szCs w:val="24"/>
        </w:rPr>
      </w:pPr>
      <w:r w:rsidRPr="00C27718">
        <w:rPr>
          <w:rFonts w:ascii="Times New Roman" w:hAnsi="Times New Roman" w:cs="Times New Roman"/>
          <w:b/>
          <w:bCs/>
          <w:sz w:val="24"/>
          <w:szCs w:val="24"/>
        </w:rPr>
        <w:t>Subject: Computer Architecture and Design</w:t>
      </w:r>
    </w:p>
    <w:p w14:paraId="4AA32429" w14:textId="77777777" w:rsidR="00C27718" w:rsidRPr="00C27718" w:rsidRDefault="00C27718" w:rsidP="00C27718">
      <w:pPr>
        <w:jc w:val="center"/>
        <w:rPr>
          <w:rFonts w:ascii="Times New Roman" w:hAnsi="Times New Roman" w:cs="Times New Roman"/>
          <w:b/>
          <w:bCs/>
          <w:sz w:val="24"/>
          <w:szCs w:val="24"/>
        </w:rPr>
      </w:pPr>
      <w:r w:rsidRPr="00C27718">
        <w:rPr>
          <w:rFonts w:ascii="Times New Roman" w:hAnsi="Times New Roman" w:cs="Times New Roman"/>
          <w:b/>
          <w:bCs/>
          <w:sz w:val="24"/>
          <w:szCs w:val="24"/>
        </w:rPr>
        <w:t>Name: Sai Sravani Pillarisetty</w:t>
      </w:r>
    </w:p>
    <w:p w14:paraId="6FAF1414" w14:textId="77777777" w:rsidR="00C27718" w:rsidRPr="00C27718" w:rsidRDefault="00C27718" w:rsidP="00C27718">
      <w:pPr>
        <w:jc w:val="center"/>
        <w:rPr>
          <w:rFonts w:ascii="Times New Roman" w:hAnsi="Times New Roman" w:cs="Times New Roman"/>
          <w:b/>
          <w:bCs/>
          <w:sz w:val="24"/>
          <w:szCs w:val="24"/>
        </w:rPr>
      </w:pPr>
      <w:r w:rsidRPr="00C27718">
        <w:rPr>
          <w:rFonts w:ascii="Times New Roman" w:hAnsi="Times New Roman" w:cs="Times New Roman"/>
          <w:b/>
          <w:bCs/>
          <w:sz w:val="24"/>
          <w:szCs w:val="24"/>
        </w:rPr>
        <w:t>University Name: University of the Cumberlands</w:t>
      </w:r>
    </w:p>
    <w:p w14:paraId="2AA245A4" w14:textId="77777777" w:rsidR="00C27718" w:rsidRPr="00C27718" w:rsidRDefault="00C27718" w:rsidP="00C27718">
      <w:pPr>
        <w:jc w:val="center"/>
        <w:rPr>
          <w:rFonts w:ascii="Times New Roman" w:hAnsi="Times New Roman" w:cs="Times New Roman"/>
          <w:b/>
          <w:bCs/>
          <w:sz w:val="24"/>
          <w:szCs w:val="24"/>
        </w:rPr>
      </w:pPr>
      <w:r w:rsidRPr="00C27718">
        <w:rPr>
          <w:rFonts w:ascii="Times New Roman" w:hAnsi="Times New Roman" w:cs="Times New Roman"/>
          <w:b/>
          <w:bCs/>
          <w:sz w:val="24"/>
          <w:szCs w:val="24"/>
        </w:rPr>
        <w:t>Professor Name: Sean Perryman</w:t>
      </w:r>
    </w:p>
    <w:p w14:paraId="0468DC28" w14:textId="2E568084" w:rsidR="00C27718" w:rsidRDefault="00C27718" w:rsidP="00C27718">
      <w:pPr>
        <w:jc w:val="center"/>
        <w:rPr>
          <w:rFonts w:ascii="Times New Roman" w:hAnsi="Times New Roman" w:cs="Times New Roman"/>
          <w:b/>
          <w:bCs/>
          <w:sz w:val="24"/>
          <w:szCs w:val="24"/>
        </w:rPr>
      </w:pPr>
      <w:r w:rsidRPr="00C27718">
        <w:rPr>
          <w:rFonts w:ascii="Times New Roman" w:hAnsi="Times New Roman" w:cs="Times New Roman"/>
          <w:b/>
          <w:bCs/>
          <w:sz w:val="24"/>
          <w:szCs w:val="24"/>
        </w:rPr>
        <w:t>Date: 03/01/2026</w:t>
      </w:r>
    </w:p>
    <w:p w14:paraId="7F18AEB6" w14:textId="77777777" w:rsidR="00C27718" w:rsidRDefault="00C27718" w:rsidP="00C27718">
      <w:pPr>
        <w:jc w:val="center"/>
        <w:rPr>
          <w:rFonts w:ascii="Times New Roman" w:hAnsi="Times New Roman" w:cs="Times New Roman"/>
          <w:b/>
          <w:bCs/>
          <w:sz w:val="24"/>
          <w:szCs w:val="24"/>
        </w:rPr>
      </w:pPr>
    </w:p>
    <w:p w14:paraId="4911BACF" w14:textId="77777777" w:rsidR="00C27718" w:rsidRDefault="00C27718" w:rsidP="00C27718">
      <w:pPr>
        <w:jc w:val="center"/>
        <w:rPr>
          <w:rFonts w:ascii="Times New Roman" w:hAnsi="Times New Roman" w:cs="Times New Roman"/>
          <w:b/>
          <w:bCs/>
          <w:sz w:val="24"/>
          <w:szCs w:val="24"/>
        </w:rPr>
      </w:pPr>
    </w:p>
    <w:p w14:paraId="36B770EE" w14:textId="77777777" w:rsidR="00C27718" w:rsidRDefault="00C27718" w:rsidP="00C27718">
      <w:pPr>
        <w:jc w:val="center"/>
        <w:rPr>
          <w:rFonts w:ascii="Times New Roman" w:hAnsi="Times New Roman" w:cs="Times New Roman"/>
          <w:b/>
          <w:bCs/>
          <w:sz w:val="24"/>
          <w:szCs w:val="24"/>
        </w:rPr>
      </w:pPr>
    </w:p>
    <w:p w14:paraId="1FE82399" w14:textId="77777777" w:rsidR="00C27718" w:rsidRDefault="00C27718" w:rsidP="00C27718">
      <w:pPr>
        <w:jc w:val="center"/>
        <w:rPr>
          <w:rFonts w:ascii="Times New Roman" w:hAnsi="Times New Roman" w:cs="Times New Roman"/>
          <w:b/>
          <w:bCs/>
          <w:sz w:val="24"/>
          <w:szCs w:val="24"/>
        </w:rPr>
      </w:pPr>
    </w:p>
    <w:p w14:paraId="51E650BC" w14:textId="77777777" w:rsidR="00C27718" w:rsidRDefault="00C27718" w:rsidP="00C27718">
      <w:pPr>
        <w:jc w:val="center"/>
        <w:rPr>
          <w:rFonts w:ascii="Times New Roman" w:hAnsi="Times New Roman" w:cs="Times New Roman"/>
          <w:b/>
          <w:bCs/>
          <w:sz w:val="24"/>
          <w:szCs w:val="24"/>
        </w:rPr>
      </w:pPr>
    </w:p>
    <w:p w14:paraId="17A2444D" w14:textId="77777777" w:rsidR="00C27718" w:rsidRDefault="00C27718" w:rsidP="00C27718">
      <w:pPr>
        <w:jc w:val="center"/>
        <w:rPr>
          <w:rFonts w:ascii="Times New Roman" w:hAnsi="Times New Roman" w:cs="Times New Roman"/>
          <w:b/>
          <w:bCs/>
          <w:sz w:val="24"/>
          <w:szCs w:val="24"/>
        </w:rPr>
      </w:pPr>
    </w:p>
    <w:p w14:paraId="2616721A" w14:textId="77777777" w:rsidR="00C27718" w:rsidRDefault="00C27718" w:rsidP="00C27718">
      <w:pPr>
        <w:jc w:val="center"/>
        <w:rPr>
          <w:rFonts w:ascii="Times New Roman" w:hAnsi="Times New Roman" w:cs="Times New Roman"/>
          <w:b/>
          <w:bCs/>
          <w:sz w:val="24"/>
          <w:szCs w:val="24"/>
        </w:rPr>
      </w:pPr>
    </w:p>
    <w:p w14:paraId="71488A1B" w14:textId="77777777" w:rsidR="00C27718" w:rsidRDefault="00C27718" w:rsidP="00C27718">
      <w:pPr>
        <w:jc w:val="center"/>
        <w:rPr>
          <w:rFonts w:ascii="Times New Roman" w:hAnsi="Times New Roman" w:cs="Times New Roman"/>
          <w:b/>
          <w:bCs/>
          <w:sz w:val="24"/>
          <w:szCs w:val="24"/>
        </w:rPr>
      </w:pPr>
    </w:p>
    <w:p w14:paraId="6DD17B5A" w14:textId="77777777" w:rsidR="00C27718" w:rsidRDefault="00C27718" w:rsidP="00C27718">
      <w:pPr>
        <w:jc w:val="center"/>
        <w:rPr>
          <w:rFonts w:ascii="Times New Roman" w:hAnsi="Times New Roman" w:cs="Times New Roman"/>
          <w:b/>
          <w:bCs/>
          <w:sz w:val="24"/>
          <w:szCs w:val="24"/>
        </w:rPr>
      </w:pPr>
    </w:p>
    <w:p w14:paraId="0631A2E4" w14:textId="77777777" w:rsidR="00C27718" w:rsidRDefault="00C27718" w:rsidP="00C27718">
      <w:pPr>
        <w:jc w:val="center"/>
        <w:rPr>
          <w:rFonts w:ascii="Times New Roman" w:hAnsi="Times New Roman" w:cs="Times New Roman"/>
          <w:b/>
          <w:bCs/>
          <w:sz w:val="24"/>
          <w:szCs w:val="24"/>
        </w:rPr>
      </w:pPr>
    </w:p>
    <w:p w14:paraId="51CA614E" w14:textId="77777777" w:rsidR="00C27718" w:rsidRDefault="00C27718" w:rsidP="00C27718">
      <w:pPr>
        <w:jc w:val="center"/>
        <w:rPr>
          <w:rFonts w:ascii="Times New Roman" w:hAnsi="Times New Roman" w:cs="Times New Roman"/>
          <w:b/>
          <w:bCs/>
          <w:sz w:val="24"/>
          <w:szCs w:val="24"/>
        </w:rPr>
      </w:pPr>
    </w:p>
    <w:p w14:paraId="1AB19BDB" w14:textId="77777777" w:rsidR="00C27718" w:rsidRDefault="00C27718" w:rsidP="00C27718">
      <w:pPr>
        <w:jc w:val="center"/>
        <w:rPr>
          <w:rFonts w:ascii="Times New Roman" w:hAnsi="Times New Roman" w:cs="Times New Roman"/>
          <w:b/>
          <w:bCs/>
          <w:sz w:val="24"/>
          <w:szCs w:val="24"/>
        </w:rPr>
      </w:pPr>
    </w:p>
    <w:p w14:paraId="20F26223" w14:textId="77777777" w:rsidR="00C27718" w:rsidRPr="00DD72AF" w:rsidRDefault="00C27718" w:rsidP="00C27718">
      <w:pPr>
        <w:rPr>
          <w:rFonts w:ascii="Times New Roman" w:hAnsi="Times New Roman" w:cs="Times New Roman"/>
          <w:b/>
          <w:bCs/>
          <w:sz w:val="24"/>
          <w:szCs w:val="24"/>
        </w:rPr>
      </w:pPr>
      <w:bookmarkStart w:id="0" w:name="_Hlk223268280"/>
      <w:r>
        <w:rPr>
          <w:rFonts w:ascii="Times New Roman" w:hAnsi="Times New Roman" w:cs="Times New Roman"/>
          <w:b/>
          <w:bCs/>
          <w:sz w:val="24"/>
          <w:szCs w:val="24"/>
        </w:rPr>
        <w:lastRenderedPageBreak/>
        <w:t>PART 1</w:t>
      </w:r>
    </w:p>
    <w:p w14:paraId="0DABA05A" w14:textId="77777777" w:rsidR="00C27718" w:rsidRPr="00DD72AF" w:rsidRDefault="00C27718" w:rsidP="00C27718">
      <w:pPr>
        <w:rPr>
          <w:rFonts w:ascii="Times New Roman" w:hAnsi="Times New Roman" w:cs="Times New Roman"/>
          <w:b/>
          <w:bCs/>
          <w:sz w:val="24"/>
          <w:szCs w:val="24"/>
        </w:rPr>
      </w:pPr>
      <w:r w:rsidRPr="00DD72AF">
        <w:rPr>
          <w:rFonts w:ascii="Times New Roman" w:hAnsi="Times New Roman" w:cs="Times New Roman"/>
          <w:b/>
          <w:bCs/>
          <w:sz w:val="24"/>
          <w:szCs w:val="24"/>
        </w:rPr>
        <w:t>Introduction (What ILP Is and Why It Matters)</w:t>
      </w:r>
    </w:p>
    <w:p w14:paraId="0C3342B0" w14:textId="77777777" w:rsidR="00C27718" w:rsidRPr="00DD72AF" w:rsidRDefault="00C27718" w:rsidP="00C27718">
      <w:pPr>
        <w:rPr>
          <w:rFonts w:ascii="Times New Roman" w:hAnsi="Times New Roman" w:cs="Times New Roman"/>
          <w:sz w:val="24"/>
          <w:szCs w:val="24"/>
        </w:rPr>
      </w:pPr>
      <w:r w:rsidRPr="00DD72AF">
        <w:rPr>
          <w:rFonts w:ascii="Times New Roman" w:hAnsi="Times New Roman" w:cs="Times New Roman"/>
          <w:sz w:val="24"/>
          <w:szCs w:val="24"/>
        </w:rPr>
        <w:t>The capacity of a processor to carry out several distinct instructions concurrently within a single thread is known as instruction-level parallelism, or ILP. Since frequency scaling and core-count scaling have reached a plateau, modern high-performance processors mostly rely on ILP to boost single-thread performance.</w:t>
      </w:r>
    </w:p>
    <w:p w14:paraId="259210F0" w14:textId="77777777" w:rsidR="00C27718" w:rsidRDefault="00C27718" w:rsidP="00C27718">
      <w:pPr>
        <w:rPr>
          <w:rFonts w:ascii="Times New Roman" w:hAnsi="Times New Roman" w:cs="Times New Roman"/>
          <w:sz w:val="24"/>
          <w:szCs w:val="24"/>
        </w:rPr>
      </w:pPr>
      <w:r w:rsidRPr="00DD72AF">
        <w:rPr>
          <w:rFonts w:ascii="Times New Roman" w:hAnsi="Times New Roman" w:cs="Times New Roman"/>
          <w:sz w:val="24"/>
          <w:szCs w:val="24"/>
        </w:rPr>
        <w:t>According to recent studies that examine dynamic dependency graphs (DDGs) of general-purpose workloads, the upper bound on ILP is remarkably near to the IPC capabilities of the most advanced processors available today. This implies that there may soon be fundamental architectural restrictions to the continuous reliance on ILP scalability. ILP is still essential for improving performance in modern CPU designs, despite this.</w:t>
      </w:r>
    </w:p>
    <w:p w14:paraId="6FA08719" w14:textId="77777777" w:rsidR="00C27718" w:rsidRPr="00DD72AF" w:rsidRDefault="00C27718" w:rsidP="00C27718">
      <w:pPr>
        <w:rPr>
          <w:rFonts w:ascii="Times New Roman" w:hAnsi="Times New Roman" w:cs="Times New Roman"/>
          <w:b/>
          <w:bCs/>
          <w:sz w:val="24"/>
          <w:szCs w:val="24"/>
        </w:rPr>
      </w:pPr>
      <w:r w:rsidRPr="00DD72AF">
        <w:rPr>
          <w:rFonts w:ascii="Times New Roman" w:hAnsi="Times New Roman" w:cs="Times New Roman"/>
          <w:b/>
          <w:bCs/>
          <w:sz w:val="24"/>
          <w:szCs w:val="24"/>
        </w:rPr>
        <w:t>Evolution of ILP (Milestones + Paradigm Shifts)</w:t>
      </w:r>
    </w:p>
    <w:p w14:paraId="7C6BC7F5" w14:textId="77777777" w:rsidR="00C27718" w:rsidRDefault="00C27718" w:rsidP="00C27718">
      <w:pPr>
        <w:rPr>
          <w:rFonts w:ascii="Times New Roman" w:hAnsi="Times New Roman" w:cs="Times New Roman"/>
          <w:b/>
          <w:bCs/>
          <w:sz w:val="24"/>
          <w:szCs w:val="24"/>
        </w:rPr>
      </w:pPr>
      <w:r w:rsidRPr="00DD72AF">
        <w:rPr>
          <w:rFonts w:ascii="Times New Roman" w:hAnsi="Times New Roman" w:cs="Times New Roman"/>
          <w:b/>
          <w:bCs/>
          <w:sz w:val="24"/>
          <w:szCs w:val="24"/>
        </w:rPr>
        <w:t>Pipelining → Superscalar → Out-of-Order → Speculation → SMT → Heterogeneity</w:t>
      </w:r>
    </w:p>
    <w:p w14:paraId="4DE30833" w14:textId="77777777" w:rsidR="00C27718" w:rsidRPr="00DD72AF" w:rsidRDefault="00C27718" w:rsidP="00C27718">
      <w:pPr>
        <w:rPr>
          <w:rFonts w:ascii="Times New Roman" w:hAnsi="Times New Roman" w:cs="Times New Roman"/>
          <w:sz w:val="24"/>
          <w:szCs w:val="24"/>
        </w:rPr>
      </w:pPr>
      <w:r w:rsidRPr="00DD72AF">
        <w:rPr>
          <w:rFonts w:ascii="Times New Roman" w:hAnsi="Times New Roman" w:cs="Times New Roman"/>
          <w:sz w:val="24"/>
          <w:szCs w:val="24"/>
        </w:rPr>
        <w:t>ILP's development over time displays growing architectural sophistication.</w:t>
      </w:r>
    </w:p>
    <w:p w14:paraId="19BE72A8" w14:textId="77777777" w:rsidR="00C27718" w:rsidRDefault="00C27718" w:rsidP="00C27718">
      <w:pPr>
        <w:rPr>
          <w:rFonts w:ascii="Times New Roman" w:hAnsi="Times New Roman" w:cs="Times New Roman"/>
          <w:b/>
          <w:bCs/>
          <w:sz w:val="24"/>
          <w:szCs w:val="24"/>
        </w:rPr>
      </w:pPr>
      <w:r w:rsidRPr="00DD72AF">
        <w:rPr>
          <w:rFonts w:ascii="Times New Roman" w:hAnsi="Times New Roman" w:cs="Times New Roman"/>
          <w:b/>
          <w:bCs/>
          <w:sz w:val="24"/>
          <w:szCs w:val="24"/>
        </w:rPr>
        <w:t>Superscalar Execution</w:t>
      </w:r>
    </w:p>
    <w:p w14:paraId="3A41609D" w14:textId="77777777" w:rsidR="00C27718" w:rsidRPr="00DD72AF" w:rsidRDefault="00C27718" w:rsidP="00C27718">
      <w:pPr>
        <w:rPr>
          <w:rFonts w:ascii="Times New Roman" w:hAnsi="Times New Roman" w:cs="Times New Roman"/>
          <w:sz w:val="24"/>
          <w:szCs w:val="24"/>
        </w:rPr>
      </w:pPr>
      <w:r w:rsidRPr="00DD72AF">
        <w:rPr>
          <w:rFonts w:ascii="Times New Roman" w:hAnsi="Times New Roman" w:cs="Times New Roman"/>
          <w:sz w:val="24"/>
          <w:szCs w:val="24"/>
        </w:rPr>
        <w:t>In order to enable the issuance of several instructions each cycle, superscalar processors expanded the issue width. Processors used to withstand about four instructions per cycle, but since 2015, vendors have improved dynamic scheduling and widened pipelines to steadily boost sustainable IPC.</w:t>
      </w:r>
    </w:p>
    <w:p w14:paraId="792428BE" w14:textId="77777777" w:rsidR="00C27718" w:rsidRPr="00DD72AF" w:rsidRDefault="00C27718" w:rsidP="00C27718">
      <w:pPr>
        <w:rPr>
          <w:rFonts w:ascii="Times New Roman" w:hAnsi="Times New Roman" w:cs="Times New Roman"/>
          <w:b/>
          <w:bCs/>
          <w:sz w:val="24"/>
          <w:szCs w:val="24"/>
        </w:rPr>
      </w:pPr>
      <w:r w:rsidRPr="00DD72AF">
        <w:rPr>
          <w:rFonts w:ascii="Times New Roman" w:hAnsi="Times New Roman" w:cs="Times New Roman"/>
          <w:b/>
          <w:bCs/>
          <w:sz w:val="24"/>
          <w:szCs w:val="24"/>
        </w:rPr>
        <w:t>Out-of-Order Execution</w:t>
      </w:r>
    </w:p>
    <w:p w14:paraId="7B3C0CB0" w14:textId="77777777" w:rsidR="00C27718" w:rsidRDefault="00C27718" w:rsidP="00C27718">
      <w:pPr>
        <w:rPr>
          <w:rFonts w:ascii="Times New Roman" w:hAnsi="Times New Roman" w:cs="Times New Roman"/>
          <w:sz w:val="24"/>
          <w:szCs w:val="24"/>
        </w:rPr>
      </w:pPr>
      <w:r w:rsidRPr="00DD72AF">
        <w:rPr>
          <w:rFonts w:ascii="Times New Roman" w:hAnsi="Times New Roman" w:cs="Times New Roman"/>
          <w:sz w:val="24"/>
          <w:szCs w:val="24"/>
        </w:rPr>
        <w:t>Instead of rigidly adhering to program order, out-of-order (OoO) execution allowed instructions to run as soon as their operands were ready. In order to maintain high ILP while controlling complexity and conflict, effective issue queue design became essential.</w:t>
      </w:r>
    </w:p>
    <w:p w14:paraId="49BFABF4" w14:textId="77777777" w:rsidR="00C27718" w:rsidRDefault="00C27718" w:rsidP="00C27718">
      <w:pPr>
        <w:rPr>
          <w:rFonts w:ascii="Times New Roman" w:hAnsi="Times New Roman" w:cs="Times New Roman"/>
          <w:b/>
          <w:bCs/>
          <w:sz w:val="24"/>
          <w:szCs w:val="24"/>
        </w:rPr>
      </w:pPr>
      <w:r w:rsidRPr="00DD72AF">
        <w:rPr>
          <w:rFonts w:ascii="Times New Roman" w:hAnsi="Times New Roman" w:cs="Times New Roman"/>
          <w:b/>
          <w:bCs/>
          <w:sz w:val="24"/>
          <w:szCs w:val="24"/>
        </w:rPr>
        <w:t>Register Renaming and ISA-Level Innovation</w:t>
      </w:r>
    </w:p>
    <w:p w14:paraId="59349EC2" w14:textId="77777777" w:rsidR="00C27718" w:rsidRDefault="00C27718" w:rsidP="00C27718">
      <w:pPr>
        <w:rPr>
          <w:rFonts w:ascii="Times New Roman" w:hAnsi="Times New Roman" w:cs="Times New Roman"/>
          <w:sz w:val="24"/>
          <w:szCs w:val="24"/>
        </w:rPr>
      </w:pPr>
      <w:r w:rsidRPr="00DD72AF">
        <w:rPr>
          <w:rFonts w:ascii="Times New Roman" w:hAnsi="Times New Roman" w:cs="Times New Roman"/>
          <w:sz w:val="24"/>
          <w:szCs w:val="24"/>
        </w:rPr>
        <w:t>In order to get rid of misleading dependencies, traditional OoO systems rely on hardware register renaming. By rewriting ISA semantics, the Clockhands proposal presents a rename-free instruction set architecture that does away with traditional rename reasoning. This maintains the advantages of OoO execution while lowering hardware complexity and verification expense.</w:t>
      </w:r>
    </w:p>
    <w:p w14:paraId="52BB60A0" w14:textId="77777777" w:rsidR="00C27718" w:rsidRDefault="00C27718" w:rsidP="00C27718">
      <w:pPr>
        <w:rPr>
          <w:rFonts w:ascii="Times New Roman" w:hAnsi="Times New Roman" w:cs="Times New Roman"/>
          <w:b/>
          <w:bCs/>
          <w:sz w:val="24"/>
          <w:szCs w:val="24"/>
        </w:rPr>
      </w:pPr>
      <w:r w:rsidRPr="00DD72AF">
        <w:rPr>
          <w:rFonts w:ascii="Times New Roman" w:hAnsi="Times New Roman" w:cs="Times New Roman"/>
          <w:b/>
          <w:bCs/>
          <w:sz w:val="24"/>
          <w:szCs w:val="24"/>
        </w:rPr>
        <w:t>Speculation</w:t>
      </w:r>
    </w:p>
    <w:p w14:paraId="7976C665" w14:textId="77777777" w:rsidR="00C27718" w:rsidRDefault="00C27718" w:rsidP="00C27718">
      <w:pPr>
        <w:rPr>
          <w:rFonts w:ascii="Times New Roman" w:hAnsi="Times New Roman" w:cs="Times New Roman"/>
          <w:sz w:val="24"/>
          <w:szCs w:val="24"/>
        </w:rPr>
      </w:pPr>
      <w:r w:rsidRPr="00DD72AF">
        <w:rPr>
          <w:rFonts w:ascii="Times New Roman" w:hAnsi="Times New Roman" w:cs="Times New Roman"/>
          <w:sz w:val="24"/>
          <w:szCs w:val="24"/>
        </w:rPr>
        <w:t>Speculative execution techniques—such as branch prediction, memory-dependence prediction, and value prediction—allow processors to break dependency chains temporarily. Dependency graph analysis shows that perfect branch prediction and infinite window scaling can significantly increase theoretical ILP. However, practical predictor accuracy limits the achievable performance gains.</w:t>
      </w:r>
    </w:p>
    <w:p w14:paraId="5CA5FC96" w14:textId="77777777" w:rsidR="00C27718" w:rsidRDefault="00C27718" w:rsidP="00C27718">
      <w:pPr>
        <w:rPr>
          <w:rFonts w:ascii="Times New Roman" w:hAnsi="Times New Roman" w:cs="Times New Roman"/>
          <w:b/>
          <w:bCs/>
          <w:sz w:val="24"/>
          <w:szCs w:val="24"/>
        </w:rPr>
      </w:pPr>
      <w:r w:rsidRPr="00DD72AF">
        <w:rPr>
          <w:rFonts w:ascii="Times New Roman" w:hAnsi="Times New Roman" w:cs="Times New Roman"/>
          <w:b/>
          <w:bCs/>
          <w:sz w:val="24"/>
          <w:szCs w:val="24"/>
        </w:rPr>
        <w:t>Simultaneous Multithreading (SMT)</w:t>
      </w:r>
    </w:p>
    <w:p w14:paraId="66D7F5E9" w14:textId="77777777" w:rsidR="00C27718" w:rsidRDefault="00C27718" w:rsidP="00C27718">
      <w:pPr>
        <w:rPr>
          <w:rFonts w:ascii="Times New Roman" w:hAnsi="Times New Roman" w:cs="Times New Roman"/>
          <w:sz w:val="24"/>
          <w:szCs w:val="24"/>
        </w:rPr>
      </w:pPr>
      <w:r w:rsidRPr="00DD72AF">
        <w:rPr>
          <w:rFonts w:ascii="Times New Roman" w:hAnsi="Times New Roman" w:cs="Times New Roman"/>
          <w:sz w:val="24"/>
          <w:szCs w:val="24"/>
        </w:rPr>
        <w:t xml:space="preserve">SMT exploits thread-level parallelism to improve core resource utilization. However, resource sharing introduces intra-core interference. Research on SMT scheduling for ARM </w:t>
      </w:r>
      <w:r w:rsidRPr="00DD72AF">
        <w:rPr>
          <w:rFonts w:ascii="Times New Roman" w:hAnsi="Times New Roman" w:cs="Times New Roman"/>
          <w:sz w:val="24"/>
          <w:szCs w:val="24"/>
        </w:rPr>
        <w:lastRenderedPageBreak/>
        <w:t>processors demonstrates that intelligent pairing of synergistic threads can reduce turnaround time by up to 55% in mixed workloads compared to default scheduling.</w:t>
      </w:r>
    </w:p>
    <w:p w14:paraId="0601C94F" w14:textId="77777777" w:rsidR="00C27718" w:rsidRDefault="00C27718" w:rsidP="00C27718">
      <w:pPr>
        <w:rPr>
          <w:rFonts w:ascii="Times New Roman" w:hAnsi="Times New Roman" w:cs="Times New Roman"/>
          <w:b/>
          <w:bCs/>
          <w:sz w:val="24"/>
          <w:szCs w:val="24"/>
        </w:rPr>
      </w:pPr>
      <w:r w:rsidRPr="00C55B37">
        <w:rPr>
          <w:rFonts w:ascii="Times New Roman" w:hAnsi="Times New Roman" w:cs="Times New Roman"/>
          <w:b/>
          <w:bCs/>
          <w:sz w:val="24"/>
          <w:szCs w:val="24"/>
        </w:rPr>
        <w:t>Heterogeneity</w:t>
      </w:r>
    </w:p>
    <w:p w14:paraId="0D949120" w14:textId="77777777" w:rsidR="00C27718"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Architectural evolution is progressively taking into account specialist accelerators and heterogeneous cores to augment general-purpose OoO cores when ILP scaling slows.</w:t>
      </w:r>
    </w:p>
    <w:p w14:paraId="17903FA9" w14:textId="77777777" w:rsidR="00C27718" w:rsidRPr="00C55B37" w:rsidRDefault="00C27718" w:rsidP="00C27718">
      <w:pPr>
        <w:rPr>
          <w:rFonts w:ascii="Times New Roman" w:hAnsi="Times New Roman" w:cs="Times New Roman"/>
          <w:b/>
          <w:bCs/>
          <w:sz w:val="24"/>
          <w:szCs w:val="24"/>
        </w:rPr>
      </w:pPr>
      <w:r w:rsidRPr="00C55B37">
        <w:rPr>
          <w:rFonts w:ascii="Times New Roman" w:hAnsi="Times New Roman" w:cs="Times New Roman"/>
          <w:b/>
          <w:bCs/>
          <w:sz w:val="24"/>
          <w:szCs w:val="24"/>
        </w:rPr>
        <w:t>Core ILP Concepts</w:t>
      </w:r>
    </w:p>
    <w:p w14:paraId="13E6F15E" w14:textId="77777777" w:rsidR="00C27718" w:rsidRDefault="00C27718" w:rsidP="00C27718">
      <w:pPr>
        <w:rPr>
          <w:rFonts w:ascii="Times New Roman" w:hAnsi="Times New Roman" w:cs="Times New Roman"/>
          <w:b/>
          <w:bCs/>
          <w:sz w:val="24"/>
          <w:szCs w:val="24"/>
        </w:rPr>
      </w:pPr>
      <w:r w:rsidRPr="00C55B37">
        <w:rPr>
          <w:rFonts w:ascii="Times New Roman" w:hAnsi="Times New Roman" w:cs="Times New Roman"/>
          <w:b/>
          <w:bCs/>
          <w:sz w:val="24"/>
          <w:szCs w:val="24"/>
        </w:rPr>
        <w:t>Parallelism detection/exploitation</w:t>
      </w:r>
    </w:p>
    <w:p w14:paraId="1DC654C1" w14:textId="77777777" w:rsidR="00C27718" w:rsidRPr="00C55B37"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Dynamic dependency graphs are used to calculate ILP, which is calculated by dividing the total number of dynamic instructions by the longest dependency path (Chadwick et al., 2025).</w:t>
      </w:r>
    </w:p>
    <w:p w14:paraId="5CAE2D07" w14:textId="77777777" w:rsidR="00C27718" w:rsidRPr="00C55B37"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Processors take advantage of ILP by:</w:t>
      </w:r>
    </w:p>
    <w:p w14:paraId="2102593C" w14:textId="77777777" w:rsidR="00C27718" w:rsidRPr="00C55B37"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Large issue pipelines</w:t>
      </w:r>
    </w:p>
    <w:p w14:paraId="722617A7" w14:textId="77777777" w:rsidR="00C27718" w:rsidRPr="00C55B37"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Renaming a register</w:t>
      </w:r>
    </w:p>
    <w:p w14:paraId="3A665F19" w14:textId="77777777" w:rsidR="00C27718" w:rsidRPr="00C55B37"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Scheduling that is dynamic (issue queues)</w:t>
      </w:r>
    </w:p>
    <w:p w14:paraId="045B1E9F" w14:textId="0E4C0341" w:rsidR="00C27718" w:rsidRPr="00C55B37" w:rsidRDefault="00DA16E8" w:rsidP="00C27718">
      <w:pPr>
        <w:rPr>
          <w:rFonts w:ascii="Times New Roman" w:hAnsi="Times New Roman" w:cs="Times New Roman"/>
          <w:sz w:val="24"/>
          <w:szCs w:val="24"/>
        </w:rPr>
      </w:pPr>
      <w:r>
        <w:rPr>
          <w:rFonts w:ascii="Times New Roman" w:hAnsi="Times New Roman" w:cs="Times New Roman"/>
          <w:sz w:val="24"/>
          <w:szCs w:val="24"/>
        </w:rPr>
        <w:t>Speculation</w:t>
      </w:r>
    </w:p>
    <w:p w14:paraId="36B279C0" w14:textId="77777777" w:rsidR="00C27718"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Sharing of SMT resources</w:t>
      </w:r>
    </w:p>
    <w:p w14:paraId="77F5993B" w14:textId="1B1E6C79" w:rsidR="00C27718" w:rsidRPr="00C55B37" w:rsidRDefault="00C27718" w:rsidP="00C27718">
      <w:pPr>
        <w:rPr>
          <w:rFonts w:ascii="Times New Roman" w:hAnsi="Times New Roman" w:cs="Times New Roman"/>
          <w:b/>
          <w:bCs/>
          <w:sz w:val="24"/>
          <w:szCs w:val="24"/>
        </w:rPr>
      </w:pPr>
      <w:r w:rsidRPr="00C55B37">
        <w:rPr>
          <w:rFonts w:ascii="Times New Roman" w:hAnsi="Times New Roman" w:cs="Times New Roman"/>
          <w:b/>
          <w:bCs/>
          <w:sz w:val="24"/>
          <w:szCs w:val="24"/>
        </w:rPr>
        <w:t xml:space="preserve">Limitations: data deps, </w:t>
      </w:r>
      <w:r w:rsidR="003202B2">
        <w:rPr>
          <w:rFonts w:ascii="Times New Roman" w:hAnsi="Times New Roman" w:cs="Times New Roman"/>
          <w:b/>
          <w:bCs/>
          <w:sz w:val="24"/>
          <w:szCs w:val="24"/>
        </w:rPr>
        <w:t>s</w:t>
      </w:r>
      <w:r w:rsidRPr="00C55B37">
        <w:rPr>
          <w:rFonts w:ascii="Times New Roman" w:hAnsi="Times New Roman" w:cs="Times New Roman"/>
          <w:b/>
          <w:bCs/>
          <w:sz w:val="24"/>
          <w:szCs w:val="24"/>
        </w:rPr>
        <w:t>control deps, resource limits</w:t>
      </w:r>
    </w:p>
    <w:p w14:paraId="24046E83" w14:textId="77777777" w:rsidR="00C27718" w:rsidRPr="00C55B37"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Data dependencies create unavoidable serialization.</w:t>
      </w:r>
    </w:p>
    <w:p w14:paraId="591057A7" w14:textId="77777777" w:rsidR="00C27718" w:rsidRPr="00C55B37"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Control dependencies reduce effective window utilization when branch predictions fail.</w:t>
      </w:r>
    </w:p>
    <w:p w14:paraId="62FF871E" w14:textId="77777777" w:rsidR="00C27718" w:rsidRPr="00C55B37"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Resource limits (ROB size, issue queue entries, cache bandwidth) constrain parallel execution.</w:t>
      </w:r>
    </w:p>
    <w:p w14:paraId="7FEF87D9" w14:textId="77777777" w:rsidR="00C27718"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Rename logic and wakeup/select circuitry increase complexity and energy cost (Jeong et al., 2022; Koizumi et al., 2023).</w:t>
      </w:r>
    </w:p>
    <w:p w14:paraId="233B9D00" w14:textId="77777777" w:rsidR="00C27718" w:rsidRPr="00C55B37" w:rsidRDefault="00C27718" w:rsidP="00C27718">
      <w:pPr>
        <w:rPr>
          <w:rFonts w:ascii="Times New Roman" w:hAnsi="Times New Roman" w:cs="Times New Roman"/>
          <w:b/>
          <w:bCs/>
          <w:sz w:val="24"/>
          <w:szCs w:val="24"/>
        </w:rPr>
      </w:pPr>
      <w:r w:rsidRPr="00C55B37">
        <w:rPr>
          <w:rFonts w:ascii="Times New Roman" w:hAnsi="Times New Roman" w:cs="Times New Roman"/>
          <w:b/>
          <w:bCs/>
          <w:sz w:val="24"/>
          <w:szCs w:val="24"/>
        </w:rPr>
        <w:t>Metrics: throughput, latency, power; tradeoffs</w:t>
      </w:r>
    </w:p>
    <w:p w14:paraId="4102C491" w14:textId="77777777" w:rsidR="00C27718" w:rsidRPr="00C55B37" w:rsidRDefault="00C27718" w:rsidP="00C27718">
      <w:pPr>
        <w:rPr>
          <w:rFonts w:ascii="Times New Roman" w:hAnsi="Times New Roman" w:cs="Times New Roman"/>
          <w:b/>
          <w:bCs/>
          <w:sz w:val="24"/>
          <w:szCs w:val="24"/>
        </w:rPr>
      </w:pPr>
      <w:r w:rsidRPr="00C55B37">
        <w:rPr>
          <w:rFonts w:ascii="Times New Roman" w:hAnsi="Times New Roman" w:cs="Times New Roman"/>
          <w:b/>
          <w:bCs/>
          <w:sz w:val="24"/>
          <w:szCs w:val="24"/>
        </w:rPr>
        <w:t>Across the selected papers, evaluation metrics include:</w:t>
      </w:r>
    </w:p>
    <w:p w14:paraId="223BD807" w14:textId="77777777" w:rsidR="00C27718" w:rsidRPr="00C55B37"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IPC (Instructions per Cycle)</w:t>
      </w:r>
    </w:p>
    <w:p w14:paraId="6CDB46DA" w14:textId="77777777" w:rsidR="00C27718" w:rsidRPr="00C55B37"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Turnaround Time (TT)</w:t>
      </w:r>
    </w:p>
    <w:p w14:paraId="333A0FE2" w14:textId="77777777" w:rsidR="00C27718" w:rsidRPr="00C55B37"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Throughput</w:t>
      </w:r>
    </w:p>
    <w:p w14:paraId="55802026" w14:textId="77777777" w:rsidR="00C27718" w:rsidRPr="00C55B37"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Fairness</w:t>
      </w:r>
    </w:p>
    <w:p w14:paraId="2F5E43D9" w14:textId="77777777" w:rsidR="00C27718" w:rsidRPr="00C55B37"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Energy efficiency</w:t>
      </w:r>
    </w:p>
    <w:p w14:paraId="4E5DA0D7" w14:textId="77777777" w:rsidR="00C27718" w:rsidRPr="00C55B37"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Stall breakdown (frontend vs backend)</w:t>
      </w:r>
    </w:p>
    <w:p w14:paraId="78F03D1B" w14:textId="77777777" w:rsidR="00C27718" w:rsidRPr="00C55B37" w:rsidRDefault="00C27718" w:rsidP="00C27718">
      <w:pPr>
        <w:rPr>
          <w:rFonts w:ascii="Times New Roman" w:hAnsi="Times New Roman" w:cs="Times New Roman"/>
          <w:b/>
          <w:bCs/>
          <w:sz w:val="24"/>
          <w:szCs w:val="24"/>
        </w:rPr>
      </w:pPr>
      <w:r w:rsidRPr="00C55B37">
        <w:rPr>
          <w:rFonts w:ascii="Times New Roman" w:hAnsi="Times New Roman" w:cs="Times New Roman"/>
          <w:b/>
          <w:bCs/>
          <w:sz w:val="24"/>
          <w:szCs w:val="24"/>
        </w:rPr>
        <w:t>Tradeoffs include:</w:t>
      </w:r>
    </w:p>
    <w:p w14:paraId="33652F51" w14:textId="77777777" w:rsidR="00C27718" w:rsidRPr="00C55B37"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Wider issue vs diminishing IPC returns (Chadwick et al., 2025)</w:t>
      </w:r>
    </w:p>
    <w:p w14:paraId="4BD50FAA" w14:textId="77777777" w:rsidR="00C27718" w:rsidRPr="00C55B37" w:rsidRDefault="00C27718" w:rsidP="00C27718">
      <w:pPr>
        <w:rPr>
          <w:rFonts w:ascii="Times New Roman" w:hAnsi="Times New Roman" w:cs="Times New Roman"/>
          <w:sz w:val="24"/>
          <w:szCs w:val="24"/>
        </w:rPr>
      </w:pPr>
      <w:r w:rsidRPr="00C55B37">
        <w:rPr>
          <w:rFonts w:ascii="Times New Roman" w:hAnsi="Times New Roman" w:cs="Times New Roman"/>
          <w:sz w:val="24"/>
          <w:szCs w:val="24"/>
        </w:rPr>
        <w:lastRenderedPageBreak/>
        <w:t>Rename hardware complexity vs ISA redesign (Koizumi et al., 2023)</w:t>
      </w:r>
    </w:p>
    <w:p w14:paraId="47C6D369" w14:textId="77777777" w:rsidR="00C27718" w:rsidRPr="00C55B37"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Scheduling flexibility vs energy efficiency (Jeong et al., 2022)</w:t>
      </w:r>
    </w:p>
    <w:p w14:paraId="31A93724" w14:textId="77777777" w:rsidR="00C27718"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SMT utilization vs interference (Navarro et al., 2024)</w:t>
      </w:r>
    </w:p>
    <w:p w14:paraId="43B52B4E" w14:textId="77777777" w:rsidR="00C27718" w:rsidRPr="00C55B37" w:rsidRDefault="00C27718" w:rsidP="00C27718">
      <w:pPr>
        <w:rPr>
          <w:rFonts w:ascii="Times New Roman" w:hAnsi="Times New Roman" w:cs="Times New Roman"/>
          <w:b/>
          <w:bCs/>
          <w:sz w:val="24"/>
          <w:szCs w:val="24"/>
        </w:rPr>
      </w:pPr>
      <w:r w:rsidRPr="00C55B37">
        <w:rPr>
          <w:rFonts w:ascii="Times New Roman" w:hAnsi="Times New Roman" w:cs="Times New Roman"/>
          <w:b/>
          <w:bCs/>
          <w:sz w:val="24"/>
          <w:szCs w:val="24"/>
        </w:rPr>
        <w:t>Contemporary Challenges</w:t>
      </w:r>
    </w:p>
    <w:p w14:paraId="184B3744" w14:textId="77777777" w:rsidR="00C27718" w:rsidRDefault="00C27718" w:rsidP="00C27718">
      <w:pPr>
        <w:rPr>
          <w:rFonts w:ascii="Times New Roman" w:hAnsi="Times New Roman" w:cs="Times New Roman"/>
          <w:b/>
          <w:bCs/>
          <w:sz w:val="24"/>
          <w:szCs w:val="24"/>
        </w:rPr>
      </w:pPr>
      <w:r w:rsidRPr="00C55B37">
        <w:rPr>
          <w:rFonts w:ascii="Times New Roman" w:hAnsi="Times New Roman" w:cs="Times New Roman"/>
          <w:b/>
          <w:bCs/>
          <w:sz w:val="24"/>
          <w:szCs w:val="24"/>
        </w:rPr>
        <w:t>Complexity, diminishing returns, power/thermal limits</w:t>
      </w:r>
    </w:p>
    <w:p w14:paraId="1893DCB5" w14:textId="77777777" w:rsidR="00C27718" w:rsidRPr="00C55B37"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Beyond certain thresholds, Chadwick et al. (2025) show that increasing window size and issue width results in diminishing ILP advantages. Significant execution time is still present in low-parallelism zones, even with incredibly big windows.</w:t>
      </w:r>
    </w:p>
    <w:p w14:paraId="7B86DDA6" w14:textId="77777777" w:rsidR="00C27718" w:rsidRPr="00C55B37"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Wakeup/select logic is an example of an out-of-order scheduling scheme that scales badly in terms of hardware complexity and energy consumption (Jeong et al., 2022). Additionally, wider rename logic raises front-end scalability challenges and power consumption (Koizumi et al., 2023).</w:t>
      </w:r>
    </w:p>
    <w:p w14:paraId="7FF21798" w14:textId="77777777" w:rsidR="00C27718"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Wide-issue designs and aggressive window enlargement are further restricted by power and thermal limitations.</w:t>
      </w:r>
    </w:p>
    <w:p w14:paraId="058030D0" w14:textId="77777777" w:rsidR="00C27718" w:rsidRDefault="00C27718" w:rsidP="00C27718">
      <w:pPr>
        <w:rPr>
          <w:rFonts w:ascii="Times New Roman" w:hAnsi="Times New Roman" w:cs="Times New Roman"/>
          <w:b/>
          <w:bCs/>
          <w:sz w:val="24"/>
          <w:szCs w:val="24"/>
        </w:rPr>
      </w:pPr>
      <w:r w:rsidRPr="00C55B37">
        <w:rPr>
          <w:rFonts w:ascii="Times New Roman" w:hAnsi="Times New Roman" w:cs="Times New Roman"/>
          <w:b/>
          <w:bCs/>
          <w:sz w:val="24"/>
          <w:szCs w:val="24"/>
        </w:rPr>
        <w:t>Verification/design cost, security implications of speculation</w:t>
      </w:r>
    </w:p>
    <w:p w14:paraId="21DD4227" w14:textId="77777777" w:rsidR="00C27718" w:rsidRPr="00C55B37"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Verification complexity is further increased by rename logic and dynamic scheduling. By minimizing renaming hardware, Clockhands specifically addresses this issue (Koizumi et al., 2023).</w:t>
      </w:r>
    </w:p>
    <w:p w14:paraId="403F9A8D" w14:textId="77777777" w:rsidR="00C27718" w:rsidRDefault="00C27718" w:rsidP="00C27718">
      <w:pPr>
        <w:rPr>
          <w:rFonts w:ascii="Times New Roman" w:hAnsi="Times New Roman" w:cs="Times New Roman"/>
          <w:sz w:val="24"/>
          <w:szCs w:val="24"/>
        </w:rPr>
      </w:pPr>
      <w:r w:rsidRPr="00C55B37">
        <w:rPr>
          <w:rFonts w:ascii="Times New Roman" w:hAnsi="Times New Roman" w:cs="Times New Roman"/>
          <w:sz w:val="24"/>
          <w:szCs w:val="24"/>
        </w:rPr>
        <w:t>Speculative execution increases architectural complexity and the expense of design verification by including recovery structures and rollback procedures. Speculation enhances ILP, but it must be carefully controlled to strike a balance between implementation overhead and performance (Chadwick et al., 2025).</w:t>
      </w:r>
    </w:p>
    <w:p w14:paraId="6318D888" w14:textId="77777777" w:rsidR="00C27718" w:rsidRPr="00C55B37" w:rsidRDefault="00C27718" w:rsidP="00C27718">
      <w:pPr>
        <w:rPr>
          <w:rFonts w:ascii="Times New Roman" w:hAnsi="Times New Roman" w:cs="Times New Roman"/>
          <w:b/>
          <w:bCs/>
          <w:sz w:val="24"/>
          <w:szCs w:val="24"/>
        </w:rPr>
      </w:pPr>
      <w:r w:rsidRPr="00C55B37">
        <w:rPr>
          <w:rFonts w:ascii="Times New Roman" w:hAnsi="Times New Roman" w:cs="Times New Roman"/>
          <w:b/>
          <w:bCs/>
          <w:sz w:val="24"/>
          <w:szCs w:val="24"/>
        </w:rPr>
        <w:t xml:space="preserve">How researchers address challenges </w:t>
      </w:r>
    </w:p>
    <w:p w14:paraId="4B37B3EB" w14:textId="77777777" w:rsidR="00C27718" w:rsidRDefault="00C27718" w:rsidP="00C27718">
      <w:pPr>
        <w:rPr>
          <w:rFonts w:ascii="Times New Roman" w:hAnsi="Times New Roman" w:cs="Times New Roman"/>
          <w:b/>
          <w:bCs/>
          <w:sz w:val="24"/>
          <w:szCs w:val="24"/>
        </w:rPr>
      </w:pPr>
      <w:r w:rsidRPr="00C55B37">
        <w:rPr>
          <w:rFonts w:ascii="Times New Roman" w:hAnsi="Times New Roman" w:cs="Times New Roman"/>
          <w:b/>
          <w:bCs/>
          <w:sz w:val="24"/>
          <w:szCs w:val="24"/>
        </w:rPr>
        <w:t>Paper 1: The Future of Instruction-Level Parallelism (Chadwick et al., 2025)</w:t>
      </w:r>
    </w:p>
    <w:p w14:paraId="32FE2865"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Problem</w:t>
      </w:r>
    </w:p>
    <w:p w14:paraId="5B60855A"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Traditional width and window scaling may exceed inherent program ILP.</w:t>
      </w:r>
    </w:p>
    <w:p w14:paraId="20E8C5A8"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Method</w:t>
      </w:r>
    </w:p>
    <w:p w14:paraId="1CF39074"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Dynamic dependency graph modeling under multiple scenarios (finite window, infinite window, oracle branch prediction).</w:t>
      </w:r>
    </w:p>
    <w:p w14:paraId="46F9847D"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Tradeoffs</w:t>
      </w:r>
    </w:p>
    <w:p w14:paraId="6D5C7AC9"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Extreme scaling yields theoretical gains but high hardware cost with diminishing practical benefit.</w:t>
      </w:r>
    </w:p>
    <w:p w14:paraId="0FDF66E3"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Evidence</w:t>
      </w:r>
    </w:p>
    <w:p w14:paraId="087ABB4E"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SPEC CPU 2017 analysis shows realistic configurations nearing inherent ILP limits.</w:t>
      </w:r>
    </w:p>
    <w:p w14:paraId="67705296"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Critique</w:t>
      </w:r>
    </w:p>
    <w:p w14:paraId="5B1D279F" w14:textId="77777777" w:rsidR="00C27718" w:rsidRDefault="00C27718" w:rsidP="00C27718">
      <w:pPr>
        <w:rPr>
          <w:rFonts w:ascii="Times New Roman" w:hAnsi="Times New Roman" w:cs="Times New Roman"/>
          <w:sz w:val="24"/>
          <w:szCs w:val="24"/>
        </w:rPr>
      </w:pPr>
      <w:r w:rsidRPr="00A418FA">
        <w:rPr>
          <w:rFonts w:ascii="Times New Roman" w:hAnsi="Times New Roman" w:cs="Times New Roman"/>
          <w:sz w:val="24"/>
          <w:szCs w:val="24"/>
        </w:rPr>
        <w:lastRenderedPageBreak/>
        <w:t>Provides strong modeling insight but does not implement a concrete hardware solution.</w:t>
      </w:r>
    </w:p>
    <w:p w14:paraId="0885E485"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Paper 2: Clockhands (Koizumi et al., 2023)</w:t>
      </w:r>
    </w:p>
    <w:p w14:paraId="139C690F"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Problem</w:t>
      </w:r>
    </w:p>
    <w:p w14:paraId="72771467"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Register renaming limits scalability and increases power consumption.</w:t>
      </w:r>
    </w:p>
    <w:p w14:paraId="5D5696D9"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Method</w:t>
      </w:r>
    </w:p>
    <w:p w14:paraId="5DE5DE2B"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Rename-free ISA using grouped registers (“hands”).</w:t>
      </w:r>
    </w:p>
    <w:p w14:paraId="56890192"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Tradeoffs</w:t>
      </w:r>
    </w:p>
    <w:p w14:paraId="610E11BB"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Reduces hardware complexity but requires ISA and compiler changes.</w:t>
      </w:r>
    </w:p>
    <w:p w14:paraId="73CB2F03"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Evidence</w:t>
      </w:r>
    </w:p>
    <w:p w14:paraId="54D77E80"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7.4% energy reduction at 8-fetch width; 24.4% at 16-fetch width with comparable performance.</w:t>
      </w:r>
    </w:p>
    <w:p w14:paraId="6A1CCA71"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Critique</w:t>
      </w:r>
    </w:p>
    <w:p w14:paraId="6D8F3800" w14:textId="77777777" w:rsidR="00C27718"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Adoption requires ecosystem changes; evaluated via simulation and FPGA.</w:t>
      </w:r>
    </w:p>
    <w:p w14:paraId="2A6447DF"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Paper 3: Reconstructing Out-of-Order Issue Queue (Jeong et al., 2022)</w:t>
      </w:r>
    </w:p>
    <w:p w14:paraId="6425F0D4"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Problem</w:t>
      </w:r>
    </w:p>
    <w:p w14:paraId="1E94E569"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Wakeup/select logic in OoO issue queues consumes high energy.</w:t>
      </w:r>
    </w:p>
    <w:p w14:paraId="5131B24D"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Method</w:t>
      </w:r>
    </w:p>
    <w:p w14:paraId="7A9226E9"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Ballerino architecture combining cascaded and clustered in-order issue queues.</w:t>
      </w:r>
    </w:p>
    <w:p w14:paraId="53EBAAE9"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Tradeoffs</w:t>
      </w:r>
    </w:p>
    <w:p w14:paraId="130886A3"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Balances performance with energy efficiency; structural redesign increases design complexity.</w:t>
      </w:r>
    </w:p>
    <w:p w14:paraId="4921D476"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Evidence</w:t>
      </w:r>
    </w:p>
    <w:p w14:paraId="31E08404"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Performance comparable to 8-wide OoO core; ~20% core-wide energy efficiency improvement.</w:t>
      </w:r>
    </w:p>
    <w:p w14:paraId="0D355C6E"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Critique</w:t>
      </w:r>
    </w:p>
    <w:p w14:paraId="5327ACAB" w14:textId="77777777" w:rsidR="00C27718"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Focuses on IQ domain; broader pipeline integration costs not deeply explored.</w:t>
      </w:r>
    </w:p>
    <w:p w14:paraId="34180B9E"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Paper 4: SYNPA (Navarro et al., 2024)</w:t>
      </w:r>
    </w:p>
    <w:p w14:paraId="19826AAB"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Problem</w:t>
      </w:r>
    </w:p>
    <w:p w14:paraId="3B42D36D"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SMT thread interference degrades performance under default scheduling.</w:t>
      </w:r>
    </w:p>
    <w:p w14:paraId="0DB5C402"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Method</w:t>
      </w:r>
    </w:p>
    <w:p w14:paraId="112D382D" w14:textId="77777777" w:rsidR="00C27718"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Regression-based synergy prediction using dispatch-stage counters.</w:t>
      </w:r>
    </w:p>
    <w:p w14:paraId="0ED0D9B6"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lastRenderedPageBreak/>
        <w:t>Tradeoffs</w:t>
      </w:r>
    </w:p>
    <w:p w14:paraId="7D3CD9E7"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Adds runtime monitoring overhead for improved fairness and throughput.</w:t>
      </w:r>
    </w:p>
    <w:p w14:paraId="22807B5D"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Evidence</w:t>
      </w:r>
    </w:p>
    <w:p w14:paraId="36096FC9"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36% average turnaround time improvement; up to 55% in mixed workloads.</w:t>
      </w:r>
    </w:p>
    <w:p w14:paraId="2312330F"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Critique</w:t>
      </w:r>
    </w:p>
    <w:p w14:paraId="0C3D9367" w14:textId="77777777" w:rsidR="00C27718"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Evaluated on ARM SMT2 and HPC workloads; generalization requires adaptation.</w:t>
      </w:r>
    </w:p>
    <w:p w14:paraId="314C9ECD"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Cross-Paper Synthesis</w:t>
      </w:r>
    </w:p>
    <w:p w14:paraId="6374E3C8" w14:textId="77777777" w:rsidR="00C27718"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Where they agree</w:t>
      </w:r>
    </w:p>
    <w:p w14:paraId="16534A2C" w14:textId="77777777" w:rsidR="00C27718"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Brute-force pipeline widening is insufficient for sustainable ILP growth, as all authors acknowledge. They place a strong emphasis on intelligent management, efficiency, and decreased complexity.</w:t>
      </w:r>
    </w:p>
    <w:p w14:paraId="14513DA6"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Where they differ</w:t>
      </w:r>
    </w:p>
    <w:p w14:paraId="0BB6BD9C"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Chadwick et al. (2025): modeling and limits analysis</w:t>
      </w:r>
    </w:p>
    <w:p w14:paraId="7C94B4E7"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Koizumi et al. (2023): ISA-level redesign</w:t>
      </w:r>
    </w:p>
    <w:p w14:paraId="6FECFAB3"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Jeong et al. (2022): microarchitectural restructuring</w:t>
      </w:r>
    </w:p>
    <w:p w14:paraId="715A9DBC"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Navarro et al. (2024): runtime scheduling optimization</w:t>
      </w:r>
    </w:p>
    <w:p w14:paraId="3C62271D"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Trends that emerge</w:t>
      </w:r>
    </w:p>
    <w:p w14:paraId="1C835A14"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Efficiency-first ILP design</w:t>
      </w:r>
    </w:p>
    <w:p w14:paraId="7623833C"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Reduced hardware complexity</w:t>
      </w:r>
    </w:p>
    <w:p w14:paraId="4B6E8A0F"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Smarter scheduling policies</w:t>
      </w:r>
    </w:p>
    <w:p w14:paraId="6AB345A0" w14:textId="77777777" w:rsidR="00C27718"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Recognition of fundamental ILP ceilings</w:t>
      </w:r>
    </w:p>
    <w:p w14:paraId="7A8305B4" w14:textId="77777777" w:rsidR="00C27718"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 xml:space="preserve">Future Directions </w:t>
      </w:r>
    </w:p>
    <w:p w14:paraId="0F7ED0E4"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ILP scaling in the future will probably include:</w:t>
      </w:r>
    </w:p>
    <w:p w14:paraId="0F20701B"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OoO cores combined with specialized accelerators in heterogeneous architectures</w:t>
      </w:r>
    </w:p>
    <w:p w14:paraId="6A7974E7"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Scheduling and performance modeling using machine learning</w:t>
      </w:r>
    </w:p>
    <w:p w14:paraId="5086AB7E"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Simplifying at the ISA level</w:t>
      </w:r>
    </w:p>
    <w:p w14:paraId="596DD7FD"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Dynamic scheduling that considers energy</w:t>
      </w:r>
    </w:p>
    <w:p w14:paraId="6603EF3B"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Improvements in selective speculation</w:t>
      </w:r>
    </w:p>
    <w:p w14:paraId="3FFDA0F8" w14:textId="77777777" w:rsidR="00C27718"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Future designs will integrate clever resource management and architectural simplification rather than just expanding width.</w:t>
      </w:r>
    </w:p>
    <w:p w14:paraId="00153193" w14:textId="77777777" w:rsidR="00C27718" w:rsidRDefault="00C27718" w:rsidP="00C27718">
      <w:pPr>
        <w:rPr>
          <w:rFonts w:ascii="Times New Roman" w:hAnsi="Times New Roman" w:cs="Times New Roman"/>
          <w:b/>
          <w:bCs/>
          <w:sz w:val="24"/>
          <w:szCs w:val="24"/>
        </w:rPr>
      </w:pPr>
    </w:p>
    <w:p w14:paraId="481B81F5" w14:textId="77777777" w:rsidR="00C27718"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lastRenderedPageBreak/>
        <w:t>Conclusion</w:t>
      </w:r>
    </w:p>
    <w:p w14:paraId="62557EA0" w14:textId="77777777" w:rsidR="00C27718"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Processor performance is still largely dependent on instruction-level parallelism. Modeling, however, reveals intrinsic ILP limitations in actual workloads. Instead than using brute-force pipeline expansion, sustainable performance growth necessitates architectural innovation, less structural complexity, and more intelligent scheduling procedures. Promising avenues for further ILP research include energy-efficient issue queues, rename-free ISA designs, and synergy-aware SMT scheduling.</w:t>
      </w:r>
    </w:p>
    <w:p w14:paraId="04E7B9D0" w14:textId="77777777" w:rsidR="00C27718" w:rsidRPr="00A418FA" w:rsidRDefault="00C27718" w:rsidP="00C27718">
      <w:pPr>
        <w:rPr>
          <w:rFonts w:ascii="Times New Roman" w:hAnsi="Times New Roman" w:cs="Times New Roman"/>
          <w:b/>
          <w:bCs/>
          <w:sz w:val="24"/>
          <w:szCs w:val="24"/>
        </w:rPr>
      </w:pPr>
      <w:r w:rsidRPr="00A418FA">
        <w:rPr>
          <w:rFonts w:ascii="Times New Roman" w:hAnsi="Times New Roman" w:cs="Times New Roman"/>
          <w:b/>
          <w:bCs/>
          <w:sz w:val="24"/>
          <w:szCs w:val="24"/>
        </w:rPr>
        <w:t>References (APA 7)</w:t>
      </w:r>
    </w:p>
    <w:p w14:paraId="48D01370" w14:textId="3DD06F39"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Chadwick, A. W., Erdős, M., Bora, U., Bhosale, A., Lytton, B., Guo, Y., Cooper, R., Gabrielli, G., &amp; Jones, T. M. (2025). The future of instruction-level parallelism (ILP). IEEE International Symposium on Performance Analysis of Systems and Software (ISPASS).</w:t>
      </w:r>
      <w:r>
        <w:rPr>
          <w:rFonts w:ascii="Times New Roman" w:hAnsi="Times New Roman" w:cs="Times New Roman"/>
          <w:sz w:val="24"/>
          <w:szCs w:val="24"/>
        </w:rPr>
        <w:t xml:space="preserve"> </w:t>
      </w:r>
    </w:p>
    <w:p w14:paraId="71869656"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Jeong, I., Lee, J., Yoon, M. K., &amp; Ro, W. W. (2022). Reconstructing out-of-order issue queue. Proceedings of the 55th IEEE/ACM International Symposium on Microarchitecture (MICRO).</w:t>
      </w:r>
    </w:p>
    <w:p w14:paraId="53425B99" w14:textId="77777777" w:rsidR="00C27718" w:rsidRPr="00A418FA"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Koizumi, T., Shioya, R., Sugita, S., Amano, T., Degawa, Y., Kadomoto, J., Irie, H., &amp; Sakai, S. (2023). Clockhands: Rename-free instruction set architecture for out-of-order processors. Proceedings of the 56th IEEE/ACM International Symposium on Microarchitecture (MICRO).</w:t>
      </w:r>
    </w:p>
    <w:p w14:paraId="33C0EE40" w14:textId="77777777" w:rsidR="00C27718" w:rsidRDefault="00C27718" w:rsidP="00C27718">
      <w:pPr>
        <w:rPr>
          <w:rFonts w:ascii="Times New Roman" w:hAnsi="Times New Roman" w:cs="Times New Roman"/>
          <w:sz w:val="24"/>
          <w:szCs w:val="24"/>
        </w:rPr>
      </w:pPr>
      <w:r w:rsidRPr="00A418FA">
        <w:rPr>
          <w:rFonts w:ascii="Times New Roman" w:hAnsi="Times New Roman" w:cs="Times New Roman"/>
          <w:sz w:val="24"/>
          <w:szCs w:val="24"/>
        </w:rPr>
        <w:t>Navarro, M., Feliu, J., Petit, S., Gómez, M. E., &amp; Sahuquillo, J. (2024). SYNPA: SMT performance analysis and allocation of threads to cores in ARM processors. IEEE International Parallel and Distributed Processing Symposium (IPDPS).</w:t>
      </w:r>
    </w:p>
    <w:bookmarkEnd w:id="0"/>
    <w:p w14:paraId="48FB621E" w14:textId="77777777" w:rsidR="00C27718" w:rsidRPr="00C27718" w:rsidRDefault="00C27718" w:rsidP="00C27718">
      <w:pPr>
        <w:rPr>
          <w:rFonts w:ascii="Times New Roman" w:hAnsi="Times New Roman" w:cs="Times New Roman"/>
          <w:b/>
          <w:bCs/>
          <w:sz w:val="24"/>
          <w:szCs w:val="24"/>
        </w:rPr>
      </w:pPr>
    </w:p>
    <w:sectPr w:rsidR="00C27718" w:rsidRPr="00C277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718"/>
    <w:rsid w:val="0000075C"/>
    <w:rsid w:val="003202B2"/>
    <w:rsid w:val="004069C0"/>
    <w:rsid w:val="00604532"/>
    <w:rsid w:val="007B046B"/>
    <w:rsid w:val="00961F0B"/>
    <w:rsid w:val="00C27718"/>
    <w:rsid w:val="00DA1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8D43C"/>
  <w15:chartTrackingRefBased/>
  <w15:docId w15:val="{97DC0F43-6F5E-4F3E-85F4-85930B1B5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7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77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77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77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77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7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7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77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77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77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77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7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718"/>
    <w:rPr>
      <w:rFonts w:eastAsiaTheme="majorEastAsia" w:cstheme="majorBidi"/>
      <w:color w:val="272727" w:themeColor="text1" w:themeTint="D8"/>
    </w:rPr>
  </w:style>
  <w:style w:type="paragraph" w:styleId="Title">
    <w:name w:val="Title"/>
    <w:basedOn w:val="Normal"/>
    <w:next w:val="Normal"/>
    <w:link w:val="TitleChar"/>
    <w:uiPriority w:val="10"/>
    <w:qFormat/>
    <w:rsid w:val="00C27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718"/>
    <w:pPr>
      <w:spacing w:before="160"/>
      <w:jc w:val="center"/>
    </w:pPr>
    <w:rPr>
      <w:i/>
      <w:iCs/>
      <w:color w:val="404040" w:themeColor="text1" w:themeTint="BF"/>
    </w:rPr>
  </w:style>
  <w:style w:type="character" w:customStyle="1" w:styleId="QuoteChar">
    <w:name w:val="Quote Char"/>
    <w:basedOn w:val="DefaultParagraphFont"/>
    <w:link w:val="Quote"/>
    <w:uiPriority w:val="29"/>
    <w:rsid w:val="00C27718"/>
    <w:rPr>
      <w:i/>
      <w:iCs/>
      <w:color w:val="404040" w:themeColor="text1" w:themeTint="BF"/>
    </w:rPr>
  </w:style>
  <w:style w:type="paragraph" w:styleId="ListParagraph">
    <w:name w:val="List Paragraph"/>
    <w:basedOn w:val="Normal"/>
    <w:uiPriority w:val="34"/>
    <w:qFormat/>
    <w:rsid w:val="00C27718"/>
    <w:pPr>
      <w:ind w:left="720"/>
      <w:contextualSpacing/>
    </w:pPr>
  </w:style>
  <w:style w:type="character" w:styleId="IntenseEmphasis">
    <w:name w:val="Intense Emphasis"/>
    <w:basedOn w:val="DefaultParagraphFont"/>
    <w:uiPriority w:val="21"/>
    <w:qFormat/>
    <w:rsid w:val="00C27718"/>
    <w:rPr>
      <w:i/>
      <w:iCs/>
      <w:color w:val="2F5496" w:themeColor="accent1" w:themeShade="BF"/>
    </w:rPr>
  </w:style>
  <w:style w:type="paragraph" w:styleId="IntenseQuote">
    <w:name w:val="Intense Quote"/>
    <w:basedOn w:val="Normal"/>
    <w:next w:val="Normal"/>
    <w:link w:val="IntenseQuoteChar"/>
    <w:uiPriority w:val="30"/>
    <w:qFormat/>
    <w:rsid w:val="00C277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718"/>
    <w:rPr>
      <w:i/>
      <w:iCs/>
      <w:color w:val="2F5496" w:themeColor="accent1" w:themeShade="BF"/>
    </w:rPr>
  </w:style>
  <w:style w:type="character" w:styleId="IntenseReference">
    <w:name w:val="Intense Reference"/>
    <w:basedOn w:val="DefaultParagraphFont"/>
    <w:uiPriority w:val="32"/>
    <w:qFormat/>
    <w:rsid w:val="00C277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1536</Words>
  <Characters>8760</Characters>
  <Application>Microsoft Office Word</Application>
  <DocSecurity>0</DocSecurity>
  <Lines>73</Lines>
  <Paragraphs>20</Paragraphs>
  <ScaleCrop>false</ScaleCrop>
  <Company/>
  <LinksUpToDate>false</LinksUpToDate>
  <CharactersWithSpaces>10276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Sravani Pillarisetty</dc:creator>
  <cp:keywords/>
  <dc:description/>
  <cp:lastModifiedBy>Sai Sravani Pillarisetty</cp:lastModifiedBy>
  <cp:revision>5</cp:revision>
  <dcterms:created xsi:type="dcterms:W3CDTF">2026-03-01T19:34:00Z</dcterms:created>
  <dcterms:modified xsi:type="dcterms:W3CDTF">2026-03-01T19:42:00Z</dcterms:modified>
</cp:coreProperties>
</file>