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wmf" ContentType="image/x-wmf"/>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lang w:val="en-US"/>
        </w:rPr>
      </w:pPr>
      <w:r>
        <w:rPr>
          <w:rFonts w:cs="Times New Roman" w:ascii="Times New Roman" w:hAnsi="Times New Roman"/>
          <w:sz w:val="24"/>
          <w:szCs w:val="24"/>
        </w:rPr>
        <w:t xml:space="preserve">Формат листа А4.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lang w:val="en-US"/>
        </w:rPr>
      </w:pPr>
      <w:r>
        <w:rPr>
          <w:rFonts w:cs="Times New Roman" w:ascii="Times New Roman" w:hAnsi="Times New Roman"/>
          <w:sz w:val="24"/>
          <w:szCs w:val="24"/>
        </w:rPr>
        <w:t xml:space="preserve">Параметры страницы: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lang w:val="en-US"/>
        </w:rPr>
      </w:pPr>
      <w:r>
        <w:rPr>
          <w:rFonts w:cs="Times New Roman" w:ascii="Times New Roman" w:hAnsi="Times New Roman"/>
          <w:sz w:val="24"/>
          <w:szCs w:val="24"/>
        </w:rPr>
        <w:t xml:space="preserve">верхнее поле 25 мм;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нижнее поле 25 мм;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левое поле 25 мм;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правое поле 25 мм.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Кегль заголовка – 12 пт (жирный).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Кегль текста – 12 пт.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Межстрочное расстояние – множитель 1,2 интервала.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Шрифт Times New Roman.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Отступ 0,75 см.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Расстановка переносов - НЕТ</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Текст доклада выравнивать по ширине. Рисунки, нарисованные в графическом редакторе Word – группируются. Рисунки и таблицы вставляются в текст доклада, нумеруются и подписываются.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cs="Times New Roman"/>
          <w:sz w:val="24"/>
          <w:szCs w:val="24"/>
        </w:rPr>
      </w:pPr>
      <w:r>
        <w:rPr>
          <w:rFonts w:cs="Times New Roman" w:ascii="Times New Roman" w:hAnsi="Times New Roman"/>
          <w:sz w:val="24"/>
          <w:szCs w:val="24"/>
        </w:rPr>
        <w:t xml:space="preserve">Основной шрифт в математическом редакторе – Times New Roman.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Настройки размеров математического редактора формул: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обычный – 12 pt;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крупный индекс – 8 pt;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мелкий индекс – 6 pt;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крупный символ – 18 pt; </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 xml:space="preserve">мелкий символ – 10 pt.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Список использованных источников по ГОСТ 7.1-2003.</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Расстановка переносов - НЕТ</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b/>
          <w:sz w:val="32"/>
          <w:szCs w:val="32"/>
          <w:lang w:eastAsia="ru-RU"/>
        </w:rPr>
      </w:pPr>
      <w:r>
        <w:rPr>
          <w:rFonts w:eastAsia="Times New Roman" w:cs="Times New Roman" w:ascii="Times New Roman" w:hAnsi="Times New Roman"/>
          <w:b/>
          <w:sz w:val="32"/>
          <w:szCs w:val="32"/>
          <w:lang w:eastAsia="ru-RU"/>
        </w:rPr>
        <w:t>Не используйте автоматическую нумерацию строк.</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b/>
          <w:sz w:val="32"/>
          <w:szCs w:val="32"/>
          <w:lang w:eastAsia="ru-RU"/>
        </w:rPr>
      </w:pPr>
      <w:r>
        <w:rPr>
          <w:rFonts w:eastAsia="Times New Roman" w:cs="Times New Roman" w:ascii="Times New Roman" w:hAnsi="Times New Roman"/>
          <w:b/>
          <w:sz w:val="32"/>
          <w:szCs w:val="32"/>
          <w:lang w:eastAsia="ru-RU"/>
        </w:rPr>
        <w:t>Не используйте нумерацию страниц.</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b/>
          <w:i/>
          <w:i/>
          <w:sz w:val="32"/>
          <w:szCs w:val="32"/>
          <w:lang w:eastAsia="ru-RU"/>
        </w:rPr>
      </w:pPr>
      <w:r>
        <w:rPr>
          <w:rFonts w:eastAsia="Times New Roman" w:cs="Times New Roman" w:ascii="Times New Roman" w:hAnsi="Times New Roman"/>
          <w:b/>
          <w:i/>
          <w:sz w:val="32"/>
          <w:szCs w:val="32"/>
          <w:lang w:eastAsia="ru-RU"/>
        </w:rPr>
        <w:t>Пример оформления на следующей странице</w:t>
      </w:r>
      <w:r>
        <w:br w:type="page"/>
      </w:r>
    </w:p>
    <w:p>
      <w:pPr>
        <w:pStyle w:val="Normal"/>
        <w:numPr>
          <w:ilvl w:val="0"/>
          <w:numId w:val="0"/>
        </w:numPr>
        <w:spacing w:lineRule="auto" w:line="288" w:before="0" w:after="0"/>
        <w:ind w:firstLine="425" w:end="0"/>
        <w:contextualSpacing/>
        <w:outlineLvl w:val="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УДК значение классификатора</w:t>
      </w:r>
    </w:p>
    <w:p>
      <w:pPr>
        <w:pStyle w:val="Normal"/>
        <w:tabs>
          <w:tab w:val="clear" w:pos="708"/>
          <w:tab w:val="left" w:pos="851" w:leader="none"/>
          <w:tab w:val="left" w:pos="1134" w:leader="none"/>
        </w:tabs>
        <w:spacing w:lineRule="auto" w:line="288" w:before="0" w:after="0"/>
        <w:ind w:firstLine="425" w:end="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851" w:leader="none"/>
        </w:tabs>
        <w:spacing w:lineRule="auto" w:line="288" w:before="0" w:after="0"/>
        <w:ind w:firstLine="425" w:end="0"/>
        <w:jc w:val="end"/>
        <w:rPr>
          <w:rFonts w:ascii="Times New Roman" w:hAnsi="Times New Roman" w:eastAsia="Times New Roman" w:cs="Times New Roman"/>
          <w:b/>
          <w:sz w:val="24"/>
          <w:szCs w:val="24"/>
        </w:rPr>
      </w:pPr>
      <w:r>
        <w:rPr>
          <w:rFonts w:eastAsia="Times New Roman" w:cs="Times New Roman" w:ascii="Times New Roman" w:hAnsi="Times New Roman"/>
          <w:b/>
          <w:sz w:val="24"/>
          <w:szCs w:val="24"/>
        </w:rPr>
        <w:t>Иванов А. И.</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Петров И. О.</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Сидоров К.П.</w:t>
      </w:r>
      <w:r>
        <w:rPr>
          <w:rFonts w:eastAsia="Times New Roman" w:cs="Times New Roman" w:ascii="Times New Roman" w:hAnsi="Times New Roman"/>
          <w:b/>
          <w:sz w:val="24"/>
          <w:szCs w:val="24"/>
          <w:vertAlign w:val="superscript"/>
        </w:rPr>
        <w:t xml:space="preserve"> 2</w:t>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sz w:val="24"/>
          <w:szCs w:val="24"/>
          <w:vertAlign w:val="superscript"/>
        </w:rPr>
        <w:t xml:space="preserve">1 </w:t>
      </w:r>
      <w:r>
        <w:rPr>
          <w:rFonts w:eastAsia="Times New Roman" w:cs="Times New Roman" w:ascii="Times New Roman" w:hAnsi="Times New Roman"/>
          <w:sz w:val="24"/>
          <w:szCs w:val="24"/>
        </w:rPr>
        <w:t>Тамбовский государственный технический университет, Россия, г. Тамбов</w:t>
      </w:r>
    </w:p>
    <w:p>
      <w:pPr>
        <w:pStyle w:val="Normal"/>
        <w:tabs>
          <w:tab w:val="clear" w:pos="708"/>
          <w:tab w:val="left" w:pos="851" w:leader="none"/>
        </w:tabs>
        <w:spacing w:lineRule="auto" w:line="288" w:before="0" w:after="0"/>
        <w:ind w:firstLine="425" w:end="0"/>
        <w:jc w:val="end"/>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e-mail: author1@</w:t>
      </w:r>
      <w:r>
        <w:rPr>
          <w:rFonts w:eastAsia="Times New Roman" w:cs="Times New Roman" w:ascii="Times New Roman" w:hAnsi="Times New Roman"/>
          <w:sz w:val="24"/>
          <w:szCs w:val="24"/>
          <w:lang w:val="en-US" w:eastAsia="ru-RU"/>
        </w:rPr>
        <w:t xml:space="preserve"> yandex</w:t>
      </w:r>
      <w:r>
        <w:rPr>
          <w:rFonts w:eastAsia="Times New Roman" w:cs="Times New Roman" w:ascii="Times New Roman" w:hAnsi="Times New Roman"/>
          <w:sz w:val="24"/>
          <w:szCs w:val="24"/>
          <w:lang w:val="en-US"/>
        </w:rPr>
        <w:t>.ru,</w:t>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sz w:val="24"/>
          <w:szCs w:val="24"/>
          <w:vertAlign w:val="superscript"/>
          <w:lang w:val="en-US"/>
        </w:rPr>
        <w:t xml:space="preserve"> </w:t>
      </w:r>
      <w:r>
        <w:rPr>
          <w:rFonts w:eastAsia="Times New Roman" w:cs="Times New Roman" w:ascii="Times New Roman" w:hAnsi="Times New Roman"/>
          <w:sz w:val="24"/>
          <w:szCs w:val="24"/>
          <w:vertAlign w:val="superscript"/>
        </w:rPr>
        <w:t>2</w:t>
      </w:r>
      <w:r>
        <w:rPr>
          <w:rFonts w:eastAsia="Times New Roman" w:cs="Times New Roman" w:ascii="Times New Roman" w:hAnsi="Times New Roman"/>
          <w:sz w:val="24"/>
          <w:szCs w:val="24"/>
        </w:rPr>
        <w:t xml:space="preserve"> Воронежский государственный технический университет, Россия, г. Воронеж</w:t>
      </w:r>
    </w:p>
    <w:p>
      <w:pPr>
        <w:pStyle w:val="Normal"/>
        <w:tabs>
          <w:tab w:val="clear" w:pos="708"/>
          <w:tab w:val="left" w:pos="851" w:leader="none"/>
        </w:tabs>
        <w:spacing w:lineRule="auto" w:line="288" w:before="0" w:after="0"/>
        <w:ind w:firstLine="425" w:end="0"/>
        <w:jc w:val="end"/>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vertAlign w:val="superscript"/>
        </w:rPr>
        <w:t xml:space="preserve"> </w:t>
      </w:r>
      <w:r>
        <w:rPr>
          <w:rFonts w:eastAsia="Times New Roman" w:cs="Times New Roman" w:ascii="Times New Roman" w:hAnsi="Times New Roman"/>
          <w:sz w:val="24"/>
          <w:szCs w:val="24"/>
          <w:lang w:val="en-US"/>
        </w:rPr>
        <w:t>e-mail: author2@</w:t>
      </w:r>
      <w:r>
        <w:rPr>
          <w:rFonts w:eastAsia="Times New Roman" w:cs="Times New Roman" w:ascii="Times New Roman" w:hAnsi="Times New Roman"/>
          <w:sz w:val="24"/>
          <w:szCs w:val="24"/>
          <w:lang w:val="en-US" w:eastAsia="ru-RU"/>
        </w:rPr>
        <w:t xml:space="preserve"> yandex</w:t>
      </w:r>
      <w:r>
        <w:rPr>
          <w:rFonts w:eastAsia="Times New Roman" w:cs="Times New Roman" w:ascii="Times New Roman" w:hAnsi="Times New Roman"/>
          <w:sz w:val="24"/>
          <w:szCs w:val="24"/>
          <w:lang w:val="en-US"/>
        </w:rPr>
        <w:t>.ru</w:t>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 xml:space="preserve">НАЗВАНИЕ ПУБЛИКАЦИИ </w:t>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t>МОЖЕТ ЗАНИМАТЬ НЕСКОЛЬКО СТРОК</w:t>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4"/>
          <w:szCs w:val="24"/>
          <w:lang w:eastAsia="ru-RU"/>
        </w:rPr>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b/>
          <w:sz w:val="24"/>
          <w:szCs w:val="24"/>
          <w:lang w:val="en-US"/>
        </w:rPr>
        <w:t>Ivanov A. I.</w:t>
      </w:r>
      <w:r>
        <w:rPr>
          <w:rFonts w:eastAsia="Times New Roman" w:cs="Times New Roman" w:ascii="Times New Roman" w:hAnsi="Times New Roman"/>
          <w:b/>
          <w:sz w:val="24"/>
          <w:szCs w:val="24"/>
          <w:vertAlign w:val="superscript"/>
          <w:lang w:val="en-US"/>
        </w:rPr>
        <w:t>1</w:t>
      </w:r>
      <w:r>
        <w:rPr>
          <w:rFonts w:eastAsia="Times New Roman" w:cs="Times New Roman" w:ascii="Times New Roman" w:hAnsi="Times New Roman"/>
          <w:b/>
          <w:sz w:val="24"/>
          <w:szCs w:val="24"/>
          <w:lang w:val="en-US"/>
        </w:rPr>
        <w:t>, Petrov I. O.</w:t>
      </w:r>
      <w:r>
        <w:rPr>
          <w:rFonts w:eastAsia="Times New Roman" w:cs="Times New Roman" w:ascii="Times New Roman" w:hAnsi="Times New Roman"/>
          <w:b/>
          <w:sz w:val="24"/>
          <w:szCs w:val="24"/>
          <w:vertAlign w:val="superscript"/>
          <w:lang w:val="en-US"/>
        </w:rPr>
        <w:t>1</w:t>
      </w:r>
      <w:r>
        <w:rPr>
          <w:rFonts w:eastAsia="Times New Roman" w:cs="Times New Roman" w:ascii="Times New Roman" w:hAnsi="Times New Roman"/>
          <w:b/>
          <w:sz w:val="24"/>
          <w:szCs w:val="24"/>
          <w:lang w:val="en-US"/>
        </w:rPr>
        <w:t>, Sidorov K.P.</w:t>
      </w:r>
      <w:r>
        <w:rPr>
          <w:rFonts w:eastAsia="Times New Roman" w:cs="Times New Roman" w:ascii="Times New Roman" w:hAnsi="Times New Roman"/>
          <w:b/>
          <w:sz w:val="24"/>
          <w:szCs w:val="24"/>
          <w:vertAlign w:val="superscript"/>
          <w:lang w:val="en-US"/>
        </w:rPr>
        <w:t>2</w:t>
      </w:r>
      <w:r>
        <w:rPr>
          <w:rFonts w:eastAsia="Times New Roman" w:cs="Times New Roman" w:ascii="Times New Roman" w:hAnsi="Times New Roman"/>
          <w:b/>
          <w:sz w:val="24"/>
          <w:szCs w:val="24"/>
          <w:lang w:val="en-US"/>
        </w:rPr>
        <w:t xml:space="preserve"> </w:t>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sz w:val="24"/>
          <w:szCs w:val="24"/>
          <w:vertAlign w:val="superscript"/>
          <w:lang w:val="en-US"/>
        </w:rPr>
        <w:t>1</w:t>
      </w:r>
      <w:r>
        <w:rPr>
          <w:rFonts w:eastAsia="Times New Roman" w:cs="Times New Roman" w:ascii="Times New Roman" w:hAnsi="Times New Roman"/>
          <w:sz w:val="24"/>
          <w:szCs w:val="24"/>
          <w:lang w:val="en-US"/>
        </w:rPr>
        <w:t xml:space="preserve"> Tambov State Technical University, Russia, Tambov </w:t>
      </w:r>
    </w:p>
    <w:p>
      <w:pPr>
        <w:pStyle w:val="Normal"/>
        <w:tabs>
          <w:tab w:val="clear" w:pos="708"/>
          <w:tab w:val="left" w:pos="851" w:leader="none"/>
        </w:tabs>
        <w:spacing w:lineRule="auto" w:line="288" w:before="0" w:after="0"/>
        <w:ind w:firstLine="425" w:end="0"/>
        <w:jc w:val="end"/>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(e-mail: author1@</w:t>
      </w:r>
      <w:r>
        <w:rPr>
          <w:rFonts w:eastAsia="Times New Roman" w:cs="Times New Roman" w:ascii="Times New Roman" w:hAnsi="Times New Roman"/>
          <w:sz w:val="24"/>
          <w:szCs w:val="24"/>
          <w:lang w:val="en-US" w:eastAsia="ru-RU"/>
        </w:rPr>
        <w:t xml:space="preserve"> yandex</w:t>
      </w:r>
      <w:r>
        <w:rPr>
          <w:rFonts w:eastAsia="Times New Roman" w:cs="Times New Roman" w:ascii="Times New Roman" w:hAnsi="Times New Roman"/>
          <w:sz w:val="24"/>
          <w:szCs w:val="24"/>
          <w:lang w:val="en-US"/>
        </w:rPr>
        <w:t>.ru)</w:t>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sz w:val="24"/>
          <w:szCs w:val="24"/>
          <w:vertAlign w:val="superscript"/>
          <w:lang w:val="en-US"/>
        </w:rPr>
        <w:t>2</w:t>
      </w:r>
      <w:r>
        <w:rPr>
          <w:rFonts w:eastAsia="Times New Roman" w:cs="Times New Roman" w:ascii="Times New Roman" w:hAnsi="Times New Roman"/>
          <w:sz w:val="24"/>
          <w:szCs w:val="24"/>
          <w:lang w:val="en-US"/>
        </w:rPr>
        <w:t xml:space="preserve"> Voronezh State Technical University, Russia, Voronezh</w:t>
      </w:r>
    </w:p>
    <w:p>
      <w:pPr>
        <w:pStyle w:val="Normal"/>
        <w:tabs>
          <w:tab w:val="clear" w:pos="708"/>
          <w:tab w:val="left" w:pos="851" w:leader="none"/>
        </w:tabs>
        <w:spacing w:lineRule="auto" w:line="288" w:before="0" w:after="0"/>
        <w:ind w:firstLine="425" w:end="0"/>
        <w:jc w:val="end"/>
        <w:rPr/>
      </w:pPr>
      <w:r>
        <w:rPr>
          <w:rFonts w:eastAsia="Times New Roman" w:cs="Times New Roman" w:ascii="Times New Roman" w:hAnsi="Times New Roman"/>
          <w:sz w:val="24"/>
          <w:szCs w:val="24"/>
          <w:lang w:val="en-US"/>
        </w:rPr>
        <w:t>(e-mail: author2@</w:t>
      </w:r>
      <w:r>
        <w:rPr>
          <w:rFonts w:eastAsia="Times New Roman" w:cs="Times New Roman" w:ascii="Times New Roman" w:hAnsi="Times New Roman"/>
          <w:sz w:val="24"/>
          <w:szCs w:val="24"/>
          <w:lang w:val="en-US" w:eastAsia="ru-RU"/>
        </w:rPr>
        <w:t xml:space="preserve"> yandex</w:t>
      </w:r>
      <w:r>
        <w:rPr>
          <w:rFonts w:eastAsia="Times New Roman" w:cs="Times New Roman" w:ascii="Times New Roman" w:hAnsi="Times New Roman"/>
          <w:sz w:val="24"/>
          <w:szCs w:val="24"/>
          <w:lang w:val="en-US"/>
        </w:rPr>
        <w:t>.ru),</w:t>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sz w:val="24"/>
          <w:szCs w:val="24"/>
          <w:lang w:val="en-US" w:eastAsia="ru-RU"/>
        </w:rPr>
      </w:pPr>
      <w:r>
        <w:rPr>
          <w:rFonts w:eastAsia="Times New Roman" w:cs="Times New Roman" w:ascii="Times New Roman" w:hAnsi="Times New Roman"/>
          <w:sz w:val="24"/>
          <w:szCs w:val="24"/>
          <w:lang w:val="en-US" w:eastAsia="ru-RU"/>
        </w:rPr>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t>TITLE OF THE MANUSCTIPT</w:t>
        <w:br/>
        <w:t>CAN CONTAIN SEVERAL LINES</w:t>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b/>
          <w:sz w:val="24"/>
          <w:szCs w:val="24"/>
          <w:lang w:val="en-US" w:eastAsia="ru-RU"/>
        </w:rPr>
      </w:pPr>
      <w:r>
        <w:rPr>
          <w:rFonts w:eastAsia="Times New Roman" w:cs="Times New Roman" w:ascii="Times New Roman" w:hAnsi="Times New Roman"/>
          <w:b/>
          <w:sz w:val="24"/>
          <w:szCs w:val="24"/>
          <w:lang w:val="en-US" w:eastAsia="ru-RU"/>
        </w:rPr>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i/>
          <w:sz w:val="24"/>
          <w:szCs w:val="24"/>
          <w:lang w:eastAsia="ru-RU"/>
        </w:rPr>
        <w:t xml:space="preserve">Аннотация: </w:t>
      </w:r>
      <w:r>
        <w:rPr>
          <w:rFonts w:eastAsia="Times New Roman" w:cs="Times New Roman" w:ascii="Times New Roman" w:hAnsi="Times New Roman"/>
          <w:bCs/>
          <w:sz w:val="24"/>
          <w:szCs w:val="24"/>
          <w:lang w:eastAsia="ru-RU"/>
        </w:rPr>
        <w:t>Этот документ является инструкцией для подготовки статей. Используйте его как шаблон с применением Microsoft Word 6.0 или выше. Рекомендуемый размер статьи – от 3 до 6 полных страниц. Переносы не допускаются.</w:t>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i/>
          <w:sz w:val="24"/>
          <w:szCs w:val="24"/>
          <w:lang w:eastAsia="ru-RU"/>
        </w:rPr>
        <w:t xml:space="preserve">Ключевые слова: </w:t>
      </w:r>
      <w:r>
        <w:rPr>
          <w:rFonts w:eastAsia="Times New Roman" w:cs="Times New Roman" w:ascii="Times New Roman" w:hAnsi="Times New Roman"/>
          <w:bCs/>
          <w:sz w:val="24"/>
          <w:szCs w:val="24"/>
          <w:lang w:eastAsia="ru-RU"/>
        </w:rPr>
        <w:t>Использовать от 5 до 10 ключевых слов.</w:t>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p>
      <w:pPr>
        <w:pStyle w:val="Normal"/>
        <w:tabs>
          <w:tab w:val="clear" w:pos="708"/>
          <w:tab w:val="left" w:pos="851" w:leader="none"/>
        </w:tabs>
        <w:spacing w:lineRule="auto" w:line="288" w:before="0" w:after="0"/>
        <w:ind w:firstLine="425" w:end="0"/>
        <w:jc w:val="both"/>
        <w:rPr/>
      </w:pPr>
      <w:r>
        <w:rPr>
          <w:rFonts w:eastAsia="Times New Roman" w:cs="Times New Roman" w:ascii="Times New Roman" w:hAnsi="Times New Roman"/>
          <w:i/>
          <w:sz w:val="24"/>
          <w:szCs w:val="24"/>
          <w:lang w:val="en-US" w:eastAsia="ru-RU"/>
        </w:rPr>
        <w:t>Abstract</w:t>
      </w:r>
      <w:r>
        <w:rPr>
          <w:rFonts w:eastAsia="Times New Roman" w:cs="Times New Roman" w:ascii="Times New Roman" w:hAnsi="Times New Roman"/>
          <w:sz w:val="24"/>
          <w:szCs w:val="24"/>
          <w:lang w:val="en-US" w:eastAsia="ru-RU"/>
        </w:rPr>
        <w:t xml:space="preserve">. This template contains guidelines for preparing your manuscript for publication . Use this document as a template to compose your paper with Microsoft Word 6.0 or later. For submission guidelines follow instructions on paper submission system on the Conference website. All blank lines are left intentionally, do not delete them.  Recommended manuscript size – from </w:t>
      </w:r>
      <w:r>
        <w:rPr>
          <w:rFonts w:eastAsia="Times New Roman" w:cs="Times New Roman" w:ascii="Times New Roman" w:hAnsi="Times New Roman"/>
          <w:sz w:val="24"/>
          <w:szCs w:val="24"/>
          <w:lang w:eastAsia="ru-RU"/>
        </w:rPr>
        <w:t>3</w:t>
      </w:r>
      <w:r>
        <w:rPr>
          <w:rFonts w:eastAsia="Times New Roman" w:cs="Times New Roman" w:ascii="Times New Roman" w:hAnsi="Times New Roman"/>
          <w:sz w:val="24"/>
          <w:szCs w:val="24"/>
          <w:lang w:val="en-US" w:eastAsia="ru-RU"/>
        </w:rPr>
        <w:t xml:space="preserve"> to 6 full pages.</w:t>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i/>
          <w:sz w:val="24"/>
          <w:szCs w:val="24"/>
          <w:lang w:val="en-US" w:eastAsia="ru-RU"/>
        </w:rPr>
        <w:t>Keywords</w:t>
      </w:r>
      <w:r>
        <w:rPr>
          <w:rFonts w:eastAsia="Times New Roman" w:cs="Times New Roman" w:ascii="Times New Roman" w:hAnsi="Times New Roman"/>
          <w:sz w:val="24"/>
          <w:szCs w:val="24"/>
          <w:lang w:val="en-US" w:eastAsia="ru-RU"/>
        </w:rPr>
        <w:t>: Include a list of 5-10 keywords.</w:t>
      </w:r>
    </w:p>
    <w:p>
      <w:pPr>
        <w:pStyle w:val="Normal"/>
        <w:tabs>
          <w:tab w:val="clear" w:pos="708"/>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Этот документ является шаблоном для Microsoft Word 6.0 и выше. Не используйте колонтитулы и нумерацию страниц. Статья должна содержать новые научные результаты и  направлена в программный комитет через сайт конференции. Это текст абзаца. Используйте этот стиль для оформления текста статьи. Не забывайте проверять грамматику и орфографию.</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Статья должна быть структурирована: введение; основная часть должна иметь несколько внутренних разделов и содержать формализованную постановку задачи и предлагаемый метод ее решения; заключение; библиографический список.</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 xml:space="preserve">Рисунки, выполненные в графическом редакторе, записываются в форматах: tif, jpeg, doc (сгруппированные, толщина линии не менее 0,75 pt).  </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Графические изображения должны иметь ссылку в тексте, снабжаться подрисуночными подписями, не совпадающими с основным текстом. Шрифт надписей на рисунке должен быть 12 пт, разрешение рисунка не менее 300 dpi.</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Используйте наклонный шрифт для выделения важных частей. Основной текст должен содержать введение в проблему, постановку задачи, предлагаемый подход к решению задачи, содержательный пример, иллюстрирующий основные результаты, выводы.</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Таблицы должны иметь заголовки. Шрифт в таблицах должен быть 12 пт.</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709" w:leader="none"/>
          <w:tab w:val="left" w:pos="851" w:leader="none"/>
        </w:tabs>
        <w:spacing w:lineRule="auto" w:line="288" w:before="0" w:after="0"/>
        <w:ind w:firstLine="425" w:end="0"/>
        <w:jc w:val="center"/>
        <w:rPr>
          <w:rFonts w:ascii="Times New Roman" w:hAnsi="Times New Roman" w:eastAsia="Times New Roman" w:cs="Times New Roman"/>
          <w:sz w:val="24"/>
          <w:szCs w:val="24"/>
          <w:lang w:eastAsia="ru-RU"/>
        </w:rPr>
      </w:pPr>
      <w:r>
        <w:rPr>
          <w:rFonts w:cs="Times New Roman" w:ascii="Times New Roman" w:hAnsi="Times New Roman"/>
          <w:sz w:val="24"/>
          <w:szCs w:val="24"/>
          <w:lang w:val="en-US" w:eastAsia="en-US"/>
        </w:rPr>
        <w:drawing>
          <wp:inline distT="0" distB="0" distL="0" distR="0">
            <wp:extent cx="2586990" cy="1943100"/>
            <wp:effectExtent l="0" t="0" r="0" b="0"/>
            <wp:docPr id="1" name="Рисунок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descr="" title=""/>
                    <pic:cNvPicPr>
                      <a:picLocks noChangeAspect="1" noChangeArrowheads="1"/>
                    </pic:cNvPicPr>
                  </pic:nvPicPr>
                  <pic:blipFill>
                    <a:blip r:embed="rId2"/>
                    <a:srcRect l="-4" t="-6" r="-4" b="-6"/>
                    <a:stretch>
                      <a:fillRect/>
                    </a:stretch>
                  </pic:blipFill>
                  <pic:spPr bwMode="auto">
                    <a:xfrm>
                      <a:off x="0" y="0"/>
                      <a:ext cx="2586990" cy="1943100"/>
                    </a:xfrm>
                    <a:prstGeom prst="rect">
                      <a:avLst/>
                    </a:prstGeom>
                  </pic:spPr>
                </pic:pic>
              </a:graphicData>
            </a:graphic>
          </wp:inline>
        </w:drawing>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Рис. 1. Бифуркации в системе Х</w:t>
      </w:r>
    </w:p>
    <w:p>
      <w:pPr>
        <w:pStyle w:val="Normal"/>
        <w:tabs>
          <w:tab w:val="clear" w:pos="708"/>
          <w:tab w:val="left" w:pos="851" w:leader="none"/>
        </w:tabs>
        <w:spacing w:lineRule="auto" w:line="288" w:before="0" w:after="0"/>
        <w:ind w:firstLine="425"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08"/>
          <w:tab w:val="left" w:pos="709" w:leader="none"/>
          <w:tab w:val="left" w:pos="851" w:leader="none"/>
        </w:tabs>
        <w:spacing w:lineRule="auto" w:line="288" w:before="0" w:after="0"/>
        <w:ind w:firstLine="425" w:end="0"/>
        <w:jc w:val="center"/>
        <w:rPr/>
      </w:pPr>
      <w:r>
        <w:rPr>
          <w:rFonts w:eastAsia="Times New Roman" w:cs="Times New Roman" w:ascii="Times New Roman" w:hAnsi="Times New Roman"/>
          <w:sz w:val="24"/>
          <w:szCs w:val="24"/>
          <w:lang w:eastAsia="ru-RU"/>
        </w:rPr>
        <w:t xml:space="preserve">Таблица </w:t>
      </w:r>
      <w:r>
        <w:rPr/>
        <w:t>1. Параметры страницы</w:t>
      </w:r>
    </w:p>
    <w:tbl>
      <w:tblPr>
        <w:tblW w:w="5670" w:type="dxa"/>
        <w:jc w:val="center"/>
        <w:tblInd w:w="0" w:type="dxa"/>
        <w:tblLayout w:type="fixed"/>
        <w:tblCellMar>
          <w:top w:w="0" w:type="dxa"/>
          <w:start w:w="108" w:type="dxa"/>
          <w:bottom w:w="0" w:type="dxa"/>
          <w:end w:w="108" w:type="dxa"/>
        </w:tblCellMar>
      </w:tblPr>
      <w:tblGrid>
        <w:gridCol w:w="1517"/>
        <w:gridCol w:w="1240"/>
        <w:gridCol w:w="1259"/>
        <w:gridCol w:w="1654"/>
      </w:tblGrid>
      <w:tr>
        <w:trPr/>
        <w:tc>
          <w:tcPr>
            <w:tcW w:w="151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rPr/>
            </w:pPr>
            <w:r>
              <w:rPr>
                <w:rFonts w:eastAsia="Times New Roman" w:cs="Times New Roman" w:ascii="Times New Roman" w:hAnsi="Times New Roman"/>
                <w:sz w:val="24"/>
                <w:szCs w:val="24"/>
                <w:lang w:eastAsia="ru-RU"/>
              </w:rPr>
              <w:t>Страница</w:t>
            </w:r>
          </w:p>
        </w:tc>
        <w:tc>
          <w:tcPr>
            <w:tcW w:w="12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Верхнее</w:t>
            </w:r>
          </w:p>
        </w:tc>
        <w:tc>
          <w:tcPr>
            <w:tcW w:w="125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Нижнее</w:t>
            </w:r>
          </w:p>
        </w:tc>
        <w:tc>
          <w:tcPr>
            <w:tcW w:w="165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Левое/Правое</w:t>
            </w:r>
          </w:p>
        </w:tc>
      </w:tr>
      <w:tr>
        <w:trPr/>
        <w:tc>
          <w:tcPr>
            <w:tcW w:w="151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Первая</w:t>
            </w:r>
          </w:p>
        </w:tc>
        <w:tc>
          <w:tcPr>
            <w:tcW w:w="12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c>
          <w:tcPr>
            <w:tcW w:w="125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c>
          <w:tcPr>
            <w:tcW w:w="165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r>
      <w:tr>
        <w:trPr/>
        <w:tc>
          <w:tcPr>
            <w:tcW w:w="151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both"/>
              <w:rPr/>
            </w:pPr>
            <w:r>
              <w:rPr>
                <w:rFonts w:eastAsia="Times New Roman" w:cs="Times New Roman" w:ascii="Times New Roman" w:hAnsi="Times New Roman"/>
                <w:sz w:val="24"/>
                <w:szCs w:val="24"/>
                <w:lang w:eastAsia="ru-RU"/>
              </w:rPr>
              <w:t>Остальные</w:t>
            </w:r>
          </w:p>
        </w:tc>
        <w:tc>
          <w:tcPr>
            <w:tcW w:w="12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c>
          <w:tcPr>
            <w:tcW w:w="125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c>
          <w:tcPr>
            <w:tcW w:w="165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709" w:leader="none"/>
                <w:tab w:val="left" w:pos="851" w:leader="none"/>
              </w:tabs>
              <w:spacing w:lineRule="auto" w:line="288"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2,5</w:t>
            </w:r>
          </w:p>
        </w:tc>
      </w:tr>
    </w:tbl>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 xml:space="preserve">Настройки математического редактора формул: </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1. Стиль: шрифт основного текста Times New Roman; </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 xml:space="preserve">2. Размеры (в порядке очередности): обычный – 12 pt; крупный индекс – 8 pt; мелкий индекс – 6 pt; крупный символ – 18 pt; мелкий символ – 10 pt. </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 xml:space="preserve">Размещение формул может быть осуществлено как непосредственно в тексте абзаца, так и отдельно. В последнем случае формула выравнивается по центру и может иметь нумерацию в круглых скобках справа, например (1). Нумеруются только формулы, на которые имеются ссылки в тексте статьи. Формулы должны быть максимально компактными. Символы, использующиеся в формулах, обязательно должны быть определены в тексте до или после формулы. </w:t>
      </w:r>
    </w:p>
    <w:p>
      <w:pPr>
        <w:pStyle w:val="Normal"/>
        <w:tabs>
          <w:tab w:val="clear" w:pos="708"/>
          <w:tab w:val="left" w:pos="709" w:leader="none"/>
          <w:tab w:val="left" w:pos="851" w:leader="none"/>
        </w:tabs>
        <w:spacing w:lineRule="auto" w:line="288" w:before="0" w:after="0"/>
        <w:ind w:firstLine="425" w:end="0"/>
        <w:jc w:val="end"/>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rPr>
        <w:t xml:space="preserve">                                             </w:t>
      </w:r>
      <w:r>
        <w:rPr>
          <w:rFonts w:cs="Times New Roman" w:ascii="Times New Roman" w:hAnsi="Times New Roman"/>
          <w:sz w:val="24"/>
          <w:szCs w:val="24"/>
        </w:rPr>
        <w:object w:dxaOrig="1980" w:dyaOrig="720">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99pt;height:36.1pt" filled="f" o:ole="">
            <v:imagedata r:id="rId4" o:title=""/>
          </v:shape>
          <o:OLEObject Type="Embed" ProgID="" ShapeID="ole_rId3" DrawAspect="Content" ObjectID="_916578696" r:id="rId3"/>
        </w:object>
      </w:r>
      <w:r>
        <w:rPr>
          <w:rFonts w:eastAsia="Times New Roman" w:cs="Times New Roman" w:ascii="Times New Roman" w:hAnsi="Times New Roman"/>
          <w:sz w:val="24"/>
          <w:szCs w:val="24"/>
        </w:rPr>
        <w:t xml:space="preserve">                                                             </w:t>
      </w:r>
      <w:r>
        <w:rPr>
          <w:rFonts w:cs="Times New Roman" w:ascii="Times New Roman" w:hAnsi="Times New Roman"/>
          <w:sz w:val="24"/>
          <w:szCs w:val="24"/>
        </w:rPr>
        <w:t>(1)</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Используйте систему единиц измерений СИ.</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Ссылки на источники даются в квадратных скобках [1].</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Все сокращения должны быть раскрыты до первого использования. Стандартные сокращения не раскрываются (например, ИФАК, СИ). Аббревиатуры, включающие точки записываются без пробелов, например, «А.Б.В.Г», а не «А. Б. В. Г.». Не используйте аббревиатуры в названии статьи.</w:t>
      </w:r>
    </w:p>
    <w:p>
      <w:pPr>
        <w:pStyle w:val="Normal"/>
        <w:tabs>
          <w:tab w:val="clear" w:pos="708"/>
          <w:tab w:val="left" w:pos="709" w:leader="none"/>
          <w:tab w:val="left" w:pos="851" w:leader="none"/>
        </w:tabs>
        <w:spacing w:lineRule="auto" w:line="288"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Заключение не является обязательным. Может включать обзор основных положений статьи, не дублируя аннотацию.</w:t>
      </w:r>
    </w:p>
    <w:p>
      <w:pPr>
        <w:pStyle w:val="Normal"/>
        <w:tabs>
          <w:tab w:val="clear" w:pos="708"/>
          <w:tab w:val="left" w:pos="709" w:leader="none"/>
          <w:tab w:val="left" w:pos="851" w:leader="none"/>
        </w:tabs>
        <w:spacing w:lineRule="auto" w:line="288" w:before="0" w:after="0"/>
        <w:ind w:firstLine="425" w:end="0"/>
        <w:jc w:val="both"/>
        <w:rPr/>
      </w:pPr>
      <w:r>
        <w:rPr>
          <w:rFonts w:eastAsia="Times New Roman" w:cs="Times New Roman" w:ascii="Times New Roman" w:hAnsi="Times New Roman"/>
          <w:sz w:val="24"/>
          <w:szCs w:val="24"/>
          <w:lang w:eastAsia="ru-RU"/>
        </w:rPr>
        <w:t>Библиографический список использованных источников выполняется в порядке упоминания в статье по ГОСТ 7.05-2008. Каждая позиция списка литературы должна содержать: фамилии и инициалы всех авторов, точное название книги, место издания, издательство, год и общее число страниц, а для статей – фамилии и инициалы всех авторов, название статьи и название журнала (сборника), место издания (для сборников), год, том, номер и количество страниц. Ссылки на иностранную литературу следует писать на языке оригинала без сокращений.</w:t>
      </w:r>
    </w:p>
    <w:p>
      <w:pPr>
        <w:pStyle w:val="Normal"/>
        <w:tabs>
          <w:tab w:val="clear" w:pos="708"/>
          <w:tab w:val="left" w:pos="0" w:leader="none"/>
          <w:tab w:val="left" w:pos="851" w:leader="none"/>
        </w:tabs>
        <w:spacing w:lineRule="auto" w:line="288" w:before="0" w:after="0"/>
        <w:ind w:firstLine="425" w:end="0"/>
        <w:jc w:val="center"/>
        <w:rPr>
          <w:rFonts w:ascii="Times New Roman" w:hAnsi="Times New Roman" w:eastAsia="Times New Roman" w:cs="Times New Roman"/>
          <w:sz w:val="24"/>
          <w:szCs w:val="24"/>
          <w:shd w:fill="FFFFFF" w:val="clear"/>
          <w:lang w:eastAsia="ru-RU"/>
        </w:rPr>
      </w:pPr>
      <w:r>
        <w:rPr>
          <w:rFonts w:eastAsia="Times New Roman" w:cs="Times New Roman" w:ascii="Times New Roman" w:hAnsi="Times New Roman"/>
          <w:sz w:val="24"/>
          <w:szCs w:val="24"/>
          <w:shd w:fill="FFFFFF" w:val="clear"/>
          <w:lang w:eastAsia="ru-RU"/>
        </w:rPr>
      </w:r>
    </w:p>
    <w:p>
      <w:pPr>
        <w:pStyle w:val="Normal"/>
        <w:numPr>
          <w:ilvl w:val="0"/>
          <w:numId w:val="0"/>
        </w:numPr>
        <w:shd w:fill="FFFFFF" w:val="clear"/>
        <w:spacing w:lineRule="auto" w:line="240" w:before="0" w:after="0"/>
        <w:ind w:firstLine="709" w:end="0"/>
        <w:jc w:val="center"/>
        <w:outlineLvl w:val="2"/>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t>Список использованных источников</w:t>
      </w:r>
    </w:p>
    <w:p>
      <w:pPr>
        <w:pStyle w:val="Normal"/>
        <w:shd w:fill="FFFFFF" w:val="clear"/>
        <w:spacing w:lineRule="auto" w:line="240" w:before="0" w:after="0"/>
        <w:ind w:firstLine="425"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1. Кириллов, В. И. Логика : учебник для юрид. вузов / В. И. Кириллов ; Моск. гос. юрид. академия. – 6-е изд., перераб. и доп. – Москва : Проспект, 2009. – 233 с.</w:t>
      </w:r>
    </w:p>
    <w:p>
      <w:pPr>
        <w:pStyle w:val="Normal"/>
        <w:shd w:fill="FFFFFF" w:val="clear"/>
        <w:spacing w:lineRule="auto" w:line="240" w:before="0" w:after="0"/>
        <w:ind w:firstLine="425" w:end="0"/>
        <w:jc w:val="both"/>
        <w:rPr/>
      </w:pPr>
      <w:r>
        <w:rPr>
          <w:rFonts w:eastAsia="Times New Roman" w:cs="Times New Roman" w:ascii="Times New Roman" w:hAnsi="Times New Roman"/>
          <w:sz w:val="24"/>
          <w:szCs w:val="24"/>
          <w:lang w:eastAsia="ru-RU"/>
        </w:rPr>
        <w:t>2. Баталов, А. Л. Сакральная топография средневекового города / А. Л. Баталов, Л. А. Беляев // Известия Института христианской культуры средневековья. – 1998. – Т. 1. – С. 13–22.</w:t>
      </w:r>
    </w:p>
    <w:p>
      <w:pPr>
        <w:pStyle w:val="Normal"/>
        <w:shd w:fill="FFFFFF" w:val="clear"/>
        <w:spacing w:lineRule="auto" w:line="240" w:before="0" w:after="0"/>
        <w:ind w:firstLine="425" w:end="0"/>
        <w:jc w:val="both"/>
        <w:rPr/>
      </w:pPr>
      <w:r>
        <w:rPr>
          <w:rFonts w:eastAsia="Times New Roman" w:cs="Times New Roman" w:ascii="Times New Roman" w:hAnsi="Times New Roman"/>
          <w:sz w:val="24"/>
          <w:szCs w:val="24"/>
          <w:lang w:eastAsia="ru-RU"/>
        </w:rPr>
        <w:t>3. Григорьев, В. В. Торги: разработка документации: методы проведения / В. В. Григорьев // Григорьев В. В. Управление муниципальной недвижимостью: учебно-практическое пособие / В. А. Григорьев, М. А. Батурин, Л. И. Мишарин. – Москва, 2001. – С. 399–404.</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numPr>
          <w:ilvl w:val="0"/>
          <w:numId w:val="0"/>
        </w:numPr>
        <w:shd w:fill="FFFFFF" w:val="clear"/>
        <w:spacing w:lineRule="auto" w:line="240" w:before="0" w:after="0"/>
        <w:ind w:firstLine="709" w:end="0"/>
        <w:outlineLvl w:val="2"/>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p>
      <w:pPr>
        <w:pStyle w:val="Normal"/>
        <w:numPr>
          <w:ilvl w:val="0"/>
          <w:numId w:val="0"/>
        </w:numPr>
        <w:shd w:fill="FFFFFF" w:val="clear"/>
        <w:spacing w:lineRule="auto" w:line="240" w:before="0" w:after="0"/>
        <w:ind w:firstLine="709" w:end="0"/>
        <w:jc w:val="center"/>
        <w:outlineLvl w:val="2"/>
        <w:rPr>
          <w:rFonts w:ascii="Times New Roman" w:hAnsi="Times New Roman" w:eastAsia="Times New Roman" w:cs="Times New Roman"/>
          <w:bCs/>
          <w:sz w:val="24"/>
          <w:szCs w:val="24"/>
          <w:lang w:eastAsia="ru-RU"/>
        </w:rPr>
      </w:pPr>
      <w:r>
        <w:rPr>
          <w:rFonts w:eastAsia="Times New Roman" w:cs="Times New Roman" w:ascii="Times New Roman" w:hAnsi="Times New Roman"/>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Примеры библиографического описания</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Описание книг</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Книга одного автора:</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Чалдаева, Л. А. Экономика предприятия : учебник для бакалавров / Л. А. Чалдаева. – 3-е изд., перераб. и доп. – Москва : Юрайт, 2013. – 411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Кириллов, В. И. Логика : учебник для юрид. вузов / В. И. Кириллов ; Моск. гос. юрид. академия. – 6-е изд., перераб. и доп. – Москва : Проспект, 2009. – 233 с.</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Книга двух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Нехаев, Г. А. Металлические конструкции в примерах и задачах: учеб. пособие / Г. А. Нехаев, И. А. Захарова. – Москва : Изд-во Ассоциации строительных вузов, 2010. – 144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Грушевицкая, Т. Г. Культурология : учебник для вузов / Т. Г. Грушевицкая, А.П. Садохин. – 3-е изд., перераб. и доп. – Москва : ЮНИТИ-ДАНА, 2008. – 687 с.</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Книга трех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Акимов, А. П. Работа колес: монография / А. П. Акимов, В. И. Медведев, В. В. Чегулов. – Чебоксары : ЧПИ (ф) МГОУ, 2011. – 168 с.</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Книги четырех и более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Информационно-измерительная техника и электроника : учебник / Г. Г. Раннев [и др.]; под ред. Г. Г. Раннева. – 3-е изд., стереотип.– Москва : Академия, 2009. – 512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Философия : учебник / Н. С. Савкин [и др.] ; отв. ред. Н. С. Савкин. – 3-е изд., испр. – Саранск : Морд. ун-т, 2004. – 355 с.</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Книга под редакцией:</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Анализ и диагностика финансово-хозяйственной деятельности предприятия: учебник / под ред. В. Я. Позднякова. – Москва : Инфра-М, 2010. – 617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Описание статьи из журнала</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одного автора:</w:t>
      </w:r>
    </w:p>
    <w:p>
      <w:pPr>
        <w:pStyle w:val="Normal"/>
        <w:shd w:fill="FFFFFF" w:val="clear"/>
        <w:spacing w:lineRule="auto" w:line="240" w:before="0" w:after="0"/>
        <w:ind w:firstLine="709" w:end="0"/>
        <w:jc w:val="both"/>
        <w:rPr/>
      </w:pPr>
      <w:r>
        <w:rPr>
          <w:rFonts w:eastAsia="Times New Roman" w:cs="Times New Roman" w:ascii="Times New Roman" w:hAnsi="Times New Roman"/>
          <w:sz w:val="24"/>
          <w:szCs w:val="24"/>
          <w:lang w:eastAsia="ru-RU"/>
        </w:rPr>
        <w:t>Рязанов, Ю. Д. Синтез распознавателей с магазинной памятью по детерминированным синтаксическим диаграммам / Ю. Д. Рязанов // Вестник Воронеж. гос. ун-та. Сер. Системный анализ и информационные технологии. – 2014. – № 1. – С. 138–145.</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двух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Баталов, А. Л. Сакральная топография средневекового города / А. Л. Баталов, Л. А. Беляев // Известия Института христианской культуры средневековья. – 1998. – Т. 1. – С. 13–22.</w:t>
      </w:r>
    </w:p>
    <w:p>
      <w:pPr>
        <w:pStyle w:val="Normal"/>
        <w:shd w:fill="FFFFFF" w:val="clear"/>
        <w:spacing w:lineRule="auto" w:line="240" w:before="0" w:after="0"/>
        <w:ind w:firstLine="709" w:end="0"/>
        <w:jc w:val="both"/>
        <w:rPr/>
      </w:pPr>
      <w:r>
        <w:rPr>
          <w:rFonts w:eastAsia="Times New Roman" w:cs="Times New Roman" w:ascii="Times New Roman" w:hAnsi="Times New Roman"/>
          <w:sz w:val="24"/>
          <w:szCs w:val="24"/>
          <w:lang w:eastAsia="ru-RU"/>
        </w:rPr>
        <w:t>Михайлов, В. В. Методологические аспекты фрактально-структурированного учета метеоусловий при функционировании авиационных систем / В. В. Михайлов, С. Л. Кирносов // Нелинейный мир. – 2014. – Т. 12, № 3. – С. 14–19.</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трех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Зацепин, П. М. Комплексная безопасность потребителей эксплуатационных характеристик строений / П. М. Зацепин, Н. Н. Теодорович, А. И. Мохов // Промышленное и гражданское строительство. – 2009.– № 3.– С. 42.</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четырех и более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Опыт применения специальных технологий производства работ по устройству ограждающих конструкций котлованов / С. С. Зуев [и др.] // Промышленное и гражданское строительство. – 2009. – № 3. – С. 49–50.</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Описание статьи из книг и сборников</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из книги одного автора:</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Каратуев, А. Г. Цели финансового менеджмента / А. Г. Каратуев // Финансовый менеджмент: учебно-справочное пособие / А. Г. Каратуев. – Москва, 2001. – С. 207–451.</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из книги двух авторов: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Безуглов, А. А. Президент Российской Федерации / А. А. Безуглов // Безуглов А. А. Конституционное право России: учебник для юридических вузов (полный курс): в 3-х т. / А. А. Безуглов, С. А. Солдатов. – Москва, 2001. – Т. 1. – С. 137–370.</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из книги трех и более авторов:</w:t>
      </w:r>
    </w:p>
    <w:p>
      <w:pPr>
        <w:pStyle w:val="Normal"/>
        <w:shd w:fill="FFFFFF" w:val="clear"/>
        <w:spacing w:lineRule="auto" w:line="240" w:before="0" w:after="0"/>
        <w:ind w:firstLine="709" w:end="0"/>
        <w:jc w:val="both"/>
        <w:rPr/>
      </w:pPr>
      <w:r>
        <w:rPr>
          <w:rFonts w:eastAsia="Times New Roman" w:cs="Times New Roman" w:ascii="Times New Roman" w:hAnsi="Times New Roman"/>
          <w:sz w:val="24"/>
          <w:szCs w:val="24"/>
          <w:lang w:eastAsia="ru-RU"/>
        </w:rPr>
        <w:t>Григорьев, В. В. Торги: разработка документации: методы проведения / В. В. Григорьев // Григорьев В. В. Управление муниципальной недвижимостью: учебно-практическое пособие / В. А. Григорьев, М. А. Батурин, Л. И. Мишарин. – Москва, 2001. – С. 399–404.</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Маркетинговая программа в автомобилестроении (ОАО “АвтоВАЗ”) // Российский маркетинг на пороге третьего тысячелетия: практика крупнейших компаний / А. А. Браверман [и др.]; под ред. А. А. Бравермана. – Москва, 2001. – Гл. 4. – С. 195–272.</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Статья из сборника научных трудов:</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Данилова, Н. Е. Моделирование процессов в следящем приводе с исполнительным двигателем постоянного тока при независимом возбуждении / Н. Е. Данилова, С. Н. Ниссенбаум // Инновации в образовательном процессе: сб. тр. науч.-практич. конф. – Чебоксары: ЧПИ (ф) МГОУ, 2013. – Вып. 11. – С. 158–160.</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Материалы конференции</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Леденева, Т. М. О различных реализациях механизма нечеткого логического вывода / Т. М. Леденева, В. В. Кашко // Актуальные проблемы прикладной математики, информатики и механики : сб. тр. Междунар. науч.-техн. конф. (Воронеж, 12–15 сентября 2016 г.) : электронный ресурс. – Воронеж, 2016. – С. 391–395.</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Моисеева, М. В. Японская мультипликация и ее восприятие в России / М. В. Моисеева, Е. В. Кудряшева // Социокультурная миссия университета в современном обществе : сб. тр. участников I Всерос. научно-практической конф. «Человек, культура, образование» (Ульяновск, 2-4 июля 2005 г.). – Ульяновск, 2006. – С. 142–145.</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Диссертации, авторефераты диссертации</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Венков А. Г. Построение и идентификация нечетких математических моделей технологических процессов в условиях неопределенности: автореф… дис. канд. техн. наук. – Липецк : ЛГТУ, 2002. – 20 с. (или автореф. дис… д-ра экон. наук)</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Фенухин В. И. Этнополитические конфликты в современной России: на примере Северо-Кавказкого региона : дис. ... канд. полит. наук. – Москва, 2002. – С. 54–55.</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Описание официальных изданий</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Конституция Российской Федерации : принята всенародным голосованием 12 декабря 1993 года. – Москва : Эксмо, 2013. – 63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Уголовный кодекс Российской Федерации. Официальный текст: текст Кодекса приводится по состоянию на 23 сентября 2013 г.– Москва : Омега-Л, 2013. – 193 с.</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О проведении в Российской Федерации года молодежи : указ Президента Российской Федерации от 18.09.2008 г. № 1383 // Вестник образования России. – 2008. – № 20 (окт.). – С. 13–14.</w:t>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r>
    </w:p>
    <w:p>
      <w:pPr>
        <w:pStyle w:val="Normal"/>
        <w:numPr>
          <w:ilvl w:val="0"/>
          <w:numId w:val="0"/>
        </w:numPr>
        <w:shd w:fill="FFFFFF" w:val="clear"/>
        <w:spacing w:lineRule="auto" w:line="240" w:before="0" w:after="0"/>
        <w:ind w:firstLine="709" w:end="0"/>
        <w:jc w:val="both"/>
        <w:outlineLvl w:val="2"/>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Описание нормативно-технических и технических документов</w:t>
      </w:r>
    </w:p>
    <w:p>
      <w:pPr>
        <w:pStyle w:val="Normal"/>
        <w:numPr>
          <w:ilvl w:val="0"/>
          <w:numId w:val="0"/>
        </w:numPr>
        <w:shd w:fill="FFFFFF" w:val="clear"/>
        <w:spacing w:lineRule="auto" w:line="240" w:before="0" w:after="0"/>
        <w:ind w:firstLine="709" w:end="0"/>
        <w:jc w:val="both"/>
        <w:outlineLvl w:val="3"/>
        <w:rPr>
          <w:rFonts w:ascii="Times New Roman" w:hAnsi="Times New Roman" w:eastAsia="Times New Roman" w:cs="Times New Roman"/>
          <w:b/>
          <w:bCs/>
          <w:sz w:val="24"/>
          <w:szCs w:val="24"/>
          <w:lang w:eastAsia="ru-RU"/>
        </w:rPr>
      </w:pPr>
      <w:r>
        <w:rPr>
          <w:rFonts w:eastAsia="Times New Roman" w:cs="Times New Roman" w:ascii="Times New Roman" w:hAnsi="Times New Roman"/>
          <w:b/>
          <w:bCs/>
          <w:sz w:val="24"/>
          <w:szCs w:val="24"/>
          <w:lang w:eastAsia="ru-RU"/>
        </w:rPr>
        <w:t>ГОСТЫ</w:t>
      </w:r>
    </w:p>
    <w:p>
      <w:pPr>
        <w:pStyle w:val="Normal"/>
        <w:shd w:fill="FFFFFF" w:val="clear"/>
        <w:spacing w:lineRule="auto" w:line="240" w:before="0" w:after="0"/>
        <w:ind w:firstLine="709"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Стекло безопасное для наземного транспорта. Общие технические условия [Текст] : ГОСТ 5727-88. – Изд. сент. 2001 с Изм. 1, 2, 3 (ИУС. 1992. № 2; ИУС. 1999. № 1; ИУС. 2001. № 11). – Взамен ГОСТ 5727-83 ; введ. 01.01.90.</w:t>
      </w:r>
    </w:p>
    <w:p>
      <w:pPr>
        <w:pStyle w:val="Normal"/>
        <w:tabs>
          <w:tab w:val="clear" w:pos="708"/>
          <w:tab w:val="left" w:pos="0" w:leader="none"/>
          <w:tab w:val="left" w:pos="851" w:leader="none"/>
        </w:tabs>
        <w:spacing w:lineRule="auto" w:line="288" w:before="0" w:after="0"/>
        <w:ind w:firstLine="425" w:end="0"/>
        <w:jc w:val="center"/>
        <w:rPr>
          <w:rFonts w:ascii="Times New Roman" w:hAnsi="Times New Roman" w:eastAsia="Times New Roman" w:cs="Times New Roman"/>
          <w:sz w:val="24"/>
          <w:szCs w:val="24"/>
          <w:shd w:fill="FFFFFF" w:val="clear"/>
          <w:lang w:eastAsia="ru-RU"/>
        </w:rPr>
      </w:pPr>
      <w:r>
        <w:rPr>
          <w:rFonts w:eastAsia="Times New Roman" w:cs="Times New Roman" w:ascii="Times New Roman" w:hAnsi="Times New Roman"/>
          <w:sz w:val="24"/>
          <w:szCs w:val="24"/>
          <w:shd w:fill="FFFFFF" w:val="clear"/>
          <w:lang w:eastAsia="ru-RU"/>
        </w:rPr>
      </w:r>
    </w:p>
    <w:sectPr>
      <w:type w:val="nextPage"/>
      <w:pgSz w:w="11906" w:h="16838"/>
      <w:pgMar w:left="1418" w:right="1418"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ru-RU" w:bidi="ar-SA" w:eastAsia="zh-C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1z0">
    <w:name w:val="WW8Num11z0"/>
    <w:qFormat/>
    <w:rPr/>
  </w:style>
  <w:style w:type="character" w:styleId="Style14">
    <w:name w:val="Основной шрифт абзаца"/>
    <w:qFormat/>
    <w:rPr/>
  </w:style>
  <w:style w:type="character" w:styleId="Style15">
    <w:name w:val="Текст выноски Знак"/>
    <w:qFormat/>
    <w:rPr>
      <w:rFonts w:ascii="Tahoma" w:hAnsi="Tahoma" w:eastAsia="Calibri"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выноски"/>
    <w:basedOn w:val="Normal"/>
    <w:qFormat/>
    <w:pPr>
      <w:spacing w:lineRule="auto" w:line="240" w:before="0" w:after="0"/>
    </w:pPr>
    <w:rPr>
      <w:rFonts w:ascii="Tahoma" w:hAnsi="Tahoma" w:cs="Tahoma"/>
      <w:sz w:val="16"/>
      <w:szCs w:val="16"/>
    </w:rPr>
  </w:style>
  <w:style w:type="paragraph" w:styleId="Style17">
    <w:name w:val="Абзац списка"/>
    <w:basedOn w:val="Normal"/>
    <w:qFormat/>
    <w:pPr>
      <w:spacing w:before="0" w:after="20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2023-09-22T08:40:00Z</dcterms:created>
  <dc:creator>lena</dc:creator>
  <dc:description/>
  <cp:keywords/>
  <dc:language>en-US</dc:language>
  <cp:lastModifiedBy>mokr</cp:lastModifiedBy>
  <dcterms:modified xsi:type="dcterms:W3CDTF">2025-09-24T08:48:00Z</dcterms:modified>
  <cp:revision>4</cp:revision>
  <dc:subject/>
  <dc:title/>
</cp:coreProperties>
</file>