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28148" w14:textId="77777777" w:rsidR="001338A1" w:rsidRDefault="001338A1" w:rsidP="001338A1">
      <w:pPr>
        <w:autoSpaceDE w:val="0"/>
        <w:autoSpaceDN w:val="0"/>
        <w:adjustRightInd w:val="0"/>
        <w:spacing w:after="60" w:line="240" w:lineRule="auto"/>
        <w:rPr>
          <w:rFonts w:ascii="System Font" w:hAnsi="System Font" w:cs="System Font"/>
          <w:color w:val="0E0E0E"/>
          <w:kern w:val="0"/>
        </w:rPr>
      </w:pPr>
      <w:r>
        <w:rPr>
          <w:rFonts w:ascii="System Font" w:hAnsi="System Font" w:cs="System Font"/>
          <w:color w:val="0E0E0E"/>
          <w:kern w:val="0"/>
        </w:rPr>
        <w:t>Technical Modules Delivered</w:t>
      </w:r>
    </w:p>
    <w:p w14:paraId="384665DF" w14:textId="77777777" w:rsidR="001338A1" w:rsidRDefault="001338A1" w:rsidP="001338A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Multi-Layer Proprietary Risk Engine (PRI) (</w:t>
      </w:r>
      <w:r>
        <w:rPr>
          <w:rFonts w:ascii="Helvetica Neue" w:hAnsi="Helvetica Neue" w:cs="Helvetica Neue"/>
          <w:color w:val="900112"/>
          <w:kern w:val="0"/>
          <w:sz w:val="25"/>
          <w:szCs w:val="25"/>
        </w:rPr>
        <w:t>RiskEngine.js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) [NEW]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</w:t>
      </w:r>
    </w:p>
    <w:p w14:paraId="7FBEF71F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Programmed Layer 0 (Identity Fraud), Layer 1 (Bureau BCS), Layer 2 (Behavioral BRS cash analytics), and Layer 3 (Public Watchlist Records) underwriting vectors.</w:t>
      </w:r>
    </w:p>
    <w:p w14:paraId="5C1B5BAB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Computes dynamic composite PRI Scores (300-850), Risk Grades (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P1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to 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P5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), 12-month Probability of Default (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PD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), and credit bounds (max amounts, tenors, APR spreads).</w:t>
      </w:r>
    </w:p>
    <w:p w14:paraId="20988F42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Pre-seeded candidate profiles for Kristi Tonin, Mohit Mehra, and Sarah Connor.</w:t>
      </w:r>
    </w:p>
    <w:p w14:paraId="17BC8C2E" w14:textId="77777777" w:rsidR="001338A1" w:rsidRDefault="001338A1" w:rsidP="001338A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Waitlist Admissions, Internal Risk Underwriting Console &amp; Portfolio Dashboard (</w:t>
      </w:r>
      <w:r>
        <w:rPr>
          <w:rFonts w:ascii="Helvetica Neue" w:hAnsi="Helvetica Neue" w:cs="Helvetica Neue"/>
          <w:color w:val="900112"/>
          <w:kern w:val="0"/>
          <w:sz w:val="25"/>
          <w:szCs w:val="25"/>
        </w:rPr>
        <w:t>SalesAdminModule.js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) [MODIFY]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</w:t>
      </w:r>
    </w:p>
    <w:p w14:paraId="375A72D7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Admissions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 Core waitlist bypass token keys generator, de-duplicating CSV drop-zone parser, credentials vetting overrides, and directory lockouts sweeps.</w:t>
      </w:r>
    </w:p>
    <w:p w14:paraId="23F46970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Risk Console Detail Panel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 Glowing circular PRI score gauges, underwriting parameters, active status chips, and 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SHAP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explainability driver blocks.</w:t>
      </w:r>
    </w:p>
    <w:p w14:paraId="727DC487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Audit Breakdowns Accordion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 Granular audit sheets for Layer 0 to Layer 3, including an interactive SVG historical credit score sparkline.</w:t>
      </w:r>
    </w:p>
    <w:p w14:paraId="5DE95CE3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Committee Decision Deck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 Role-gated actions (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Approve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 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Decline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 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Approve with Changes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sliders adjusting principal amounts and tenors) that write to persistent local storage Audit Trail logs.</w:t>
      </w:r>
    </w:p>
    <w:p w14:paraId="5C9D553E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Capital Partner Dashboard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 dual-axis bar and line plots visualizing outstanding asset volumes by risk grade and Expected vs. Realized Default rates. Incorporates cumulative Area vintage loss curves (2024-2026 vintages).</w:t>
      </w:r>
    </w:p>
    <w:p w14:paraId="1ADC1121" w14:textId="77777777" w:rsidR="001338A1" w:rsidRDefault="001338A1" w:rsidP="001338A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SaaS subscription tiers &amp; Algorithmic Auto-Invest matching (</w:t>
      </w:r>
      <w:r>
        <w:rPr>
          <w:rFonts w:ascii="Helvetica Neue" w:hAnsi="Helvetica Neue" w:cs="Helvetica Neue"/>
          <w:color w:val="900112"/>
          <w:kern w:val="0"/>
          <w:sz w:val="25"/>
          <w:szCs w:val="25"/>
        </w:rPr>
        <w:t>usePeerBridge.js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) [MODIFY]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</w:t>
      </w:r>
    </w:p>
    <w:p w14:paraId="0789DE28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Augmented states to track customer SaaS tiers (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standard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 </w:t>
      </w:r>
      <w:proofErr w:type="spellStart"/>
      <w:r>
        <w:rPr>
          <w:rFonts w:ascii="System Font" w:hAnsi="System Font" w:cs="System Font"/>
          <w:color w:val="900112"/>
          <w:kern w:val="0"/>
          <w:sz w:val="25"/>
          <w:szCs w:val="25"/>
        </w:rPr>
        <w:t>lender_pro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 </w:t>
      </w:r>
      <w:proofErr w:type="spellStart"/>
      <w:r>
        <w:rPr>
          <w:rFonts w:ascii="System Font" w:hAnsi="System Font" w:cs="System Font"/>
          <w:color w:val="900112"/>
          <w:kern w:val="0"/>
          <w:sz w:val="25"/>
          <w:szCs w:val="25"/>
        </w:rPr>
        <w:t>founder_pro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), auto-invest flags, and allocation limits.</w:t>
      </w:r>
    </w:p>
    <w:p w14:paraId="4F1C5CBA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Programmed the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Ecosystem Auto-Match matching engine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 inside campaign round origination. When a debt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note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launches, the engine matches active 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Lender Pro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members based on yield preferences (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Conservative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 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Balanced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 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Yield Max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), splits 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lastRenderedPageBreak/>
        <w:t>escrow allocations, updates balances, and posts ecosystem alerts.</w:t>
      </w:r>
    </w:p>
    <w:p w14:paraId="0E1E2E41" w14:textId="77777777" w:rsidR="001338A1" w:rsidRDefault="001338A1" w:rsidP="001338A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Automated IRS Form 1099-INT Tax Generator (</w:t>
      </w:r>
      <w:r>
        <w:rPr>
          <w:rFonts w:ascii="Helvetica Neue" w:hAnsi="Helvetica Neue" w:cs="Helvetica Neue"/>
          <w:color w:val="900112"/>
          <w:kern w:val="0"/>
          <w:sz w:val="25"/>
          <w:szCs w:val="25"/>
        </w:rPr>
        <w:t>TaxModule.js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) [MODIFY]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</w:t>
      </w:r>
    </w:p>
    <w:p w14:paraId="36E12F8F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Aggregates portfolio interest earnings compiled from active commercial note repayments.</w:t>
      </w:r>
    </w:p>
    <w:p w14:paraId="77EA4069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Created a high-fidelity interactive IRS Form 1099-INT preview modal (matching the Form 1099-DIV design) populating Taxpayer TINs, SPV names, and interest Box 1 values.</w:t>
      </w:r>
    </w:p>
    <w:p w14:paraId="70B5F693" w14:textId="77777777" w:rsidR="001338A1" w:rsidRDefault="001338A1" w:rsidP="001338A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Founder Pro Accounts Payable, Chore Delegation &amp; SEC Form C prep (</w:t>
      </w:r>
      <w:r>
        <w:rPr>
          <w:rFonts w:ascii="Helvetica Neue" w:hAnsi="Helvetica Neue" w:cs="Helvetica Neue"/>
          <w:color w:val="900112"/>
          <w:kern w:val="0"/>
          <w:sz w:val="25"/>
          <w:szCs w:val="25"/>
        </w:rPr>
        <w:t>EntrepreneurModule.js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) [MODIFY]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</w:t>
      </w:r>
    </w:p>
    <w:p w14:paraId="0FC15DF7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Implemented a 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Glassmorphic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SaaS gating console letting standard founders upgrade to 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Founder Pro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($49/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mo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) inline.</w:t>
      </w:r>
    </w:p>
    <w:p w14:paraId="083E8A40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Accounts Payable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: Active </w:t>
      </w:r>
      <w:proofErr w:type="gram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bill</w:t>
      </w:r>
      <w:proofErr w:type="gram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pay registers (AWS, WeWork desks, legal agent retainers) with auto-pay toggles and visual Cash flow runway SVG projections.</w:t>
      </w:r>
    </w:p>
    <w:p w14:paraId="624A7198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Chore Delegation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 Wizard letting founders outsource compliance tasks (e.g. bookkeeping reviews) to vetted affiliates with escrow incentive rewards.</w:t>
      </w:r>
    </w:p>
    <w:p w14:paraId="5CF4C4D6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SEC Form C prep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 Compliance spreadsheet pre-populating officers lists, Prior Exemptions, and capitalization tables.</w:t>
      </w:r>
    </w:p>
    <w:p w14:paraId="35301FCF" w14:textId="77777777" w:rsidR="001338A1" w:rsidRDefault="001338A1" w:rsidP="001338A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Venture Metrics Tracker (</w:t>
      </w:r>
      <w:r>
        <w:rPr>
          <w:rFonts w:ascii="Helvetica Neue" w:hAnsi="Helvetica Neue" w:cs="Helvetica Neue"/>
          <w:color w:val="900112"/>
          <w:kern w:val="0"/>
          <w:sz w:val="25"/>
          <w:szCs w:val="25"/>
        </w:rPr>
        <w:t>InvestorModule.js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) [MODIFY]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</w:t>
      </w:r>
    </w:p>
    <w:p w14:paraId="1241086A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Added a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"Venture Metrics"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</w:t>
      </w:r>
      <w:proofErr w:type="spellStart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subnav</w:t>
      </w:r>
      <w:proofErr w:type="spellEnd"/>
      <w:r>
        <w:rPr>
          <w:rFonts w:ascii="Helvetica Neue" w:hAnsi="Helvetica Neue" w:cs="Helvetica Neue"/>
          <w:color w:val="0E0E0E"/>
          <w:kern w:val="0"/>
          <w:sz w:val="28"/>
          <w:szCs w:val="28"/>
        </w:rPr>
        <w:t xml:space="preserve"> tab gated by </w:t>
      </w:r>
      <w:r>
        <w:rPr>
          <w:rFonts w:ascii="System Font" w:hAnsi="System Font" w:cs="System Font"/>
          <w:color w:val="900112"/>
          <w:kern w:val="0"/>
          <w:sz w:val="25"/>
          <w:szCs w:val="25"/>
        </w:rPr>
        <w:t>Lender Pro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 membership.</w:t>
      </w:r>
    </w:p>
    <w:p w14:paraId="63EC9788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Renders core telemetry parameters (ARR, EBITDA cash margins, runways, and LTV vs. CAC ratios) for portfolio holdings, mapped to quarterly ARR growth area plots and Cash runway line curves.</w:t>
      </w:r>
    </w:p>
    <w:p w14:paraId="067E321F" w14:textId="77777777" w:rsidR="001338A1" w:rsidRDefault="001338A1" w:rsidP="001338A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Autonomous AI Agent Brokerage Hub &amp; Loan Negotiation Simulator (</w:t>
      </w:r>
      <w:r>
        <w:rPr>
          <w:rFonts w:ascii="Helvetica Neue" w:hAnsi="Helvetica Neue" w:cs="Helvetica Neue"/>
          <w:color w:val="900112"/>
          <w:kern w:val="0"/>
          <w:sz w:val="25"/>
          <w:szCs w:val="25"/>
        </w:rPr>
        <w:t>AIAgentHub.js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) [NEW]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</w:t>
      </w:r>
    </w:p>
    <w:p w14:paraId="32559073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Operations panel to boot, supervise, and specify strategy settings for </w:t>
      </w: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CapitalAgent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(Investor AI)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 </w:t>
      </w: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FounderAgent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(Entrepreneur AI)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, and </w:t>
      </w:r>
      <w:proofErr w:type="spellStart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AuditAgent</w:t>
      </w:r>
      <w:proofErr w:type="spellEnd"/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 xml:space="preserve"> (Affiliate AI)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.</w:t>
      </w:r>
    </w:p>
    <w:p w14:paraId="179366AB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Negotiation Simulator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 Step-by-step interactive conversational simulation showing agents counter-offering rates, converging on APR values based on BRS analytics, signing the promissory note, locking a SHA-256 agreement hash, and depositing duplicates to the Vault.</w:t>
      </w:r>
    </w:p>
    <w:p w14:paraId="0CD66E43" w14:textId="77777777" w:rsidR="001338A1" w:rsidRDefault="001338A1" w:rsidP="001338A1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lastRenderedPageBreak/>
        <w:t>Ecosystem Framework Routing (</w:t>
      </w:r>
      <w:r>
        <w:rPr>
          <w:rFonts w:ascii="Helvetica Neue" w:hAnsi="Helvetica Neue" w:cs="Helvetica Neue"/>
          <w:color w:val="900112"/>
          <w:kern w:val="0"/>
          <w:sz w:val="25"/>
          <w:szCs w:val="25"/>
        </w:rPr>
        <w:t>page.js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) [MODIFY]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:</w:t>
      </w:r>
    </w:p>
    <w:p w14:paraId="1950C667" w14:textId="77777777" w:rsidR="001338A1" w:rsidRDefault="001338A1" w:rsidP="001338A1">
      <w:pPr>
        <w:numPr>
          <w:ilvl w:val="1"/>
          <w:numId w:val="1"/>
        </w:numPr>
        <w:tabs>
          <w:tab w:val="left" w:pos="940"/>
          <w:tab w:val="left" w:pos="1440"/>
        </w:tabs>
        <w:autoSpaceDE w:val="0"/>
        <w:autoSpaceDN w:val="0"/>
        <w:adjustRightInd w:val="0"/>
        <w:spacing w:after="0" w:line="240" w:lineRule="auto"/>
        <w:ind w:hanging="1440"/>
        <w:rPr>
          <w:rFonts w:ascii="Helvetica Neue" w:hAnsi="Helvetica Neue" w:cs="Helvetica Neue"/>
          <w:color w:val="0E0E0E"/>
          <w:kern w:val="0"/>
          <w:sz w:val="28"/>
          <w:szCs w:val="28"/>
        </w:rPr>
      </w:pP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Integrated navigation links and routed core rendering switches for the new </w:t>
      </w:r>
      <w:r>
        <w:rPr>
          <w:rFonts w:ascii="Helvetica Neue" w:hAnsi="Helvetica Neue" w:cs="Helvetica Neue"/>
          <w:b/>
          <w:bCs/>
          <w:color w:val="0E0E0E"/>
          <w:kern w:val="0"/>
          <w:sz w:val="28"/>
          <w:szCs w:val="28"/>
        </w:rPr>
        <w:t>AI Agents Hub</w:t>
      </w:r>
      <w:r>
        <w:rPr>
          <w:rFonts w:ascii="Helvetica Neue" w:hAnsi="Helvetica Neue" w:cs="Helvetica Neue"/>
          <w:color w:val="0E0E0E"/>
          <w:kern w:val="0"/>
          <w:sz w:val="28"/>
          <w:szCs w:val="28"/>
        </w:rPr>
        <w:t>.</w:t>
      </w:r>
    </w:p>
    <w:p w14:paraId="0B0FEEDE" w14:textId="77777777" w:rsidR="001D3309" w:rsidRDefault="001D3309"/>
    <w:sectPr w:rsidR="001D3309" w:rsidSect="001338A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00000002"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57346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A1"/>
    <w:rsid w:val="001338A1"/>
    <w:rsid w:val="001D3309"/>
    <w:rsid w:val="00420B3A"/>
    <w:rsid w:val="005B018F"/>
    <w:rsid w:val="006071A9"/>
    <w:rsid w:val="00661A6B"/>
    <w:rsid w:val="00C9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D4C5"/>
  <w15:chartTrackingRefBased/>
  <w15:docId w15:val="{735903DC-C5FB-974B-909E-3897CC1EA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 Ganapati (Student)</dc:creator>
  <cp:keywords/>
  <dc:description/>
  <cp:lastModifiedBy>Srikant Ganapati (Student)</cp:lastModifiedBy>
  <cp:revision>1</cp:revision>
  <dcterms:created xsi:type="dcterms:W3CDTF">2026-06-01T22:33:00Z</dcterms:created>
  <dcterms:modified xsi:type="dcterms:W3CDTF">2026-06-01T22:35:00Z</dcterms:modified>
</cp:coreProperties>
</file>