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EA5E9"/>
          <w:sz w:val="18"/>
        </w:rPr>
        <w:t>QUARKSHIELD ENTERPRISE CYBERSECURITY | STRATEGY BLUEPRINT 2026</w:t>
        <w:br/>
      </w:r>
      <w:r>
        <w:rPr>
          <w:rFonts w:ascii="Calibri" w:hAnsi="Calibri"/>
          <w:b/>
          <w:color w:val="0F172A"/>
          <w:sz w:val="44"/>
        </w:rPr>
        <w:t>Agentless &amp; API-First PQC Discovery Architecture</w:t>
        <w:br/>
        <w:t>The 'Wiz Model' for Post-Quantum Cryptographic Visibility</w:t>
      </w:r>
    </w:p>
    <w:p>
      <w:pPr>
        <w:spacing w:after="280"/>
      </w:pPr>
      <w:r>
        <w:rPr>
          <w:color w:val="64748B"/>
          <w:sz w:val="19"/>
        </w:rPr>
        <w:t>Strategic Whitepaper: Eliminating Enterprise 'Agent Fatigue' via Cloud KMS APIs, Microsoft Intune / Jamf MDM Connectors, Out-of-Band Disk Snapshotting, and Ephemeral CLI | Version 2.0</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36" w:space="0" w:color="0EA5E9"/>
              <w:bottom w:val="none"/>
              <w:right w:val="none"/>
            </w:tcBorders>
          </w:tcPr>
          <w:p>
            <w:pPr>
              <w:spacing w:before="0" w:after="80"/>
            </w:pPr>
            <w:r>
              <w:rPr>
                <w:rFonts w:ascii="Calibri" w:hAnsi="Calibri"/>
                <w:b/>
                <w:color w:val="0EA5E9"/>
                <w:sz w:val="20"/>
              </w:rPr>
              <w:t>✦ EXECUTIVE CORE THESIS: ZERO-AGENT ENTERPRISE ADOPTION</w:t>
              <w:br/>
            </w:r>
            <w:r>
              <w:rPr>
                <w:rFonts w:ascii="Calibri" w:hAnsi="Calibri"/>
                <w:color w:val="334155"/>
                <w:sz w:val="19"/>
              </w:rPr>
              <w:t>The primary bottleneck in enterprise security adoption is 'Agent Fatigue'. Traditional security solutions require installing and maintaining background root daemons across tens of thousands of endpoints, triggering developer friction, change control delays of 3–6 months, and severe operational risk (highlighted by the global CrowdStrike kernel crash). Following the $12B Wiz market-disruption model, QuarkShield implements an 100% Agentless, API-First Post-Quantum Cryptography (PQC) Discovery engine that audits cloud KMS, enterprise MDMs (Intune/Jamf), secret vaults, and virtual machine disks in under 2 minutes with zero software installation on production workloads.</w:t>
            </w:r>
          </w:p>
        </w:tc>
      </w:tr>
    </w:tbl>
    <w:p>
      <w:pPr>
        <w:spacing w:before="0" w:after="120"/>
      </w:pPr>
    </w:p>
    <w:p>
      <w:pPr>
        <w:pStyle w:val="Heading1"/>
        <w:keepNext/>
        <w:spacing w:before="280" w:after="80"/>
      </w:pPr>
      <w:r>
        <w:rPr>
          <w:rFonts w:ascii="Calibri" w:hAnsi="Calibri"/>
          <w:b/>
          <w:color w:val="0F172A"/>
          <w:sz w:val="30"/>
        </w:rPr>
        <w:t>1. The Enterprise Problem: Why Traditional Agents Fail</w:t>
      </w:r>
    </w:p>
    <w:p>
      <w:r>
        <w:t>Over the past decade, enterprise security teams attempted to solve visibility by installing persistent agent daemons on every corporate laptop, server, and virtual machine. While functional in small environments, this approach creates profound systemic friction in modern enterprises:</w:t>
      </w:r>
    </w:p>
    <w:p>
      <w:pPr>
        <w:pStyle w:val="ListBullet"/>
        <w:spacing w:after="60"/>
      </w:pPr>
      <w:r>
        <w:rPr>
          <w:b/>
          <w:color w:val="0F172A"/>
        </w:rPr>
        <w:t xml:space="preserve">Developer &amp; DevOps Backlash: </w:t>
      </w:r>
      <w:r>
        <w:t>Engineering and site reliability engineering (SRE) teams strongly resist running third-party background daemons on developer workstations and production clusters due to CPU/memory consumption, thermal throttling, and unpredictable crashes.</w:t>
      </w:r>
    </w:p>
    <w:p>
      <w:pPr>
        <w:pStyle w:val="ListBullet"/>
        <w:spacing w:after="60"/>
      </w:pPr>
      <w:r>
        <w:rPr>
          <w:b/>
          <w:color w:val="0F172A"/>
        </w:rPr>
        <w:t xml:space="preserve">Kernel-Level Risk &amp; System Outages: </w:t>
      </w:r>
      <w:r>
        <w:t>The catastrophic July 2024 global CrowdStrike outage proved the existential danger of kernel-level agents. A single corrupted update grounded airlines, paralyzed healthcare, and caused billions in downtime. CISOs and CIOs are actively mandating 'agentless-first' security tooling.</w:t>
      </w:r>
    </w:p>
    <w:p>
      <w:pPr>
        <w:pStyle w:val="ListBullet"/>
        <w:spacing w:after="60"/>
      </w:pPr>
      <w:r>
        <w:rPr>
          <w:b/>
          <w:color w:val="0F172A"/>
        </w:rPr>
        <w:t xml:space="preserve">Maintenance &amp; Version Drift Nightmare: </w:t>
      </w:r>
      <w:r>
        <w:t>Maintaining active agents across 15+ Linux distributions (Ubuntu, RHEL, Alpine, Debian), multiple macOS architectures (x86_64, arm64 M1–M4), and Windows builds results in massive version drift, broken dependencies, and high administrative overhead.</w:t>
      </w:r>
    </w:p>
    <w:p>
      <w:pPr>
        <w:pStyle w:val="ListBullet"/>
        <w:spacing w:after="60"/>
      </w:pPr>
      <w:r>
        <w:rPr>
          <w:b/>
          <w:color w:val="0F172A"/>
        </w:rPr>
        <w:t xml:space="preserve">Extended Procurement &amp; Change Control Delays: </w:t>
      </w:r>
      <w:r>
        <w:t>Deploying a persistent agent into a Fortune 500 company requires Architecture Review Board (ARB) clearance, third-party code audits, and operational change windows—stalling sales cycles by 3 to 9 months.</w:t>
      </w:r>
    </w:p>
    <w:p>
      <w:pPr>
        <w:pStyle w:val="Heading1"/>
        <w:keepNext/>
        <w:spacing w:before="280" w:after="80"/>
      </w:pPr>
      <w:r>
        <w:rPr>
          <w:rFonts w:ascii="Calibri" w:hAnsi="Calibri"/>
          <w:b/>
          <w:color w:val="0F172A"/>
          <w:sz w:val="30"/>
        </w:rPr>
        <w:t>2. The 'Wiz Model': How Agentless Disrupted Cloud Security</w:t>
      </w:r>
    </w:p>
    <w:p>
      <w:r>
        <w:t xml:space="preserve">Wiz achieved the fastest growth in enterprise software history—reaching a $12B+ valuation and near $23B acquisition offer from Google—by proving that </w:t>
      </w:r>
      <w:r>
        <w:rPr>
          <w:b/>
        </w:rPr>
        <w:t>100% agentless scanning outperforms agent-based architectures in speed, accuracy, and operational safety.</w:t>
      </w:r>
      <w:r>
        <w:t xml:space="preserve"> Wiz accomplished this through three architectural pillars:</w:t>
      </w:r>
    </w:p>
    <w:p>
      <w:pPr>
        <w:pStyle w:val="ListBullet"/>
        <w:spacing w:after="60"/>
      </w:pPr>
      <w:r>
        <w:rPr>
          <w:b/>
          <w:color w:val="0E7490"/>
        </w:rPr>
        <w:t xml:space="preserve">Read-Only Cloud API Role: </w:t>
      </w:r>
      <w:r>
        <w:t>Instead of touching running servers, Wiz connects via an AWS IAM Role, Azure App Registration, or GCP Service Account with read-only permissions. Zero software is installed anywhere.</w:t>
      </w:r>
    </w:p>
    <w:p>
      <w:pPr>
        <w:pStyle w:val="ListBullet"/>
        <w:spacing w:after="60"/>
      </w:pPr>
      <w:r>
        <w:rPr>
          <w:b/>
          <w:color w:val="0E7490"/>
        </w:rPr>
        <w:t xml:space="preserve">Out-of-Band Volume Snapshot Scanning: </w:t>
      </w:r>
      <w:r>
        <w:t>To inspect the operating system, packages, and credentials inside a virtual machine without running code on it, Wiz snapshots the disk volume via Cloud API, mounts the snapshot out-of-band in an isolated worker, scans it, and destroys the volume.</w:t>
      </w:r>
    </w:p>
    <w:p>
      <w:pPr>
        <w:pStyle w:val="ListBullet"/>
        <w:spacing w:after="60"/>
      </w:pPr>
      <w:r>
        <w:rPr>
          <w:b/>
          <w:color w:val="0E7490"/>
        </w:rPr>
        <w:t xml:space="preserve">SaaS &amp; Identity Connectors: </w:t>
      </w:r>
      <w:r>
        <w:t>Connecting directly to GitHub, Okta, Active Directory, and Kubernetes APIs to build a unified security graph.</w:t>
      </w:r>
    </w:p>
    <w:tbl>
      <w:tblPr>
        <w:tblW w:type="auto" w:w="0"/>
        <w:jc w:val="center"/>
        <w:tblLayout w:type="fixed"/>
        <w:tblLook w:firstColumn="1" w:firstRow="1" w:lastColumn="0" w:lastRow="0" w:noHBand="0" w:noVBand="1" w:val="04A0"/>
      </w:tblPr>
      <w:tblGrid>
        <w:gridCol w:w="9936"/>
      </w:tblGrid>
      <w:tr>
        <w:tc>
          <w:tcPr>
            <w:tcW w:type="dxa" w:w="9360"/>
            <w:shd w:fill="ECFDF5"/>
            <w:tcMar>
              <w:top w:w="140" w:type="dxa"/>
              <w:bottom w:w="140" w:type="dxa"/>
              <w:left w:w="200" w:type="dxa"/>
              <w:right w:w="180" w:type="dxa"/>
            </w:tcMar>
            <w:tcBorders>
              <w:top w:val="none"/>
              <w:left w:val="single" w:sz="36" w:space="0" w:color="10B981"/>
              <w:bottom w:val="none"/>
              <w:right w:val="none"/>
            </w:tcBorders>
          </w:tcPr>
          <w:p>
            <w:pPr>
              <w:spacing w:before="0" w:after="80"/>
            </w:pPr>
            <w:r>
              <w:rPr>
                <w:rFonts w:ascii="Calibri" w:hAnsi="Calibri"/>
                <w:b/>
                <w:color w:val="10B981"/>
                <w:sz w:val="20"/>
              </w:rPr>
              <w:t>✦ APPLYING THE WIZ MODEL TO POST-QUANTUM CRYPTOGRAPHY</w:t>
              <w:br/>
            </w:r>
            <w:r>
              <w:rPr>
                <w:rFonts w:ascii="Calibri" w:hAnsi="Calibri"/>
                <w:color w:val="334155"/>
                <w:sz w:val="19"/>
              </w:rPr>
              <w:t>By translating the Wiz playbook to Post-Quantum Cryptography (PQC), QuarkShield eliminates 100% of deployment friction. Customers connect their AWS/Azure environments, Microsoft Intune tenant, and Git repositories via API in 2 minutes, immediately receiving a full Cryptographic Bill of Materials (CBOM) and quantum vulnerability score without installing an agent.</w:t>
            </w:r>
          </w:p>
        </w:tc>
      </w:tr>
    </w:tbl>
    <w:p>
      <w:pPr>
        <w:spacing w:before="0" w:after="120"/>
      </w:pPr>
    </w:p>
    <w:p>
      <w:pPr>
        <w:pStyle w:val="Heading1"/>
        <w:keepNext/>
        <w:spacing w:before="280" w:after="80"/>
      </w:pPr>
      <w:r>
        <w:rPr>
          <w:rFonts w:ascii="Calibri" w:hAnsi="Calibri"/>
          <w:b/>
          <w:color w:val="0F172A"/>
          <w:sz w:val="30"/>
        </w:rPr>
        <w:t>3. The 5 QuarkShield Agentless PQC API Connectors</w:t>
      </w:r>
    </w:p>
    <w:p>
      <w:r>
        <w:t>QuarkShield's Agentless Architecture is organized into five modular, read-only API connectors that provide comprehensive visibility across cloud, workstation fleets, identity stores, and network boundaries:</w:t>
      </w:r>
    </w:p>
    <w:p>
      <w:pPr>
        <w:pStyle w:val="Heading2"/>
        <w:keepNext/>
        <w:spacing w:before="280" w:after="80"/>
      </w:pPr>
      <w:r>
        <w:rPr>
          <w:rFonts w:ascii="Calibri" w:hAnsi="Calibri"/>
          <w:b/>
          <w:color w:val="0E7490"/>
          <w:sz w:val="25"/>
        </w:rPr>
        <w:t>3.1 Cloud KMS &amp; Certificate Manager Connectors (AWS / Azure / GCP)</w:t>
      </w:r>
    </w:p>
    <w:p>
      <w:r>
        <w:t>Corporate infrastructure relies on managed cloud services for cryptographic keys and TLS termination. QuarkShield connects to cloud provider APIs in under 2 minutes via read-only IAM roles:</w:t>
      </w:r>
    </w:p>
    <w:p>
      <w:pPr>
        <w:pStyle w:val="ListBullet"/>
        <w:spacing w:after="40"/>
      </w:pPr>
      <w:r>
        <w:rPr>
          <w:b/>
        </w:rPr>
        <w:t xml:space="preserve">AWS KMS &amp; ACM: </w:t>
      </w:r>
      <w:r>
        <w:t>Scans AWS Key Management Service (KMS) for all Customer Master Keys (CMKs), tagging RSA-2048/4096 and ECC keys as Shor-vulnerable. Queries AWS Certificate Manager (ACM) for all public and private SSL/TLS certificates and CloudFront / ALB security policies.</w:t>
      </w:r>
    </w:p>
    <w:p>
      <w:pPr>
        <w:pStyle w:val="ListBullet"/>
        <w:spacing w:after="40"/>
      </w:pPr>
      <w:r>
        <w:rPr>
          <w:b/>
        </w:rPr>
        <w:t xml:space="preserve">Azure Key Vault &amp; Front Door: </w:t>
      </w:r>
      <w:r>
        <w:t>Audits Azure Key Vaults for keys and certificates. Evaluates Azure Application Gateway and Front Door cipher configurations for lack of hybrid PQC key exchange support.</w:t>
      </w:r>
    </w:p>
    <w:p>
      <w:pPr>
        <w:pStyle w:val="ListBullet"/>
        <w:spacing w:after="40"/>
      </w:pPr>
      <w:r>
        <w:rPr>
          <w:b/>
        </w:rPr>
        <w:t xml:space="preserve">Google Cloud KMS &amp; Certificate Manager: </w:t>
      </w:r>
      <w:r>
        <w:t>Inventories Cloud KMS key rings and crypto keys. Identifies classic elliptic curve algorithms (secp256k1, prime256v1) requiring migration to NIST FIPS 203/204/205 standards.</w:t>
      </w:r>
    </w:p>
    <w:p>
      <w:pPr>
        <w:pStyle w:val="Heading2"/>
        <w:keepNext/>
        <w:spacing w:before="280" w:after="80"/>
      </w:pPr>
      <w:r>
        <w:rPr>
          <w:rFonts w:ascii="Calibri" w:hAnsi="Calibri"/>
          <w:b/>
          <w:color w:val="0E7490"/>
          <w:sz w:val="25"/>
        </w:rPr>
        <w:t>3.2 Enterprise MDM Connectors (Microsoft Intune &amp; Jamf Pro for Workstations)</w:t>
      </w:r>
    </w:p>
    <w:p>
      <w:r>
        <w:t xml:space="preserve">The greatest breakthrough for auditing employee and developer laptops without rolling an agent is leveraging the organization's </w:t>
      </w:r>
      <w:r>
        <w:rPr>
          <w:b/>
        </w:rPr>
        <w:t>existing Mobile Device Management (MDM) infrastructure</w:t>
      </w:r>
      <w:r>
        <w:t>. Every enterprise already mandates Microsoft Intune (on Windows/Mac) or Jamf Pro (on macOS):</w:t>
      </w:r>
    </w:p>
    <w:p>
      <w:pPr>
        <w:pStyle w:val="ListBullet"/>
        <w:spacing w:after="40"/>
      </w:pPr>
      <w:r>
        <w:rPr>
          <w:b/>
        </w:rPr>
        <w:t xml:space="preserve">Microsoft Graph API (Intune): </w:t>
      </w:r>
      <w:r>
        <w:t>QuarkShield connects to Microsoft Graph with read-only DeviceManagement permissions. It queries enrolled laptop profiles, installed root and intermediate certificates, system configuration policies, and BitLocker recovery key algorithms.</w:t>
      </w:r>
    </w:p>
    <w:p>
      <w:pPr>
        <w:pStyle w:val="ListBullet"/>
        <w:spacing w:after="40"/>
      </w:pPr>
      <w:r>
        <w:rPr>
          <w:b/>
        </w:rPr>
        <w:t xml:space="preserve">Jamf Pro REST API (macOS): </w:t>
      </w:r>
      <w:r>
        <w:t>Connects to Jamf Pro to inspect macOS system configuration profiles, FileVault encryption policies, enrolled certificate payloads, and developer workstation inventories.</w:t>
      </w:r>
    </w:p>
    <w:p>
      <w:pPr>
        <w:pStyle w:val="ListBullet"/>
        <w:spacing w:after="40"/>
      </w:pPr>
      <w:r>
        <w:rPr>
          <w:b/>
        </w:rPr>
        <w:t xml:space="preserve">Zero Friction for Security Teams: </w:t>
      </w:r>
      <w:r>
        <w:t>Security teams configure a single API app registration in Azure Active Directory (Entra ID) or Jamf Pro. In under 5 minutes, 10,000+ laptops are audited for quantum cryptographic compliance with zero software pushed to users.</w:t>
      </w:r>
    </w:p>
    <w:p>
      <w:pPr>
        <w:pStyle w:val="Heading2"/>
        <w:keepNext/>
        <w:spacing w:before="280" w:after="80"/>
      </w:pPr>
      <w:r>
        <w:rPr>
          <w:rFonts w:ascii="Calibri" w:hAnsi="Calibri"/>
          <w:b/>
          <w:color w:val="0E7490"/>
          <w:sz w:val="25"/>
        </w:rPr>
        <w:t>3.3 Centralized Secrets Vault &amp; Git Repository APIs</w:t>
      </w:r>
    </w:p>
    <w:p>
      <w:r>
        <w:t>Hardcoded credentials, static private keys, and outdated cryptographic libraries frequently hide inside central vaults and developer source code repositories:</w:t>
      </w:r>
    </w:p>
    <w:p>
      <w:pPr>
        <w:pStyle w:val="ListBullet"/>
        <w:spacing w:after="40"/>
      </w:pPr>
      <w:r>
        <w:rPr>
          <w:b/>
        </w:rPr>
        <w:t xml:space="preserve">HashiCorp Vault &amp; CyberArk: </w:t>
      </w:r>
      <w:r>
        <w:t>Read-only API access to PKI and Transit secret engines to audit stored RSA/ECC keys, client certificates, and root CAs.</w:t>
      </w:r>
    </w:p>
    <w:p>
      <w:pPr>
        <w:pStyle w:val="ListBullet"/>
        <w:spacing w:after="40"/>
      </w:pPr>
      <w:r>
        <w:rPr>
          <w:b/>
        </w:rPr>
        <w:t xml:space="preserve">GitHub / GitLab / Bitbucket APIs: </w:t>
      </w:r>
      <w:r>
        <w:t>Scans organization repositories for hardcoded PEM, DER, KEY, and PKCS#12 bundles. Analyzes SSH deploy keys across all repositories and flags Shor-vulnerable RSA-2048 credentials.</w:t>
      </w:r>
    </w:p>
    <w:p>
      <w:pPr>
        <w:pStyle w:val="Heading2"/>
        <w:keepNext/>
        <w:spacing w:before="280" w:after="80"/>
      </w:pPr>
      <w:r>
        <w:rPr>
          <w:rFonts w:ascii="Calibri" w:hAnsi="Calibri"/>
          <w:b/>
          <w:color w:val="0E7490"/>
          <w:sz w:val="25"/>
        </w:rPr>
        <w:t>3.4 Out-of-Band Cloud Volume Snapshotting (Wiz Secret Sauce)</w:t>
      </w:r>
    </w:p>
    <w:p>
      <w:r>
        <w:t>For deep host filesystem analysis (discovering OpenSSH configs, local SSL certificates in /etc/ssl, and developer ~/.ssh keys on cloud VMs) without installing an agent, QuarkShield implements out-of-band volume inspection:</w:t>
      </w:r>
    </w:p>
    <w:p>
      <w:pPr>
        <w:pStyle w:val="ListBullet"/>
        <w:spacing w:after="40"/>
      </w:pPr>
      <w:r>
        <w:rPr>
          <w:b/>
        </w:rPr>
        <w:t xml:space="preserve">1. Read-Only Snapshot: </w:t>
      </w:r>
      <w:r>
        <w:t>QuarkShield requests an EBS / Azure Managed Disk / GCP Persistent Disk snapshot via Cloud API.</w:t>
      </w:r>
    </w:p>
    <w:p>
      <w:pPr>
        <w:pStyle w:val="ListBullet"/>
        <w:spacing w:after="40"/>
      </w:pPr>
      <w:r>
        <w:rPr>
          <w:b/>
        </w:rPr>
        <w:t xml:space="preserve">2. Out-of-Band Mounting: </w:t>
      </w:r>
      <w:r>
        <w:t>The snapshot is attached as read-only to a dedicated, ephemeral QuarkShield inspection container in an isolated VPC.</w:t>
      </w:r>
    </w:p>
    <w:p>
      <w:pPr>
        <w:pStyle w:val="ListBullet"/>
        <w:spacing w:after="40"/>
      </w:pPr>
      <w:r>
        <w:rPr>
          <w:b/>
        </w:rPr>
        <w:t xml:space="preserve">3. Cryptographic Parsing: </w:t>
      </w:r>
      <w:r>
        <w:t>The inspector analyzes /etc/ssh/sshd_config, PEM files, X.509 certificates, and dynamic crypto libraries (OpenSSL, GnuTLS) without executing any binary on the customer's live host.</w:t>
      </w:r>
    </w:p>
    <w:p>
      <w:pPr>
        <w:pStyle w:val="ListBullet"/>
        <w:spacing w:after="40"/>
      </w:pPr>
      <w:r>
        <w:rPr>
          <w:b/>
        </w:rPr>
        <w:t xml:space="preserve">4. Snapshot Deletion: </w:t>
      </w:r>
      <w:r>
        <w:t>Findings are ingested into the customer's CBOM graph, and the snapshot is immediately unmounted and deleted. Host CPU impact: 0%. Host downtime: 0%.</w:t>
      </w:r>
    </w:p>
    <w:p>
      <w:pPr>
        <w:pStyle w:val="Heading2"/>
        <w:keepNext/>
        <w:spacing w:before="280" w:after="80"/>
      </w:pPr>
      <w:r>
        <w:rPr>
          <w:rFonts w:ascii="Calibri" w:hAnsi="Calibri"/>
          <w:b/>
          <w:color w:val="0E7490"/>
          <w:sz w:val="25"/>
        </w:rPr>
        <w:t>3.5 Remote Network &amp; Port PQC Prober (Zero-Touch Active Scanner)</w:t>
      </w:r>
    </w:p>
    <w:p>
      <w:r>
        <w:t>An active, remote network prober that audits public and internal IP addresses, CIDR blocks, and domains:</w:t>
      </w:r>
    </w:p>
    <w:p>
      <w:pPr>
        <w:pStyle w:val="ListBullet"/>
        <w:spacing w:after="40"/>
      </w:pPr>
      <w:r>
        <w:rPr>
          <w:b/>
        </w:rPr>
        <w:t xml:space="preserve">TLS 1.3 &amp; Hybrid PQC Key Exchange: </w:t>
      </w:r>
      <w:r>
        <w:t>Initiates active TLS handshakes to determine whether the server supports NIST PQC hybrid key encapsulation (e.g., X25519Kyber768Draft00 or ML-KEM-768).</w:t>
      </w:r>
    </w:p>
    <w:p>
      <w:pPr>
        <w:pStyle w:val="ListBullet"/>
        <w:spacing w:after="40"/>
      </w:pPr>
      <w:r>
        <w:rPr>
          <w:b/>
        </w:rPr>
        <w:t xml:space="preserve">X.509 Certificate Chain Validation: </w:t>
      </w:r>
      <w:r>
        <w:t>Inspects leaf, intermediate, and root certificates for classic signature algorithms (RSA-2048, SHA-256 with RSA, ECDSA P-256) vs composite PQC signatures (ML-DSA / SLH-DSA).</w:t>
      </w:r>
    </w:p>
    <w:p>
      <w:pPr>
        <w:pStyle w:val="ListBullet"/>
        <w:spacing w:after="40"/>
      </w:pPr>
      <w:r>
        <w:rPr>
          <w:b/>
        </w:rPr>
        <w:t xml:space="preserve">SSH Cipher Audit: </w:t>
      </w:r>
      <w:r>
        <w:t>Probes port 22 to verify whether the host negotiates sntrup761x25519-sha512 or mlkem768x25519 key exchange.</w:t>
      </w:r>
    </w:p>
    <w:p>
      <w:pPr>
        <w:pStyle w:val="Heading1"/>
        <w:keepNext/>
        <w:spacing w:before="280" w:after="80"/>
      </w:pPr>
      <w:r>
        <w:rPr>
          <w:rFonts w:ascii="Calibri" w:hAnsi="Calibri"/>
          <w:b/>
          <w:color w:val="0F172A"/>
          <w:sz w:val="30"/>
        </w:rPr>
        <w:t>4. The Repositioned Binary: Ephemeral 1-Shot CLI &amp; CI/CD Tool</w:t>
      </w:r>
    </w:p>
    <w:p>
      <w:r>
        <w:t xml:space="preserve">In this modern dual architecture, the pre-compiled Go binary (quarkshield-scanner) is </w:t>
      </w:r>
      <w:r>
        <w:rPr>
          <w:b/>
        </w:rPr>
        <w:t>not discarded</w:t>
      </w:r>
      <w:r>
        <w:t xml:space="preserve">—it is repositioned into its most potent enterprise form: an </w:t>
      </w:r>
      <w:r>
        <w:rPr>
          <w:b/>
        </w:rPr>
        <w:t>Ephemeral 1-Shot CLI</w:t>
      </w:r>
      <w:r>
        <w:t xml:space="preserve"> similar to tools like Trivy, Snyk CLI, or Homebrew:</w:t>
      </w:r>
    </w:p>
    <w:p>
      <w:pPr>
        <w:pStyle w:val="ListBullet"/>
        <w:spacing w:after="40"/>
      </w:pPr>
      <w:r>
        <w:rPr>
          <w:b/>
        </w:rPr>
        <w:t xml:space="preserve">Developer Terminal Utility: </w:t>
      </w:r>
      <w:r>
        <w:t>Developers can run './quarkshield-scanner --quick' or a 1-line curl script to audit their workstation in under 2 seconds. The tool inspects their SSH keys and developer certificates, prints findings to terminal, and exits immediately. No daemon stays in memory.</w:t>
      </w:r>
    </w:p>
    <w:p>
      <w:pPr>
        <w:pStyle w:val="ListBullet"/>
        <w:spacing w:after="40"/>
      </w:pPr>
      <w:r>
        <w:rPr>
          <w:b/>
        </w:rPr>
        <w:t xml:space="preserve">CI/CD Pipeline Security Gate: </w:t>
      </w:r>
      <w:r>
        <w:t>Easily embedded into GitHub Actions, GitLab CI, or Jenkins pipelines to audit container images, codebases, and SSH keys during build time before deployment.</w:t>
      </w:r>
    </w:p>
    <w:p>
      <w:pPr>
        <w:pStyle w:val="ListBullet"/>
        <w:spacing w:after="40"/>
      </w:pPr>
      <w:r>
        <w:rPr>
          <w:b/>
        </w:rPr>
        <w:t xml:space="preserve">Air-Gapped &amp; High-Security Enclaves: </w:t>
      </w:r>
      <w:r>
        <w:t>Government facilities, intelligence agencies, and defense networks where cloud APIs are prohibited can utilize the standalone binary offline, exporting results as a standardized CycloneDX 1.6 CBOM JSON file.</w:t>
      </w:r>
    </w:p>
    <w:p>
      <w:pPr>
        <w:pStyle w:val="Heading1"/>
        <w:keepNext/>
        <w:spacing w:before="280" w:after="80"/>
      </w:pPr>
      <w:r>
        <w:rPr>
          <w:rFonts w:ascii="Calibri" w:hAnsi="Calibri"/>
          <w:b/>
          <w:color w:val="0F172A"/>
          <w:sz w:val="30"/>
        </w:rPr>
        <w:t>5. Architectural Comparison: Agentless vs Persistent Agent vs Ephemeral CLI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80" w:type="dxa"/>
              <w:bottom w:w="80" w:type="dxa"/>
              <w:left w:w="100" w:type="dxa"/>
              <w:right w:w="100" w:type="dxa"/>
            </w:tcMar>
          </w:tcPr>
          <w:p>
            <w:pPr>
              <w:spacing w:before="0" w:after="0" w:line="264" w:lineRule="auto"/>
              <w:jc w:val="left"/>
            </w:pPr>
            <w:r>
              <w:rPr>
                <w:rFonts w:ascii="Calibri" w:hAnsi="Calibri"/>
                <w:b/>
                <w:color w:val="FFFFFF"/>
                <w:sz w:val="19"/>
              </w:rPr>
              <w:t>Evaluation Metric</w:t>
            </w:r>
          </w:p>
        </w:tc>
        <w:tc>
          <w:tcPr>
            <w:tcW w:type="dxa" w:w="2592"/>
            <w:shd w:fill="0F172A"/>
            <w:tcMar>
              <w:top w:w="80" w:type="dxa"/>
              <w:bottom w:w="80" w:type="dxa"/>
              <w:left w:w="100" w:type="dxa"/>
              <w:right w:w="100" w:type="dxa"/>
            </w:tcMar>
          </w:tcPr>
          <w:p>
            <w:pPr>
              <w:spacing w:before="0" w:after="0" w:line="264" w:lineRule="auto"/>
              <w:jc w:val="left"/>
            </w:pPr>
            <w:r>
              <w:rPr>
                <w:rFonts w:ascii="Calibri" w:hAnsi="Calibri"/>
                <w:b/>
                <w:color w:val="FFFFFF"/>
                <w:sz w:val="19"/>
              </w:rPr>
              <w:t>Wiz-Style Agentless (API)</w:t>
            </w:r>
          </w:p>
        </w:tc>
        <w:tc>
          <w:tcPr>
            <w:tcW w:type="dxa" w:w="2160"/>
            <w:shd w:fill="0F172A"/>
            <w:tcMar>
              <w:top w:w="80" w:type="dxa"/>
              <w:bottom w:w="80" w:type="dxa"/>
              <w:left w:w="100" w:type="dxa"/>
              <w:right w:w="100" w:type="dxa"/>
            </w:tcMar>
          </w:tcPr>
          <w:p>
            <w:pPr>
              <w:spacing w:before="0" w:after="0" w:line="264" w:lineRule="auto"/>
              <w:jc w:val="left"/>
            </w:pPr>
            <w:r>
              <w:rPr>
                <w:rFonts w:ascii="Calibri" w:hAnsi="Calibri"/>
                <w:b/>
                <w:color w:val="FFFFFF"/>
                <w:sz w:val="19"/>
              </w:rPr>
              <w:t>Persistent Daemon Agent</w:t>
            </w:r>
          </w:p>
        </w:tc>
        <w:tc>
          <w:tcPr>
            <w:tcW w:type="dxa" w:w="2016"/>
            <w:shd w:fill="0F172A"/>
            <w:tcMar>
              <w:top w:w="80" w:type="dxa"/>
              <w:bottom w:w="80" w:type="dxa"/>
              <w:left w:w="100" w:type="dxa"/>
              <w:right w:w="100" w:type="dxa"/>
            </w:tcMar>
          </w:tcPr>
          <w:p>
            <w:pPr>
              <w:spacing w:before="0" w:after="0" w:line="264" w:lineRule="auto"/>
              <w:jc w:val="left"/>
            </w:pPr>
            <w:r>
              <w:rPr>
                <w:rFonts w:ascii="Calibri" w:hAnsi="Calibri"/>
                <w:b/>
                <w:color w:val="FFFFFF"/>
                <w:sz w:val="19"/>
              </w:rPr>
              <w:t>Ephemeral 1-Shot CLI</w:t>
            </w:r>
          </w:p>
        </w:tc>
      </w:tr>
      <w:tr>
        <w:tc>
          <w:tcPr>
            <w:tcW w:type="dxa" w:w="2592"/>
            <w:shd w:fill="F8FAFC"/>
            <w:tcMar>
              <w:top w:w="80" w:type="dxa"/>
              <w:bottom w:w="80" w:type="dxa"/>
              <w:left w:w="100" w:type="dxa"/>
              <w:right w:w="100" w:type="dxa"/>
            </w:tcMar>
          </w:tcPr>
          <w:p>
            <w:pPr>
              <w:spacing w:before="0" w:after="0" w:line="264" w:lineRule="auto"/>
              <w:jc w:val="left"/>
            </w:pPr>
            <w:r>
              <w:rPr>
                <w:rFonts w:ascii="Calibri" w:hAnsi="Calibri"/>
                <w:b/>
                <w:color w:val="0F172A"/>
                <w:sz w:val="17"/>
              </w:rPr>
              <w:t>Time to Deploy</w:t>
            </w:r>
          </w:p>
        </w:tc>
        <w:tc>
          <w:tcPr>
            <w:tcW w:type="dxa" w:w="2592"/>
            <w:shd w:fill="F8FAFC"/>
            <w:tcMar>
              <w:top w:w="80" w:type="dxa"/>
              <w:bottom w:w="80" w:type="dxa"/>
              <w:left w:w="100" w:type="dxa"/>
              <w:right w:w="100" w:type="dxa"/>
            </w:tcMar>
          </w:tcPr>
          <w:p>
            <w:pPr>
              <w:spacing w:before="0" w:after="0" w:line="264" w:lineRule="auto"/>
              <w:jc w:val="left"/>
            </w:pPr>
            <w:r>
              <w:rPr>
                <w:rFonts w:ascii="Calibri" w:hAnsi="Calibri"/>
                <w:b w:val="0"/>
                <w:color w:val="0E7490"/>
                <w:sz w:val="17"/>
              </w:rPr>
              <w:t>Under 2 minutes (API connector)</w:t>
            </w:r>
          </w:p>
        </w:tc>
        <w:tc>
          <w:tcPr>
            <w:tcW w:type="dxa" w:w="2160"/>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3–6 months (rollout &amp; approvals)</w:t>
            </w:r>
          </w:p>
        </w:tc>
        <w:tc>
          <w:tcPr>
            <w:tcW w:type="dxa" w:w="2016"/>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10 seconds (curl / run)</w:t>
            </w:r>
          </w:p>
        </w:tc>
      </w:tr>
      <w:tr>
        <w:tc>
          <w:tcPr>
            <w:tcW w:type="dxa" w:w="2592"/>
            <w:shd w:fill="FFFFFF"/>
            <w:tcMar>
              <w:top w:w="80" w:type="dxa"/>
              <w:bottom w:w="80" w:type="dxa"/>
              <w:left w:w="100" w:type="dxa"/>
              <w:right w:w="100" w:type="dxa"/>
            </w:tcMar>
          </w:tcPr>
          <w:p>
            <w:pPr>
              <w:spacing w:before="0" w:after="0" w:line="264" w:lineRule="auto"/>
              <w:jc w:val="left"/>
            </w:pPr>
            <w:r>
              <w:rPr>
                <w:rFonts w:ascii="Calibri" w:hAnsi="Calibri"/>
                <w:b/>
                <w:color w:val="0F172A"/>
                <w:sz w:val="17"/>
              </w:rPr>
              <w:t>Host Performance Impact</w:t>
            </w:r>
          </w:p>
        </w:tc>
        <w:tc>
          <w:tcPr>
            <w:tcW w:type="dxa" w:w="2592"/>
            <w:shd w:fill="FFFFFF"/>
            <w:tcMar>
              <w:top w:w="80" w:type="dxa"/>
              <w:bottom w:w="80" w:type="dxa"/>
              <w:left w:w="100" w:type="dxa"/>
              <w:right w:w="100" w:type="dxa"/>
            </w:tcMar>
          </w:tcPr>
          <w:p>
            <w:pPr>
              <w:spacing w:before="0" w:after="0" w:line="264" w:lineRule="auto"/>
              <w:jc w:val="left"/>
            </w:pPr>
            <w:r>
              <w:rPr>
                <w:rFonts w:ascii="Calibri" w:hAnsi="Calibri"/>
                <w:b w:val="0"/>
                <w:color w:val="0E7490"/>
                <w:sz w:val="17"/>
              </w:rPr>
              <w:t>0% CPU / 0 MB RAM (Zero impact)</w:t>
            </w:r>
          </w:p>
        </w:tc>
        <w:tc>
          <w:tcPr>
            <w:tcW w:type="dxa" w:w="2160"/>
            <w:shd w:fill="FFFFFF"/>
            <w:tcMar>
              <w:top w:w="80" w:type="dxa"/>
              <w:bottom w:w="80" w:type="dxa"/>
              <w:left w:w="100" w:type="dxa"/>
              <w:right w:w="100" w:type="dxa"/>
            </w:tcMar>
          </w:tcPr>
          <w:p>
            <w:pPr>
              <w:spacing w:before="0" w:after="0" w:line="264" w:lineRule="auto"/>
              <w:jc w:val="left"/>
            </w:pPr>
            <w:r>
              <w:rPr>
                <w:rFonts w:ascii="Calibri" w:hAnsi="Calibri"/>
                <w:b w:val="0"/>
                <w:color w:val="0F172A"/>
                <w:sz w:val="17"/>
              </w:rPr>
              <w:t>Continuous background daemon</w:t>
            </w:r>
          </w:p>
        </w:tc>
        <w:tc>
          <w:tcPr>
            <w:tcW w:type="dxa" w:w="2016"/>
            <w:shd w:fill="FFFFFF"/>
            <w:tcMar>
              <w:top w:w="80" w:type="dxa"/>
              <w:bottom w:w="80" w:type="dxa"/>
              <w:left w:w="100" w:type="dxa"/>
              <w:right w:w="100" w:type="dxa"/>
            </w:tcMar>
          </w:tcPr>
          <w:p>
            <w:pPr>
              <w:spacing w:before="0" w:after="0" w:line="264" w:lineRule="auto"/>
              <w:jc w:val="left"/>
            </w:pPr>
            <w:r>
              <w:rPr>
                <w:rFonts w:ascii="Calibri" w:hAnsi="Calibri"/>
                <w:b w:val="0"/>
                <w:color w:val="0F172A"/>
                <w:sz w:val="17"/>
              </w:rPr>
              <w:t>2 seconds runtime then exits</w:t>
            </w:r>
          </w:p>
        </w:tc>
      </w:tr>
      <w:tr>
        <w:tc>
          <w:tcPr>
            <w:tcW w:type="dxa" w:w="2592"/>
            <w:shd w:fill="F8FAFC"/>
            <w:tcMar>
              <w:top w:w="80" w:type="dxa"/>
              <w:bottom w:w="80" w:type="dxa"/>
              <w:left w:w="100" w:type="dxa"/>
              <w:right w:w="100" w:type="dxa"/>
            </w:tcMar>
          </w:tcPr>
          <w:p>
            <w:pPr>
              <w:spacing w:before="0" w:after="0" w:line="264" w:lineRule="auto"/>
              <w:jc w:val="left"/>
            </w:pPr>
            <w:r>
              <w:rPr>
                <w:rFonts w:ascii="Calibri" w:hAnsi="Calibri"/>
                <w:b/>
                <w:color w:val="0F172A"/>
                <w:sz w:val="17"/>
              </w:rPr>
              <w:t>Production Crash Risk</w:t>
            </w:r>
          </w:p>
        </w:tc>
        <w:tc>
          <w:tcPr>
            <w:tcW w:type="dxa" w:w="2592"/>
            <w:shd w:fill="F8FAFC"/>
            <w:tcMar>
              <w:top w:w="80" w:type="dxa"/>
              <w:bottom w:w="80" w:type="dxa"/>
              <w:left w:w="100" w:type="dxa"/>
              <w:right w:w="100" w:type="dxa"/>
            </w:tcMar>
          </w:tcPr>
          <w:p>
            <w:pPr>
              <w:spacing w:before="0" w:after="0" w:line="264" w:lineRule="auto"/>
              <w:jc w:val="left"/>
            </w:pPr>
            <w:r>
              <w:rPr>
                <w:rFonts w:ascii="Calibri" w:hAnsi="Calibri"/>
                <w:b w:val="0"/>
                <w:color w:val="0E7490"/>
                <w:sz w:val="17"/>
              </w:rPr>
              <w:t>0% (Read-only API calls)</w:t>
            </w:r>
          </w:p>
        </w:tc>
        <w:tc>
          <w:tcPr>
            <w:tcW w:type="dxa" w:w="2160"/>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High (Kernel/daemon risks)</w:t>
            </w:r>
          </w:p>
        </w:tc>
        <w:tc>
          <w:tcPr>
            <w:tcW w:type="dxa" w:w="2016"/>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0% (User-space CLI)</w:t>
            </w:r>
          </w:p>
        </w:tc>
      </w:tr>
      <w:tr>
        <w:tc>
          <w:tcPr>
            <w:tcW w:type="dxa" w:w="2592"/>
            <w:shd w:fill="FFFFFF"/>
            <w:tcMar>
              <w:top w:w="80" w:type="dxa"/>
              <w:bottom w:w="80" w:type="dxa"/>
              <w:left w:w="100" w:type="dxa"/>
              <w:right w:w="100" w:type="dxa"/>
            </w:tcMar>
          </w:tcPr>
          <w:p>
            <w:pPr>
              <w:spacing w:before="0" w:after="0" w:line="264" w:lineRule="auto"/>
              <w:jc w:val="left"/>
            </w:pPr>
            <w:r>
              <w:rPr>
                <w:rFonts w:ascii="Calibri" w:hAnsi="Calibri"/>
                <w:b/>
                <w:color w:val="0F172A"/>
                <w:sz w:val="17"/>
              </w:rPr>
              <w:t>Workstation Fleet Audit</w:t>
            </w:r>
          </w:p>
        </w:tc>
        <w:tc>
          <w:tcPr>
            <w:tcW w:type="dxa" w:w="2592"/>
            <w:shd w:fill="FFFFFF"/>
            <w:tcMar>
              <w:top w:w="80" w:type="dxa"/>
              <w:bottom w:w="80" w:type="dxa"/>
              <w:left w:w="100" w:type="dxa"/>
              <w:right w:w="100" w:type="dxa"/>
            </w:tcMar>
          </w:tcPr>
          <w:p>
            <w:pPr>
              <w:spacing w:before="0" w:after="0" w:line="264" w:lineRule="auto"/>
              <w:jc w:val="left"/>
            </w:pPr>
            <w:r>
              <w:rPr>
                <w:rFonts w:ascii="Calibri" w:hAnsi="Calibri"/>
                <w:b w:val="0"/>
                <w:color w:val="0E7490"/>
                <w:sz w:val="17"/>
              </w:rPr>
              <w:t>Instant via Intune / Jamf API</w:t>
            </w:r>
          </w:p>
        </w:tc>
        <w:tc>
          <w:tcPr>
            <w:tcW w:type="dxa" w:w="2160"/>
            <w:shd w:fill="FFFFFF"/>
            <w:tcMar>
              <w:top w:w="80" w:type="dxa"/>
              <w:bottom w:w="80" w:type="dxa"/>
              <w:left w:w="100" w:type="dxa"/>
              <w:right w:w="100" w:type="dxa"/>
            </w:tcMar>
          </w:tcPr>
          <w:p>
            <w:pPr>
              <w:spacing w:before="0" w:after="0" w:line="264" w:lineRule="auto"/>
              <w:jc w:val="left"/>
            </w:pPr>
            <w:r>
              <w:rPr>
                <w:rFonts w:ascii="Calibri" w:hAnsi="Calibri"/>
                <w:b w:val="0"/>
                <w:color w:val="0F172A"/>
                <w:sz w:val="17"/>
              </w:rPr>
              <w:t>Requires MDM installer push</w:t>
            </w:r>
          </w:p>
        </w:tc>
        <w:tc>
          <w:tcPr>
            <w:tcW w:type="dxa" w:w="2016"/>
            <w:shd w:fill="FFFFFF"/>
            <w:tcMar>
              <w:top w:w="80" w:type="dxa"/>
              <w:bottom w:w="80" w:type="dxa"/>
              <w:left w:w="100" w:type="dxa"/>
              <w:right w:w="100" w:type="dxa"/>
            </w:tcMar>
          </w:tcPr>
          <w:p>
            <w:pPr>
              <w:spacing w:before="0" w:after="0" w:line="264" w:lineRule="auto"/>
              <w:jc w:val="left"/>
            </w:pPr>
            <w:r>
              <w:rPr>
                <w:rFonts w:ascii="Calibri" w:hAnsi="Calibri"/>
                <w:b w:val="0"/>
                <w:color w:val="0F172A"/>
                <w:sz w:val="17"/>
              </w:rPr>
              <w:t>On-demand by developer</w:t>
            </w:r>
          </w:p>
        </w:tc>
      </w:tr>
      <w:tr>
        <w:tc>
          <w:tcPr>
            <w:tcW w:type="dxa" w:w="2592"/>
            <w:shd w:fill="F8FAFC"/>
            <w:tcMar>
              <w:top w:w="80" w:type="dxa"/>
              <w:bottom w:w="80" w:type="dxa"/>
              <w:left w:w="100" w:type="dxa"/>
              <w:right w:w="100" w:type="dxa"/>
            </w:tcMar>
          </w:tcPr>
          <w:p>
            <w:pPr>
              <w:spacing w:before="0" w:after="0" w:line="264" w:lineRule="auto"/>
              <w:jc w:val="left"/>
            </w:pPr>
            <w:r>
              <w:rPr>
                <w:rFonts w:ascii="Calibri" w:hAnsi="Calibri"/>
                <w:b/>
                <w:color w:val="0F172A"/>
                <w:sz w:val="17"/>
              </w:rPr>
              <w:t>Cloud KMS &amp; Certs Audit</w:t>
            </w:r>
          </w:p>
        </w:tc>
        <w:tc>
          <w:tcPr>
            <w:tcW w:type="dxa" w:w="2592"/>
            <w:shd w:fill="F8FAFC"/>
            <w:tcMar>
              <w:top w:w="80" w:type="dxa"/>
              <w:bottom w:w="80" w:type="dxa"/>
              <w:left w:w="100" w:type="dxa"/>
              <w:right w:w="100" w:type="dxa"/>
            </w:tcMar>
          </w:tcPr>
          <w:p>
            <w:pPr>
              <w:spacing w:before="0" w:after="0" w:line="264" w:lineRule="auto"/>
              <w:jc w:val="left"/>
            </w:pPr>
            <w:r>
              <w:rPr>
                <w:rFonts w:ascii="Calibri" w:hAnsi="Calibri"/>
                <w:b w:val="0"/>
                <w:color w:val="0E7490"/>
                <w:sz w:val="17"/>
              </w:rPr>
              <w:t>Native AWS / Azure / GCP APIs</w:t>
            </w:r>
          </w:p>
        </w:tc>
        <w:tc>
          <w:tcPr>
            <w:tcW w:type="dxa" w:w="2160"/>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Cannot audit cloud services</w:t>
            </w:r>
          </w:p>
        </w:tc>
        <w:tc>
          <w:tcPr>
            <w:tcW w:type="dxa" w:w="2016"/>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Requires local credentials</w:t>
            </w:r>
          </w:p>
        </w:tc>
      </w:tr>
      <w:tr>
        <w:tc>
          <w:tcPr>
            <w:tcW w:type="dxa" w:w="2592"/>
            <w:shd w:fill="FFFFFF"/>
            <w:tcMar>
              <w:top w:w="80" w:type="dxa"/>
              <w:bottom w:w="80" w:type="dxa"/>
              <w:left w:w="100" w:type="dxa"/>
              <w:right w:w="100" w:type="dxa"/>
            </w:tcMar>
          </w:tcPr>
          <w:p>
            <w:pPr>
              <w:spacing w:before="0" w:after="0" w:line="264" w:lineRule="auto"/>
              <w:jc w:val="left"/>
            </w:pPr>
            <w:r>
              <w:rPr>
                <w:rFonts w:ascii="Calibri" w:hAnsi="Calibri"/>
                <w:b/>
                <w:color w:val="0F172A"/>
                <w:sz w:val="17"/>
              </w:rPr>
              <w:t>CI/CD &amp; Air-Gapped</w:t>
            </w:r>
          </w:p>
        </w:tc>
        <w:tc>
          <w:tcPr>
            <w:tcW w:type="dxa" w:w="2592"/>
            <w:shd w:fill="FFFFFF"/>
            <w:tcMar>
              <w:top w:w="80" w:type="dxa"/>
              <w:bottom w:w="80" w:type="dxa"/>
              <w:left w:w="100" w:type="dxa"/>
              <w:right w:w="100" w:type="dxa"/>
            </w:tcMar>
          </w:tcPr>
          <w:p>
            <w:pPr>
              <w:spacing w:before="0" w:after="0" w:line="264" w:lineRule="auto"/>
              <w:jc w:val="left"/>
            </w:pPr>
            <w:r>
              <w:rPr>
                <w:rFonts w:ascii="Calibri" w:hAnsi="Calibri"/>
                <w:b w:val="0"/>
                <w:color w:val="0E7490"/>
                <w:sz w:val="17"/>
              </w:rPr>
              <w:t>N/A (Cloud-native)</w:t>
            </w:r>
          </w:p>
        </w:tc>
        <w:tc>
          <w:tcPr>
            <w:tcW w:type="dxa" w:w="2160"/>
            <w:shd w:fill="FFFFFF"/>
            <w:tcMar>
              <w:top w:w="80" w:type="dxa"/>
              <w:bottom w:w="80" w:type="dxa"/>
              <w:left w:w="100" w:type="dxa"/>
              <w:right w:w="100" w:type="dxa"/>
            </w:tcMar>
          </w:tcPr>
          <w:p>
            <w:pPr>
              <w:spacing w:before="0" w:after="0" w:line="264" w:lineRule="auto"/>
              <w:jc w:val="left"/>
            </w:pPr>
            <w:r>
              <w:rPr>
                <w:rFonts w:ascii="Calibri" w:hAnsi="Calibri"/>
                <w:b w:val="0"/>
                <w:color w:val="0F172A"/>
                <w:sz w:val="17"/>
              </w:rPr>
              <w:t>Impractical for CI runners</w:t>
            </w:r>
          </w:p>
        </w:tc>
        <w:tc>
          <w:tcPr>
            <w:tcW w:type="dxa" w:w="2016"/>
            <w:shd w:fill="FFFFFF"/>
            <w:tcMar>
              <w:top w:w="80" w:type="dxa"/>
              <w:bottom w:w="80" w:type="dxa"/>
              <w:left w:w="100" w:type="dxa"/>
              <w:right w:w="100" w:type="dxa"/>
            </w:tcMar>
          </w:tcPr>
          <w:p>
            <w:pPr>
              <w:spacing w:before="0" w:after="0" w:line="264" w:lineRule="auto"/>
              <w:jc w:val="left"/>
            </w:pPr>
            <w:r>
              <w:rPr>
                <w:rFonts w:ascii="Calibri" w:hAnsi="Calibri"/>
                <w:b w:val="0"/>
                <w:color w:val="0F172A"/>
                <w:sz w:val="17"/>
              </w:rPr>
              <w:t>Native fit (Trivy-style)</w:t>
            </w:r>
          </w:p>
        </w:tc>
      </w:tr>
      <w:tr>
        <w:tc>
          <w:tcPr>
            <w:tcW w:type="dxa" w:w="2592"/>
            <w:shd w:fill="F8FAFC"/>
            <w:tcMar>
              <w:top w:w="80" w:type="dxa"/>
              <w:bottom w:w="80" w:type="dxa"/>
              <w:left w:w="100" w:type="dxa"/>
              <w:right w:w="100" w:type="dxa"/>
            </w:tcMar>
          </w:tcPr>
          <w:p>
            <w:pPr>
              <w:spacing w:before="0" w:after="0" w:line="264" w:lineRule="auto"/>
              <w:jc w:val="left"/>
            </w:pPr>
            <w:r>
              <w:rPr>
                <w:rFonts w:ascii="Calibri" w:hAnsi="Calibri"/>
                <w:b/>
                <w:color w:val="0F172A"/>
                <w:sz w:val="17"/>
              </w:rPr>
              <w:t>Customer Buy-In</w:t>
            </w:r>
          </w:p>
        </w:tc>
        <w:tc>
          <w:tcPr>
            <w:tcW w:type="dxa" w:w="2592"/>
            <w:shd w:fill="F8FAFC"/>
            <w:tcMar>
              <w:top w:w="80" w:type="dxa"/>
              <w:bottom w:w="80" w:type="dxa"/>
              <w:left w:w="100" w:type="dxa"/>
              <w:right w:w="100" w:type="dxa"/>
            </w:tcMar>
          </w:tcPr>
          <w:p>
            <w:pPr>
              <w:spacing w:before="0" w:after="0" w:line="264" w:lineRule="auto"/>
              <w:jc w:val="left"/>
            </w:pPr>
            <w:r>
              <w:rPr>
                <w:rFonts w:ascii="Calibri" w:hAnsi="Calibri"/>
                <w:b w:val="0"/>
                <w:color w:val="0E7490"/>
                <w:sz w:val="17"/>
              </w:rPr>
              <w:t>Extremely High (CISO favorite)</w:t>
            </w:r>
          </w:p>
        </w:tc>
        <w:tc>
          <w:tcPr>
            <w:tcW w:type="dxa" w:w="2160"/>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High resistance &amp; friction</w:t>
            </w:r>
          </w:p>
        </w:tc>
        <w:tc>
          <w:tcPr>
            <w:tcW w:type="dxa" w:w="2016"/>
            <w:shd w:fill="F8FAFC"/>
            <w:tcMar>
              <w:top w:w="80" w:type="dxa"/>
              <w:bottom w:w="80" w:type="dxa"/>
              <w:left w:w="100" w:type="dxa"/>
              <w:right w:w="100" w:type="dxa"/>
            </w:tcMar>
          </w:tcPr>
          <w:p>
            <w:pPr>
              <w:spacing w:before="0" w:after="0" w:line="264" w:lineRule="auto"/>
              <w:jc w:val="left"/>
            </w:pPr>
            <w:r>
              <w:rPr>
                <w:rFonts w:ascii="Calibri" w:hAnsi="Calibri"/>
                <w:b w:val="0"/>
                <w:color w:val="0F172A"/>
                <w:sz w:val="17"/>
              </w:rPr>
              <w:t>High for DevOps &amp; Devs</w:t>
            </w:r>
          </w:p>
        </w:tc>
      </w:tr>
    </w:tbl>
    <w:p>
      <w:pPr>
        <w:spacing w:after="200"/>
      </w:pPr>
    </w:p>
    <w:p>
      <w:pPr>
        <w:pStyle w:val="Heading1"/>
        <w:keepNext/>
        <w:spacing w:before="280" w:after="80"/>
      </w:pPr>
      <w:r>
        <w:rPr>
          <w:rFonts w:ascii="Calibri" w:hAnsi="Calibri"/>
          <w:b/>
          <w:color w:val="0F172A"/>
          <w:sz w:val="30"/>
        </w:rPr>
        <w:t>6. Implementation Roadmap for Standalone VPS (quarkshield.ai)</w:t>
      </w:r>
    </w:p>
    <w:p>
      <w:r>
        <w:t xml:space="preserve">When the dedicated Contabo VPS is provisioned, QuarkShield's standalone management console will deploy with the unified </w:t>
      </w:r>
      <w:r>
        <w:rPr>
          <w:b/>
        </w:rPr>
        <w:t>Hybrid Architecture (Agentless API + Ephemeral CLI)</w:t>
      </w:r>
      <w:r>
        <w:t>:</w:t>
      </w:r>
    </w:p>
    <w:p>
      <w:pPr>
        <w:pStyle w:val="ListBullet"/>
        <w:spacing w:after="60"/>
      </w:pPr>
      <w:r>
        <w:rPr>
          <w:b/>
          <w:color w:val="0E7490"/>
        </w:rPr>
        <w:t xml:space="preserve">Phase 1: Cloud &amp; MDM API Connectors: </w:t>
      </w:r>
      <w:r>
        <w:t>Build one-click configuration forms for AWS (IAM Role), Azure (App Registration), Microsoft Intune (Graph API), and Jamf Pro. The console queries these APIs and populates the fleet directory automatically.</w:t>
      </w:r>
    </w:p>
    <w:p>
      <w:pPr>
        <w:pStyle w:val="ListBullet"/>
        <w:spacing w:after="60"/>
      </w:pPr>
      <w:r>
        <w:rPr>
          <w:b/>
          <w:color w:val="0E7490"/>
        </w:rPr>
        <w:t xml:space="preserve">Phase 2: Remote Active PQC Prober: </w:t>
      </w:r>
      <w:r>
        <w:t>Integrate the TLS 1.3 / hybrid key exchange network prober directly into the console, allowing security teams to enter domains and IP ranges for zero-install perimeter audits.</w:t>
      </w:r>
    </w:p>
    <w:p>
      <w:pPr>
        <w:pStyle w:val="ListBullet"/>
        <w:spacing w:after="60"/>
      </w:pPr>
      <w:r>
        <w:rPr>
          <w:b/>
          <w:color w:val="0E7490"/>
        </w:rPr>
        <w:t xml:space="preserve">Phase 3: Ephemeral Developer CLI &amp; CycloneDX 1.6 Engine: </w:t>
      </w:r>
      <w:r>
        <w:t>Provide 1-click curl and brew commands for developer laptops and CI/CD pipelines, automatically synthesizing Cryptographic Bill of Materials (CBOM) compliant with NIST FIPS 203/204/205 and NSA CNSA 2.0 guidelines.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36" w:space="0" w:color="0EA5E9"/>
              <w:bottom w:val="none"/>
              <w:right w:val="none"/>
            </w:tcBorders>
          </w:tcPr>
          <w:p>
            <w:pPr>
              <w:spacing w:before="0" w:after="80"/>
            </w:pPr>
            <w:r>
              <w:rPr>
                <w:rFonts w:ascii="Calibri" w:hAnsi="Calibri"/>
                <w:b/>
                <w:color w:val="0EA5E9"/>
                <w:sz w:val="20"/>
              </w:rPr>
              <w:t>✦ COMMERCIAL &amp; STRATEGIC ADVANTAGE</w:t>
              <w:br/>
            </w:r>
            <w:r>
              <w:rPr>
                <w:rFonts w:ascii="Calibri" w:hAnsi="Calibri"/>
                <w:color w:val="334155"/>
                <w:sz w:val="19"/>
              </w:rPr>
              <w:t>By adopting this dual architecture, QuarkShield establishes a massive competitive moat: enterprise sales cycles drop from months to minutes using Agentless API Connectors, while developers retain complete autonomy using the ultra-fast Ephemeral CLI.</w:t>
            </w:r>
          </w:p>
        </w:tc>
      </w:tr>
    </w:tbl>
    <w:p>
      <w:pPr>
        <w:spacing w:before="0"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