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284C7"/>
          <w:sz w:val="20"/>
        </w:rPr>
        <w:t>ENTERPRISE POST-QUANTUM CRYPTOGRAPHY ADVISORY BRIEF</w:t>
        <w:br/>
      </w:r>
      <w:r>
        <w:rPr>
          <w:rFonts w:ascii="Arial" w:hAnsi="Arial"/>
          <w:b/>
          <w:color w:val="0F172A"/>
          <w:sz w:val="40"/>
        </w:rPr>
        <w:t>Code Signing Quantum Certification &amp; OS-Level PQC Migration Strategy</w:t>
      </w:r>
    </w:p>
    <w:p>
      <w:pPr>
        <w:spacing w:after="240"/>
      </w:pPr>
      <w:r>
        <w:rPr>
          <w:rFonts w:ascii="Calibri" w:hAnsi="Calibri"/>
          <w:color w:val="64748B"/>
          <w:sz w:val="18"/>
        </w:rPr>
        <w:t>Author: QuarkShield Cryptographic Operations | Date: September 2026 | Audience: CISOs, Security Architects, DevOps Leadership</w:t>
      </w:r>
    </w:p>
    <w:p>
      <w:pPr>
        <w:spacing w:after="40"/>
      </w:pPr>
    </w:p>
    <w:tbl>
      <w:tblPr>
        <w:tblW w:type="auto" w:w="0"/>
        <w:jc w:val="center"/>
        <w:tblLayout w:type="fixed"/>
        <w:tblLook w:firstColumn="1" w:firstRow="1" w:lastColumn="0" w:lastRow="0" w:noHBand="0" w:noVBand="1" w:val="04A0"/>
      </w:tblPr>
      <w:tblGrid>
        <w:gridCol w:w="10080"/>
      </w:tblGrid>
      <w:tr>
        <w:tc>
          <w:tcPr>
            <w:tcW w:type="dxa" w:w="9360"/>
            <w:shd w:fill="F0F9FF"/>
            <w:tcMar>
              <w:top w:w="140" w:type="dxa"/>
              <w:bottom w:w="140" w:type="dxa"/>
              <w:left w:w="200" w:type="dxa"/>
              <w:right w:w="180" w:type="dxa"/>
            </w:tcMar>
            <w:tcBorders>
              <w:top w:val="none"/>
              <w:left w:val="single" w:sz="36" w:space="0" w:color="0284C7"/>
              <w:bottom w:val="none"/>
              <w:right w:val="none"/>
            </w:tcBorders>
          </w:tcPr>
          <w:p>
            <w:pPr>
              <w:spacing w:before="40" w:after="80"/>
            </w:pPr>
            <w:r>
              <w:rPr>
                <w:rFonts w:ascii="Arial" w:hAnsi="Arial"/>
                <w:b/>
                <w:color w:val="0284C7"/>
                <w:sz w:val="20"/>
              </w:rPr>
              <w:t>📌 EXECUTIVE PERSPECTIVE FOR CUSTOMERS</w:t>
              <w:br/>
            </w:r>
            <w:r>
              <w:rPr>
                <w:rFonts w:ascii="Calibri" w:hAnsi="Calibri"/>
                <w:i/>
                <w:color w:val="334155"/>
                <w:sz w:val="21"/>
              </w:rPr>
              <w:t>"You cannot migrate what you cannot see. The transition to Post-Quantum Cryptography is not an overnight patch; it is an architectural shift. While OS vendors finalize kernel-level PQC trust roots, organizations that inventory their cryptographic debt and build Crypto-Agility today will transition seamlessly, while those who wait will face widespread application breaking and compliance penalties."</w:t>
            </w:r>
          </w:p>
        </w:tc>
      </w:tr>
    </w:tbl>
    <w:p>
      <w:pPr>
        <w:spacing w:after="80"/>
      </w:pPr>
    </w:p>
    <w:p>
      <w:pPr>
        <w:pStyle w:val="Heading1"/>
        <w:spacing w:before="280" w:after="120"/>
      </w:pPr>
      <w:r>
        <w:t>Part 1: Are Current Code-Signing Keys and Certificates Quantum-Certified?</w:t>
      </w:r>
    </w:p>
    <w:p>
      <w:pPr>
        <w:spacing w:after="160" w:line="276" w:lineRule="auto"/>
      </w:pPr>
      <w:r>
        <w:rPr>
          <w:rFonts w:ascii="Calibri" w:hAnsi="Calibri"/>
          <w:sz w:val="22"/>
        </w:rPr>
        <w:t xml:space="preserve">The direct answer is </w:t>
      </w:r>
      <w:r>
        <w:rPr>
          <w:rFonts w:ascii="Calibri" w:hAnsi="Calibri"/>
          <w:b/>
          <w:sz w:val="22"/>
        </w:rPr>
        <w:t xml:space="preserve">No, current enterprise code-signing certificates are NOT post-quantum certified. </w:t>
      </w:r>
      <w:r>
        <w:rPr>
          <w:rFonts w:ascii="Calibri" w:hAnsi="Calibri"/>
          <w:sz w:val="22"/>
        </w:rPr>
        <w:t xml:space="preserve">They are classical </w:t>
      </w:r>
      <w:r>
        <w:rPr>
          <w:rFonts w:ascii="Calibri" w:hAnsi="Calibri"/>
          <w:b/>
          <w:sz w:val="22"/>
        </w:rPr>
        <w:t xml:space="preserve">RSA-4096 bit </w:t>
      </w:r>
      <w:r>
        <w:rPr>
          <w:rFonts w:ascii="Calibri" w:hAnsi="Calibri"/>
          <w:sz w:val="22"/>
        </w:rPr>
        <w:t xml:space="preserve">certificates utilizing </w:t>
      </w:r>
      <w:r>
        <w:rPr>
          <w:rFonts w:ascii="Calibri" w:hAnsi="Calibri"/>
          <w:b/>
          <w:sz w:val="22"/>
        </w:rPr>
        <w:t xml:space="preserve">SHA-256 </w:t>
      </w:r>
      <w:r>
        <w:rPr>
          <w:rFonts w:ascii="Calibri" w:hAnsi="Calibri"/>
          <w:sz w:val="22"/>
        </w:rPr>
        <w:t>digest signatures.</w:t>
      </w:r>
    </w:p>
    <w:p>
      <w:pPr>
        <w:pStyle w:val="ListBullet"/>
        <w:spacing w:after="80"/>
      </w:pPr>
      <w:r>
        <w:rPr>
          <w:b/>
        </w:rPr>
        <w:t xml:space="preserve">Cryptographic Inspection Profile: </w:t>
      </w:r>
      <w:r>
        <w:t>Running deep X.509 inspection on modern code-signing certificates (e.g., Azure Trusted Signing, DigiCert, Sectigo, or FedMitigate) reveals:</w:t>
        <w:br/>
        <w:t>• Public Key Algorithm: RSA (4096 bit)</w:t>
        <w:br/>
        <w:t>• Signature Algorithm: sha256WithRSAEncryption</w:t>
        <w:br/>
        <w:t>• Quantum Vulnerability: Critical (Shor's Algorithm factoring vulnerability)</w:t>
      </w:r>
    </w:p>
    <w:p>
      <w:pPr>
        <w:pStyle w:val="ListBullet"/>
        <w:spacing w:after="80"/>
      </w:pPr>
      <w:r>
        <w:rPr>
          <w:b/>
        </w:rPr>
        <w:t xml:space="preserve">Why Classical RSA-4096 is Standard Today: </w:t>
      </w:r>
      <w:r>
        <w:t>Windows Authenticode (SmartScreen) and macOS Gatekeeper currently require classical signatures (RSA or ECDSA) at the kernel and OS trust store level. If software binaries were signed exclusively with post-quantum algorithms (such as FIPS-204 ML-DSA) today, consumer and enterprise operating systems would reject the binaries as having an 'Unrecognized signature algorithm' and block installation.</w:t>
      </w:r>
    </w:p>
    <w:p>
      <w:pPr>
        <w:pStyle w:val="ListBullet"/>
        <w:spacing w:after="160"/>
      </w:pPr>
      <w:r>
        <w:rPr>
          <w:b/>
        </w:rPr>
        <w:t xml:space="preserve">Commercial CA Ecosystem Constraints: </w:t>
      </w:r>
      <w:r>
        <w:t>Public Certificate Authorities do not yet issue pure FIPS-204 leaf certificates for consumer code signing, as the root trust anchors have not yet been distributed to global OS trust stores.</w:t>
      </w:r>
    </w:p>
    <w:p>
      <w:pPr>
        <w:spacing w:before="160" w:after="80"/>
      </w:pPr>
      <w:r>
        <w:rPr>
          <w:rFonts w:ascii="Arial" w:hAnsi="Arial"/>
          <w:b/>
          <w:sz w:val="20"/>
        </w:rPr>
        <w:t>Table 1: Code Signing &amp; Digital Signature Standards Under Quantum Evaluation</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92"/>
            <w:shd w:fill="0F172A"/>
            <w:tcMar>
              <w:top w:w="140" w:type="dxa"/>
              <w:bottom w:w="140" w:type="dxa"/>
              <w:left w:w="150" w:type="dxa"/>
              <w:right w:w="150" w:type="dxa"/>
            </w:tcMar>
          </w:tcPr>
          <w:p>
            <w:pPr>
              <w:jc w:val="left"/>
            </w:pPr>
            <w:r>
              <w:rPr>
                <w:rFonts w:ascii="Arial" w:hAnsi="Arial"/>
                <w:b/>
                <w:color w:val="FFFFFF"/>
                <w:sz w:val="19"/>
              </w:rPr>
              <w:t>Cryptographic Standard</w:t>
            </w:r>
          </w:p>
        </w:tc>
        <w:tc>
          <w:tcPr>
            <w:tcW w:type="dxa" w:w="2592"/>
            <w:shd w:fill="0F172A"/>
            <w:tcMar>
              <w:top w:w="140" w:type="dxa"/>
              <w:bottom w:w="140" w:type="dxa"/>
              <w:left w:w="150" w:type="dxa"/>
              <w:right w:w="150" w:type="dxa"/>
            </w:tcMar>
          </w:tcPr>
          <w:p>
            <w:pPr>
              <w:jc w:val="left"/>
            </w:pPr>
            <w:r>
              <w:rPr>
                <w:rFonts w:ascii="Arial" w:hAnsi="Arial"/>
                <w:b/>
                <w:color w:val="FFFFFF"/>
                <w:sz w:val="19"/>
              </w:rPr>
              <w:t>Algorithm Suite</w:t>
            </w:r>
          </w:p>
        </w:tc>
        <w:tc>
          <w:tcPr>
            <w:tcW w:type="dxa" w:w="2304"/>
            <w:shd w:fill="0F172A"/>
            <w:tcMar>
              <w:top w:w="140" w:type="dxa"/>
              <w:bottom w:w="140" w:type="dxa"/>
              <w:left w:w="150" w:type="dxa"/>
              <w:right w:w="150" w:type="dxa"/>
            </w:tcMar>
          </w:tcPr>
          <w:p>
            <w:pPr>
              <w:jc w:val="left"/>
            </w:pPr>
            <w:r>
              <w:rPr>
                <w:rFonts w:ascii="Arial" w:hAnsi="Arial"/>
                <w:b/>
                <w:color w:val="FFFFFF"/>
                <w:sz w:val="19"/>
              </w:rPr>
              <w:t>Quantum Security Status</w:t>
            </w:r>
          </w:p>
        </w:tc>
        <w:tc>
          <w:tcPr>
            <w:tcW w:type="dxa" w:w="1872"/>
            <w:shd w:fill="0F172A"/>
            <w:tcMar>
              <w:top w:w="140" w:type="dxa"/>
              <w:bottom w:w="140" w:type="dxa"/>
              <w:left w:w="150" w:type="dxa"/>
              <w:right w:w="150" w:type="dxa"/>
            </w:tcMar>
          </w:tcPr>
          <w:p>
            <w:pPr>
              <w:jc w:val="left"/>
            </w:pPr>
            <w:r>
              <w:rPr>
                <w:rFonts w:ascii="Arial" w:hAnsi="Arial"/>
                <w:b/>
                <w:color w:val="FFFFFF"/>
                <w:sz w:val="19"/>
              </w:rPr>
              <w:t>Target Deprecation / Adoption</w:t>
            </w:r>
          </w:p>
        </w:tc>
      </w:tr>
      <w:tr>
        <w:tc>
          <w:tcPr>
            <w:tcW w:type="dxa" w:w="2592"/>
            <w:shd w:fill="FFFFFF"/>
            <w:tcMar>
              <w:top w:w="100" w:type="dxa"/>
              <w:bottom w:w="100" w:type="dxa"/>
              <w:left w:w="150" w:type="dxa"/>
              <w:right w:w="150" w:type="dxa"/>
            </w:tcMar>
          </w:tcPr>
          <w:p>
            <w:r>
              <w:rPr>
                <w:rFonts w:ascii="Calibri" w:hAnsi="Calibri"/>
                <w:color w:val="1E293B"/>
                <w:sz w:val="19"/>
              </w:rPr>
              <w:t>Current Industry Standard</w:t>
            </w:r>
          </w:p>
        </w:tc>
        <w:tc>
          <w:tcPr>
            <w:tcW w:type="dxa" w:w="2592"/>
            <w:shd w:fill="FFFFFF"/>
            <w:tcMar>
              <w:top w:w="100" w:type="dxa"/>
              <w:bottom w:w="100" w:type="dxa"/>
              <w:left w:w="150" w:type="dxa"/>
              <w:right w:w="150" w:type="dxa"/>
            </w:tcMar>
          </w:tcPr>
          <w:p>
            <w:r>
              <w:rPr>
                <w:rFonts w:ascii="Calibri" w:hAnsi="Calibri"/>
                <w:color w:val="1E293B"/>
                <w:sz w:val="19"/>
              </w:rPr>
              <w:t>RSA-4096 / ECDSA-P384</w:t>
            </w:r>
          </w:p>
        </w:tc>
        <w:tc>
          <w:tcPr>
            <w:tcW w:type="dxa" w:w="2304"/>
            <w:shd w:fill="FFFFFF"/>
            <w:tcMar>
              <w:top w:w="100" w:type="dxa"/>
              <w:bottom w:w="100" w:type="dxa"/>
              <w:left w:w="150" w:type="dxa"/>
              <w:right w:w="150" w:type="dxa"/>
            </w:tcMar>
          </w:tcPr>
          <w:p>
            <w:r>
              <w:rPr>
                <w:rFonts w:ascii="Calibri" w:hAnsi="Calibri"/>
                <w:color w:val="1E293B"/>
                <w:sz w:val="19"/>
              </w:rPr>
              <w:t>Vulnerable to Shor's Algorithm</w:t>
            </w:r>
          </w:p>
        </w:tc>
        <w:tc>
          <w:tcPr>
            <w:tcW w:type="dxa" w:w="1872"/>
            <w:shd w:fill="FFFFFF"/>
            <w:tcMar>
              <w:top w:w="100" w:type="dxa"/>
              <w:bottom w:w="100" w:type="dxa"/>
              <w:left w:w="150" w:type="dxa"/>
              <w:right w:w="150" w:type="dxa"/>
            </w:tcMar>
          </w:tcPr>
          <w:p>
            <w:r>
              <w:rPr>
                <w:rFonts w:ascii="Calibri" w:hAnsi="Calibri"/>
                <w:color w:val="1E293B"/>
                <w:sz w:val="19"/>
              </w:rPr>
              <w:t>Deprecation Mandated by 2030 (CNSA 2.0)</w:t>
            </w:r>
          </w:p>
        </w:tc>
      </w:tr>
      <w:tr>
        <w:tc>
          <w:tcPr>
            <w:tcW w:type="dxa" w:w="2592"/>
            <w:shd w:fill="F8FAFC"/>
            <w:tcMar>
              <w:top w:w="100" w:type="dxa"/>
              <w:bottom w:w="100" w:type="dxa"/>
              <w:left w:w="150" w:type="dxa"/>
              <w:right w:w="150" w:type="dxa"/>
            </w:tcMar>
          </w:tcPr>
          <w:p>
            <w:r>
              <w:rPr>
                <w:rFonts w:ascii="Calibri" w:hAnsi="Calibri"/>
                <w:color w:val="1E293B"/>
                <w:sz w:val="19"/>
              </w:rPr>
              <w:t>NIST FIPS 204</w:t>
            </w:r>
          </w:p>
        </w:tc>
        <w:tc>
          <w:tcPr>
            <w:tcW w:type="dxa" w:w="2592"/>
            <w:shd w:fill="F8FAFC"/>
            <w:tcMar>
              <w:top w:w="100" w:type="dxa"/>
              <w:bottom w:w="100" w:type="dxa"/>
              <w:left w:w="150" w:type="dxa"/>
              <w:right w:w="150" w:type="dxa"/>
            </w:tcMar>
          </w:tcPr>
          <w:p>
            <w:r>
              <w:rPr>
                <w:rFonts w:ascii="Calibri" w:hAnsi="Calibri"/>
                <w:color w:val="1E293B"/>
                <w:sz w:val="19"/>
              </w:rPr>
              <w:t>ML-DSA (formerly Dilithium)</w:t>
            </w:r>
          </w:p>
        </w:tc>
        <w:tc>
          <w:tcPr>
            <w:tcW w:type="dxa" w:w="2304"/>
            <w:shd w:fill="F8FAFC"/>
            <w:tcMar>
              <w:top w:w="100" w:type="dxa"/>
              <w:bottom w:w="100" w:type="dxa"/>
              <w:left w:w="150" w:type="dxa"/>
              <w:right w:w="150" w:type="dxa"/>
            </w:tcMar>
          </w:tcPr>
          <w:p>
            <w:r>
              <w:rPr>
                <w:rFonts w:ascii="Calibri" w:hAnsi="Calibri"/>
                <w:color w:val="1E293B"/>
                <w:sz w:val="19"/>
              </w:rPr>
              <w:t>Quantum-Resistant (Lattice-based)</w:t>
            </w:r>
          </w:p>
        </w:tc>
        <w:tc>
          <w:tcPr>
            <w:tcW w:type="dxa" w:w="1872"/>
            <w:shd w:fill="F8FAFC"/>
            <w:tcMar>
              <w:top w:w="100" w:type="dxa"/>
              <w:bottom w:w="100" w:type="dxa"/>
              <w:left w:w="150" w:type="dxa"/>
              <w:right w:w="150" w:type="dxa"/>
            </w:tcMar>
          </w:tcPr>
          <w:p>
            <w:r>
              <w:rPr>
                <w:rFonts w:ascii="Calibri" w:hAnsi="Calibri"/>
                <w:color w:val="1E293B"/>
                <w:sz w:val="19"/>
              </w:rPr>
              <w:t>Primary General-Purpose Digital Signature</w:t>
            </w:r>
          </w:p>
        </w:tc>
      </w:tr>
      <w:tr>
        <w:tc>
          <w:tcPr>
            <w:tcW w:type="dxa" w:w="2592"/>
            <w:shd w:fill="FFFFFF"/>
            <w:tcMar>
              <w:top w:w="100" w:type="dxa"/>
              <w:bottom w:w="100" w:type="dxa"/>
              <w:left w:w="150" w:type="dxa"/>
              <w:right w:w="150" w:type="dxa"/>
            </w:tcMar>
          </w:tcPr>
          <w:p>
            <w:r>
              <w:rPr>
                <w:rFonts w:ascii="Calibri" w:hAnsi="Calibri"/>
                <w:color w:val="1E293B"/>
                <w:sz w:val="19"/>
              </w:rPr>
              <w:t>NIST FIPS 205</w:t>
            </w:r>
          </w:p>
        </w:tc>
        <w:tc>
          <w:tcPr>
            <w:tcW w:type="dxa" w:w="2592"/>
            <w:shd w:fill="FFFFFF"/>
            <w:tcMar>
              <w:top w:w="100" w:type="dxa"/>
              <w:bottom w:w="100" w:type="dxa"/>
              <w:left w:w="150" w:type="dxa"/>
              <w:right w:w="150" w:type="dxa"/>
            </w:tcMar>
          </w:tcPr>
          <w:p>
            <w:r>
              <w:rPr>
                <w:rFonts w:ascii="Calibri" w:hAnsi="Calibri"/>
                <w:color w:val="1E293B"/>
                <w:sz w:val="19"/>
              </w:rPr>
              <w:t>SLH-DSA (formerly SPHINCS+)</w:t>
            </w:r>
          </w:p>
        </w:tc>
        <w:tc>
          <w:tcPr>
            <w:tcW w:type="dxa" w:w="2304"/>
            <w:shd w:fill="FFFFFF"/>
            <w:tcMar>
              <w:top w:w="100" w:type="dxa"/>
              <w:bottom w:w="100" w:type="dxa"/>
              <w:left w:w="150" w:type="dxa"/>
              <w:right w:w="150" w:type="dxa"/>
            </w:tcMar>
          </w:tcPr>
          <w:p>
            <w:r>
              <w:rPr>
                <w:rFonts w:ascii="Calibri" w:hAnsi="Calibri"/>
                <w:color w:val="1E293B"/>
                <w:sz w:val="19"/>
              </w:rPr>
              <w:t>Quantum-Resistant (Stateless Hash)</w:t>
            </w:r>
          </w:p>
        </w:tc>
        <w:tc>
          <w:tcPr>
            <w:tcW w:type="dxa" w:w="1872"/>
            <w:shd w:fill="FFFFFF"/>
            <w:tcMar>
              <w:top w:w="100" w:type="dxa"/>
              <w:bottom w:w="100" w:type="dxa"/>
              <w:left w:w="150" w:type="dxa"/>
              <w:right w:w="150" w:type="dxa"/>
            </w:tcMar>
          </w:tcPr>
          <w:p>
            <w:r>
              <w:rPr>
                <w:rFonts w:ascii="Calibri" w:hAnsi="Calibri"/>
                <w:color w:val="1E293B"/>
                <w:sz w:val="19"/>
              </w:rPr>
              <w:t>Conservative Backup for Signatures</w:t>
            </w:r>
          </w:p>
        </w:tc>
      </w:tr>
      <w:tr>
        <w:tc>
          <w:tcPr>
            <w:tcW w:type="dxa" w:w="2592"/>
            <w:shd w:fill="F8FAFC"/>
            <w:tcMar>
              <w:top w:w="100" w:type="dxa"/>
              <w:bottom w:w="100" w:type="dxa"/>
              <w:left w:w="150" w:type="dxa"/>
              <w:right w:w="150" w:type="dxa"/>
            </w:tcMar>
          </w:tcPr>
          <w:p>
            <w:r>
              <w:rPr>
                <w:rFonts w:ascii="Calibri" w:hAnsi="Calibri"/>
                <w:color w:val="1E293B"/>
                <w:sz w:val="19"/>
              </w:rPr>
              <w:t>NIST SP 800-208</w:t>
            </w:r>
          </w:p>
        </w:tc>
        <w:tc>
          <w:tcPr>
            <w:tcW w:type="dxa" w:w="2592"/>
            <w:shd w:fill="F8FAFC"/>
            <w:tcMar>
              <w:top w:w="100" w:type="dxa"/>
              <w:bottom w:w="100" w:type="dxa"/>
              <w:left w:w="150" w:type="dxa"/>
              <w:right w:w="150" w:type="dxa"/>
            </w:tcMar>
          </w:tcPr>
          <w:p>
            <w:r>
              <w:rPr>
                <w:rFonts w:ascii="Calibri" w:hAnsi="Calibri"/>
                <w:color w:val="1E293B"/>
                <w:sz w:val="19"/>
              </w:rPr>
              <w:t>LMS / XMSS (Stateful Hash)</w:t>
            </w:r>
          </w:p>
        </w:tc>
        <w:tc>
          <w:tcPr>
            <w:tcW w:type="dxa" w:w="2304"/>
            <w:shd w:fill="F8FAFC"/>
            <w:tcMar>
              <w:top w:w="100" w:type="dxa"/>
              <w:bottom w:w="100" w:type="dxa"/>
              <w:left w:w="150" w:type="dxa"/>
              <w:right w:w="150" w:type="dxa"/>
            </w:tcMar>
          </w:tcPr>
          <w:p>
            <w:r>
              <w:rPr>
                <w:rFonts w:ascii="Calibri" w:hAnsi="Calibri"/>
                <w:color w:val="1E293B"/>
                <w:sz w:val="19"/>
              </w:rPr>
              <w:t>Quantum-Resistant (Hash-based)</w:t>
            </w:r>
          </w:p>
        </w:tc>
        <w:tc>
          <w:tcPr>
            <w:tcW w:type="dxa" w:w="1872"/>
            <w:shd w:fill="F8FAFC"/>
            <w:tcMar>
              <w:top w:w="100" w:type="dxa"/>
              <w:bottom w:w="100" w:type="dxa"/>
              <w:left w:w="150" w:type="dxa"/>
              <w:right w:w="150" w:type="dxa"/>
            </w:tcMar>
          </w:tcPr>
          <w:p>
            <w:r>
              <w:rPr>
                <w:rFonts w:ascii="Calibri" w:hAnsi="Calibri"/>
                <w:color w:val="1E293B"/>
                <w:sz w:val="19"/>
              </w:rPr>
              <w:t>Approved for Firmware &amp; Software Signing</w:t>
            </w:r>
          </w:p>
        </w:tc>
      </w:tr>
    </w:tbl>
    <w:p>
      <w:pPr>
        <w:spacing w:after="120"/>
      </w:pPr>
    </w:p>
    <w:tbl>
      <w:tblPr>
        <w:tblW w:type="auto" w:w="0"/>
        <w:jc w:val="center"/>
        <w:tblLayout w:type="fixed"/>
        <w:tblLook w:firstColumn="1" w:firstRow="1" w:lastColumn="0" w:lastRow="0" w:noHBand="0" w:noVBand="1" w:val="04A0"/>
      </w:tblPr>
      <w:tblGrid>
        <w:gridCol w:w="10080"/>
      </w:tblGrid>
      <w:tr>
        <w:tc>
          <w:tcPr>
            <w:tcW w:type="dxa" w:w="9360"/>
            <w:shd w:fill="F5F3FF"/>
            <w:tcMar>
              <w:top w:w="140" w:type="dxa"/>
              <w:bottom w:w="140" w:type="dxa"/>
              <w:left w:w="200" w:type="dxa"/>
              <w:right w:w="180" w:type="dxa"/>
            </w:tcMar>
            <w:tcBorders>
              <w:top w:val="none"/>
              <w:left w:val="single" w:sz="36" w:space="0" w:color="7C3AED"/>
              <w:bottom w:val="none"/>
              <w:right w:val="none"/>
            </w:tcBorders>
          </w:tcPr>
          <w:p>
            <w:pPr>
              <w:spacing w:before="40" w:after="80"/>
            </w:pPr>
            <w:r>
              <w:rPr>
                <w:rFonts w:ascii="Arial" w:hAnsi="Arial"/>
                <w:b/>
                <w:color w:val="0284C7"/>
                <w:sz w:val="20"/>
              </w:rPr>
              <w:t>📌 QUARKSHIELD OBSERVABILITY INSIGHT</w:t>
              <w:br/>
            </w:r>
            <w:r>
              <w:rPr>
                <w:rFonts w:ascii="Calibri" w:hAnsi="Calibri"/>
                <w:i/>
                <w:color w:val="334155"/>
                <w:sz w:val="21"/>
              </w:rPr>
              <w:t>When QuarkShield scans an endpoint or CI/CD pipeline, it discovers these exact RSA-4096 signing certificates and flags them: Algorithm: RSA-4096 • Risk Score: Critical/High • Finding: Vulnerable to Shor's Algorithm • Remediation: Transition to FIPS-204 (ML-DSA-65) / Hybrid dual-signing. This proves why QuarkShield is essential: it establishes baseline observability so organizations know exactly which certificates require replacement.</w:t>
            </w:r>
          </w:p>
        </w:tc>
      </w:tr>
    </w:tbl>
    <w:p>
      <w:pPr>
        <w:spacing w:after="80"/>
      </w:pPr>
    </w:p>
    <w:p>
      <w:pPr>
        <w:pStyle w:val="Heading1"/>
        <w:spacing w:before="280" w:after="120"/>
      </w:pPr>
      <w:r>
        <w:t>Part 2: What Actionable Guidance Should We Give Customers Right Now?</w:t>
      </w:r>
    </w:p>
    <w:p>
      <w:pPr>
        <w:spacing w:after="160" w:line="276" w:lineRule="auto"/>
      </w:pPr>
      <w:r>
        <w:t>Customers should not wait for Microsoft and Apple to complete their OS trust store updates before preparing. The transition to Post-Quantum Cryptography requires systemic preparation across five concrete pillars:</w:t>
      </w:r>
    </w:p>
    <w:p>
      <w:pPr>
        <w:spacing w:before="120" w:after="40"/>
      </w:pPr>
      <w:r>
        <w:rPr>
          <w:rFonts w:ascii="Arial" w:hAnsi="Arial"/>
          <w:b/>
          <w:color w:val="0284C7"/>
          <w:sz w:val="22"/>
        </w:rPr>
        <w:t>Pillar 1: Establish Continuous Cryptographic Visibility (CBOM) — Do This Today</w:t>
      </w:r>
    </w:p>
    <w:p>
      <w:pPr>
        <w:spacing w:after="120" w:line="276" w:lineRule="auto"/>
      </w:pPr>
      <w:r>
        <w:t>• The Problem: Over 80% of organizations do not maintain an authoritative registry of where RSA/ECDSA keys, code-signing tokens, and SSH keys exist across developer laptops, cloud VMs, and container clusters.</w:t>
        <w:br/>
        <w:t>• The Action: Deploy QuarkShield across your infrastructure to automatically generate a CycloneDX 1.6 Cryptographic Bill of Materials (CBOM).</w:t>
        <w:br/>
        <w:t>• Outcome: Real-time, machine-readable inventory of all cryptographic algorithms, key lengths, expiry dates, and quantum vulnerability risk scores.</w:t>
      </w:r>
    </w:p>
    <w:p>
      <w:pPr>
        <w:spacing w:before="120" w:after="40"/>
      </w:pPr>
      <w:r>
        <w:rPr>
          <w:rFonts w:ascii="Arial" w:hAnsi="Arial"/>
          <w:b/>
          <w:color w:val="0284C7"/>
          <w:sz w:val="22"/>
        </w:rPr>
        <w:t>Pillar 2: Prioritize 'Harvest Now, Decrypt Later' (HNDL) Key Exchange First</w:t>
      </w:r>
    </w:p>
    <w:p>
      <w:pPr>
        <w:spacing w:after="120" w:line="276" w:lineRule="auto"/>
      </w:pPr>
      <w:r>
        <w:t>• The Threat Distinction: Digital signatures validate identity at run-time and can be transitioned in parallel with OS trust roots (2026–2030). In contrast, encrypted network traffic (TLS) is under active adversary interception today. Data stolen now will be decrypted when quantum hardware matures.</w:t>
        <w:br/>
        <w:t>• The Action: Enable hybrid X25519 + ML-KEM-768 (NIST FIPS 203) for TLS 1.3 across edge routers, NGINX proxies, and modern browsers (Chrome/Edge/Safari support this today). Upgrade SSH environments to OpenSSH 9.8+, which defaults to hybrid post-quantum key exchange.</w:t>
      </w:r>
    </w:p>
    <w:p>
      <w:pPr>
        <w:spacing w:before="120" w:after="40"/>
      </w:pPr>
      <w:r>
        <w:rPr>
          <w:rFonts w:ascii="Arial" w:hAnsi="Arial"/>
          <w:b/>
          <w:color w:val="0284C7"/>
          <w:sz w:val="22"/>
        </w:rPr>
        <w:t>Pillar 3: Enforce 'Cryptographic Agility' in Application Codebases</w:t>
      </w:r>
    </w:p>
    <w:p>
      <w:pPr>
        <w:spacing w:after="120" w:line="276" w:lineRule="auto"/>
      </w:pPr>
      <w:r>
        <w:t>• The Problem: Hardcoded key sizes and fixed-length buffer assumptions (e.g. rigid 2048-bit buffers, hardcoded RSA padding) will crash applications when larger PQC keys arrive. For example, an ML-DSA-65 public key is 1,952 bytes—nearly four times larger than RSA-4096 (512 bytes).</w:t>
        <w:br/>
        <w:t>• The Action: Audit custom codebases for hardcoded crypto primitives. Adopt crypto-agile wrapper libraries (OpenSSL 3.3+ with oqsprovider, Bouncy Castle PQC, Microsoft SymCrypt, Go 1.24+ crypto/mlkem). Ensure database columns and network packets accommodate larger keys and signatures without truncation.</w:t>
      </w:r>
    </w:p>
    <w:p>
      <w:pPr>
        <w:spacing w:before="120" w:after="40"/>
      </w:pPr>
      <w:r>
        <w:rPr>
          <w:rFonts w:ascii="Arial" w:hAnsi="Arial"/>
          <w:b/>
          <w:color w:val="0284C7"/>
          <w:sz w:val="22"/>
        </w:rPr>
        <w:t>Pillar 4: Architect CI/CD Pipelines for Dual-Signing (Hybrid Signatures)</w:t>
      </w:r>
    </w:p>
    <w:p>
      <w:pPr>
        <w:spacing w:after="120" w:line="276" w:lineRule="auto"/>
      </w:pPr>
      <w:r>
        <w:t>• How the Transition Will Work: Microsoft (Authenticode) and Apple (Gatekeeper) are adopting IETF composite/hybrid signature standards before fully deprecating classical RSA.</w:t>
        <w:br/>
        <w:t>• The Action: Prepare build workflows (GitHub Actions, GitLab CI, Azure Pipelines) to support dual-signing:</w:t>
        <w:br/>
        <w:t xml:space="preserve">   1. Primary Signature: Classical RSA-4096 (guarantees backward compatibility on legacy Windows 10/11 and macOS today).</w:t>
        <w:br/>
        <w:t xml:space="preserve">   2. Secondary Signature: NIST FIPS 204 (ML-DSA-65) or Stateful Hash-Based Signatures (LMS/XMSS under NIST SP 800-208) embedded in an extended attribute or parallel manifest.</w:t>
        <w:br/>
        <w:t>• Outcome: When OS-level PQC verification goes live, software binaries will already be compliant without requiring an emergency re-release.</w:t>
      </w:r>
    </w:p>
    <w:p>
      <w:pPr>
        <w:spacing w:before="120" w:after="40"/>
      </w:pPr>
      <w:r>
        <w:rPr>
          <w:rFonts w:ascii="Arial" w:hAnsi="Arial"/>
          <w:b/>
          <w:color w:val="0284C7"/>
          <w:sz w:val="22"/>
        </w:rPr>
        <w:t>Pillar 5: Modernize Internal PKI &amp; Certificate Authorities</w:t>
      </w:r>
    </w:p>
    <w:p>
      <w:pPr>
        <w:spacing w:after="160" w:line="276" w:lineRule="auto"/>
      </w:pPr>
      <w:r>
        <w:t>• The Action: For enterprise organizations operating Microsoft Active Directory Certificate Services (AD CS), HashiCorp Vault, AWS Private CA, or Venafi:</w:t>
        <w:br/>
        <w:t xml:space="preserve">   • Begin staging sub-CAs capable of generating hybrid X.509 certificates.</w:t>
        <w:br/>
        <w:t xml:space="preserve">   • Separate short-lived certificates (TLS, microservices) from long-lived root trust anchors.</w:t>
        <w:br/>
        <w:t xml:space="preserve">   • Cease issuing 10-year classical RSA root certificates today, as they will violate NSA CNSA 2.0 mandates well before expiration.</w:t>
      </w:r>
    </w:p>
    <w:p>
      <w:pPr>
        <w:pStyle w:val="Heading1"/>
        <w:spacing w:before="280" w:after="120"/>
      </w:pPr>
      <w:r>
        <w:t>Part 3: Customer Action Checklist &amp; Transition Timeline</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0F172A"/>
            <w:tcMar>
              <w:top w:w="140" w:type="dxa"/>
              <w:bottom w:w="140" w:type="dxa"/>
              <w:left w:w="150" w:type="dxa"/>
              <w:right w:w="150" w:type="dxa"/>
            </w:tcMar>
          </w:tcPr>
          <w:p>
            <w:pPr>
              <w:jc w:val="left"/>
            </w:pPr>
            <w:r>
              <w:rPr>
                <w:rFonts w:ascii="Arial" w:hAnsi="Arial"/>
                <w:b/>
                <w:color w:val="FFFFFF"/>
                <w:sz w:val="19"/>
              </w:rPr>
              <w:t>Strategic Horizon</w:t>
            </w:r>
          </w:p>
        </w:tc>
        <w:tc>
          <w:tcPr>
            <w:tcW w:type="dxa" w:w="3744"/>
            <w:shd w:fill="0F172A"/>
            <w:tcMar>
              <w:top w:w="140" w:type="dxa"/>
              <w:bottom w:w="140" w:type="dxa"/>
              <w:left w:w="150" w:type="dxa"/>
              <w:right w:w="150" w:type="dxa"/>
            </w:tcMar>
          </w:tcPr>
          <w:p>
            <w:pPr>
              <w:jc w:val="left"/>
            </w:pPr>
            <w:r>
              <w:rPr>
                <w:rFonts w:ascii="Arial" w:hAnsi="Arial"/>
                <w:b/>
                <w:color w:val="FFFFFF"/>
                <w:sz w:val="19"/>
              </w:rPr>
              <w:t>Customer Action Item</w:t>
            </w:r>
          </w:p>
        </w:tc>
        <w:tc>
          <w:tcPr>
            <w:tcW w:type="dxa" w:w="3024"/>
            <w:shd w:fill="0F172A"/>
            <w:tcMar>
              <w:top w:w="140" w:type="dxa"/>
              <w:bottom w:w="140" w:type="dxa"/>
              <w:left w:w="150" w:type="dxa"/>
              <w:right w:w="150" w:type="dxa"/>
            </w:tcMar>
          </w:tcPr>
          <w:p>
            <w:pPr>
              <w:jc w:val="left"/>
            </w:pPr>
            <w:r>
              <w:rPr>
                <w:rFonts w:ascii="Arial" w:hAnsi="Arial"/>
                <w:b/>
                <w:color w:val="FFFFFF"/>
                <w:sz w:val="19"/>
              </w:rPr>
              <w:t>QuarkShield Enterprise Solution</w:t>
            </w:r>
          </w:p>
        </w:tc>
      </w:tr>
      <w:tr>
        <w:tc>
          <w:tcPr>
            <w:tcW w:type="dxa" w:w="2592"/>
            <w:shd w:fill="FFFFFF"/>
            <w:tcMar>
              <w:top w:w="100" w:type="dxa"/>
              <w:bottom w:w="100" w:type="dxa"/>
              <w:left w:w="150" w:type="dxa"/>
              <w:right w:w="150" w:type="dxa"/>
            </w:tcMar>
          </w:tcPr>
          <w:p>
            <w:r>
              <w:rPr>
                <w:rFonts w:ascii="Calibri" w:hAnsi="Calibri"/>
                <w:color w:val="1E293B"/>
                <w:sz w:val="19"/>
              </w:rPr>
              <w:t>Immediate (Q3–Q4 2026)</w:t>
            </w:r>
          </w:p>
        </w:tc>
        <w:tc>
          <w:tcPr>
            <w:tcW w:type="dxa" w:w="3744"/>
            <w:shd w:fill="FFFFFF"/>
            <w:tcMar>
              <w:top w:w="100" w:type="dxa"/>
              <w:bottom w:w="100" w:type="dxa"/>
              <w:left w:w="150" w:type="dxa"/>
              <w:right w:w="150" w:type="dxa"/>
            </w:tcMar>
          </w:tcPr>
          <w:p>
            <w:r>
              <w:rPr>
                <w:rFonts w:ascii="Calibri" w:hAnsi="Calibri"/>
                <w:color w:val="1E293B"/>
                <w:sz w:val="19"/>
              </w:rPr>
              <w:t>Discover and catalog all host/endpoint cryptographic assets into a CycloneDX 1.6 CBOM</w:t>
            </w:r>
          </w:p>
        </w:tc>
        <w:tc>
          <w:tcPr>
            <w:tcW w:type="dxa" w:w="3024"/>
            <w:shd w:fill="FFFFFF"/>
            <w:tcMar>
              <w:top w:w="100" w:type="dxa"/>
              <w:bottom w:w="100" w:type="dxa"/>
              <w:left w:w="150" w:type="dxa"/>
              <w:right w:w="150" w:type="dxa"/>
            </w:tcMar>
          </w:tcPr>
          <w:p>
            <w:r>
              <w:rPr>
                <w:rFonts w:ascii="Calibri" w:hAnsi="Calibri"/>
                <w:color w:val="1E293B"/>
                <w:sz w:val="19"/>
              </w:rPr>
              <w:t>QuarkShield Universal Scanner &amp; CBOM Explorer</w:t>
            </w:r>
          </w:p>
        </w:tc>
      </w:tr>
      <w:tr>
        <w:tc>
          <w:tcPr>
            <w:tcW w:type="dxa" w:w="2592"/>
            <w:shd w:fill="F8FAFC"/>
            <w:tcMar>
              <w:top w:w="100" w:type="dxa"/>
              <w:bottom w:w="100" w:type="dxa"/>
              <w:left w:w="150" w:type="dxa"/>
              <w:right w:w="150" w:type="dxa"/>
            </w:tcMar>
          </w:tcPr>
          <w:p>
            <w:r>
              <w:rPr>
                <w:rFonts w:ascii="Calibri" w:hAnsi="Calibri"/>
                <w:color w:val="1E293B"/>
                <w:sz w:val="19"/>
              </w:rPr>
              <w:t>Immediate (Q3–Q4 2026)</w:t>
            </w:r>
          </w:p>
        </w:tc>
        <w:tc>
          <w:tcPr>
            <w:tcW w:type="dxa" w:w="3744"/>
            <w:shd w:fill="F8FAFC"/>
            <w:tcMar>
              <w:top w:w="100" w:type="dxa"/>
              <w:bottom w:w="100" w:type="dxa"/>
              <w:left w:w="150" w:type="dxa"/>
              <w:right w:w="150" w:type="dxa"/>
            </w:tcMar>
          </w:tcPr>
          <w:p>
            <w:r>
              <w:rPr>
                <w:rFonts w:ascii="Calibri" w:hAnsi="Calibri"/>
                <w:color w:val="1E293B"/>
                <w:sz w:val="19"/>
              </w:rPr>
              <w:t>Eliminate Harvest Now Decrypt Later (HNDL) exposure by enabling hybrid ML-KEM-768 for TLS 1.3</w:t>
            </w:r>
          </w:p>
        </w:tc>
        <w:tc>
          <w:tcPr>
            <w:tcW w:type="dxa" w:w="3024"/>
            <w:shd w:fill="F8FAFC"/>
            <w:tcMar>
              <w:top w:w="100" w:type="dxa"/>
              <w:bottom w:w="100" w:type="dxa"/>
              <w:left w:w="150" w:type="dxa"/>
              <w:right w:w="150" w:type="dxa"/>
            </w:tcMar>
          </w:tcPr>
          <w:p>
            <w:r>
              <w:rPr>
                <w:rFonts w:ascii="Calibri" w:hAnsi="Calibri"/>
                <w:color w:val="1E293B"/>
                <w:sz w:val="19"/>
              </w:rPr>
              <w:t>QuarkShield Outbound Socket &amp; Handshake Prober</w:t>
            </w:r>
          </w:p>
        </w:tc>
      </w:tr>
      <w:tr>
        <w:tc>
          <w:tcPr>
            <w:tcW w:type="dxa" w:w="2592"/>
            <w:shd w:fill="FFFFFF"/>
            <w:tcMar>
              <w:top w:w="100" w:type="dxa"/>
              <w:bottom w:w="100" w:type="dxa"/>
              <w:left w:w="150" w:type="dxa"/>
              <w:right w:w="150" w:type="dxa"/>
            </w:tcMar>
          </w:tcPr>
          <w:p>
            <w:r>
              <w:rPr>
                <w:rFonts w:ascii="Calibri" w:hAnsi="Calibri"/>
                <w:color w:val="1E293B"/>
                <w:sz w:val="19"/>
              </w:rPr>
              <w:t>Near-Term (2026–2027)</w:t>
            </w:r>
          </w:p>
        </w:tc>
        <w:tc>
          <w:tcPr>
            <w:tcW w:type="dxa" w:w="3744"/>
            <w:shd w:fill="FFFFFF"/>
            <w:tcMar>
              <w:top w:w="100" w:type="dxa"/>
              <w:bottom w:w="100" w:type="dxa"/>
              <w:left w:w="150" w:type="dxa"/>
              <w:right w:w="150" w:type="dxa"/>
            </w:tcMar>
          </w:tcPr>
          <w:p>
            <w:r>
              <w:rPr>
                <w:rFonts w:ascii="Calibri" w:hAnsi="Calibri"/>
                <w:color w:val="1E293B"/>
                <w:sz w:val="19"/>
              </w:rPr>
              <w:t>Audit internal repositories and proprietary code for hardcoded crypto buffers &amp; algorithms</w:t>
            </w:r>
          </w:p>
        </w:tc>
        <w:tc>
          <w:tcPr>
            <w:tcW w:type="dxa" w:w="3024"/>
            <w:shd w:fill="FFFFFF"/>
            <w:tcMar>
              <w:top w:w="100" w:type="dxa"/>
              <w:bottom w:w="100" w:type="dxa"/>
              <w:left w:w="150" w:type="dxa"/>
              <w:right w:w="150" w:type="dxa"/>
            </w:tcMar>
          </w:tcPr>
          <w:p>
            <w:r>
              <w:rPr>
                <w:rFonts w:ascii="Calibri" w:hAnsi="Calibri"/>
                <w:color w:val="1E293B"/>
                <w:sz w:val="19"/>
              </w:rPr>
              <w:t>QuarkShield Git Repository Auditor &amp; AI Copilot</w:t>
            </w:r>
          </w:p>
        </w:tc>
      </w:tr>
      <w:tr>
        <w:tc>
          <w:tcPr>
            <w:tcW w:type="dxa" w:w="2592"/>
            <w:shd w:fill="F8FAFC"/>
            <w:tcMar>
              <w:top w:w="100" w:type="dxa"/>
              <w:bottom w:w="100" w:type="dxa"/>
              <w:left w:w="150" w:type="dxa"/>
              <w:right w:w="150" w:type="dxa"/>
            </w:tcMar>
          </w:tcPr>
          <w:p>
            <w:r>
              <w:rPr>
                <w:rFonts w:ascii="Calibri" w:hAnsi="Calibri"/>
                <w:color w:val="1E293B"/>
                <w:sz w:val="19"/>
              </w:rPr>
              <w:t>Mid-Term (2027–2028)</w:t>
            </w:r>
          </w:p>
        </w:tc>
        <w:tc>
          <w:tcPr>
            <w:tcW w:type="dxa" w:w="3744"/>
            <w:shd w:fill="F8FAFC"/>
            <w:tcMar>
              <w:top w:w="100" w:type="dxa"/>
              <w:bottom w:w="100" w:type="dxa"/>
              <w:left w:w="150" w:type="dxa"/>
              <w:right w:w="150" w:type="dxa"/>
            </w:tcMar>
          </w:tcPr>
          <w:p>
            <w:r>
              <w:rPr>
                <w:rFonts w:ascii="Calibri" w:hAnsi="Calibri"/>
                <w:color w:val="1E293B"/>
                <w:sz w:val="19"/>
              </w:rPr>
              <w:t>Implement dual-signing (RSA-4096 + ML-DSA-65) in CI/CD software pipelines</w:t>
            </w:r>
          </w:p>
        </w:tc>
        <w:tc>
          <w:tcPr>
            <w:tcW w:type="dxa" w:w="3024"/>
            <w:shd w:fill="F8FAFC"/>
            <w:tcMar>
              <w:top w:w="100" w:type="dxa"/>
              <w:bottom w:w="100" w:type="dxa"/>
              <w:left w:w="150" w:type="dxa"/>
              <w:right w:w="150" w:type="dxa"/>
            </w:tcMar>
          </w:tcPr>
          <w:p>
            <w:r>
              <w:rPr>
                <w:rFonts w:ascii="Calibri" w:hAnsi="Calibri"/>
                <w:color w:val="1E293B"/>
                <w:sz w:val="19"/>
              </w:rPr>
              <w:t>QuarkShield Dual-Signing Integration &amp; Playbooks</w:t>
            </w:r>
          </w:p>
        </w:tc>
      </w:tr>
      <w:tr>
        <w:tc>
          <w:tcPr>
            <w:tcW w:type="dxa" w:w="2592"/>
            <w:shd w:fill="FFFFFF"/>
            <w:tcMar>
              <w:top w:w="100" w:type="dxa"/>
              <w:bottom w:w="100" w:type="dxa"/>
              <w:left w:w="150" w:type="dxa"/>
              <w:right w:w="150" w:type="dxa"/>
            </w:tcMar>
          </w:tcPr>
          <w:p>
            <w:r>
              <w:rPr>
                <w:rFonts w:ascii="Calibri" w:hAnsi="Calibri"/>
                <w:color w:val="1E293B"/>
                <w:sz w:val="19"/>
              </w:rPr>
              <w:t>Final Phase (2028–2030)</w:t>
            </w:r>
          </w:p>
        </w:tc>
        <w:tc>
          <w:tcPr>
            <w:tcW w:type="dxa" w:w="3744"/>
            <w:shd w:fill="FFFFFF"/>
            <w:tcMar>
              <w:top w:w="100" w:type="dxa"/>
              <w:bottom w:w="100" w:type="dxa"/>
              <w:left w:w="150" w:type="dxa"/>
              <w:right w:w="150" w:type="dxa"/>
            </w:tcMar>
          </w:tcPr>
          <w:p>
            <w:r>
              <w:rPr>
                <w:rFonts w:ascii="Calibri" w:hAnsi="Calibri"/>
                <w:color w:val="1E293B"/>
                <w:sz w:val="19"/>
              </w:rPr>
              <w:t>Complete decommissioning of classical public-key algorithms per NSA CNSA 2.0 mandates</w:t>
            </w:r>
          </w:p>
        </w:tc>
        <w:tc>
          <w:tcPr>
            <w:tcW w:type="dxa" w:w="3024"/>
            <w:shd w:fill="FFFFFF"/>
            <w:tcMar>
              <w:top w:w="100" w:type="dxa"/>
              <w:bottom w:w="100" w:type="dxa"/>
              <w:left w:w="150" w:type="dxa"/>
              <w:right w:w="150" w:type="dxa"/>
            </w:tcMar>
          </w:tcPr>
          <w:p>
            <w:r>
              <w:rPr>
                <w:rFonts w:ascii="Calibri" w:hAnsi="Calibri"/>
                <w:color w:val="1E293B"/>
                <w:sz w:val="19"/>
              </w:rPr>
              <w:t>QuarkShield Continuous Compliance &amp; Snapshot Auditing</w:t>
            </w:r>
          </w:p>
        </w:tc>
      </w:tr>
    </w:tbl>
    <w:p>
      <w:pPr>
        <w:spacing w:after="240"/>
      </w:pPr>
    </w:p>
    <w:p>
      <w:pPr>
        <w:spacing w:before="160"/>
      </w:pPr>
      <w:r>
        <w:rPr>
          <w:rFonts w:ascii="Arial" w:hAnsi="Arial"/>
          <w:i/>
          <w:color w:val="64748B"/>
          <w:sz w:val="17"/>
        </w:rPr>
        <w:t>Document Reference: QS-ADV-2026-004 | Inquiries: security@quarkshield.ai | Portal: https://quarkshield.ai</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For Customer Leadership, CISO &amp; Cryptographic Security Architecture Teams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QuarkShield.ai | Enterprise Post-Quantum Cryptography (PQC) Advisory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94A3B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94A3B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