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StartupValuationApp — Research Dossier</w:t>
      </w:r>
    </w:p>
    <w:p>
      <w:r>
        <w:rPr>
          <w:b/>
        </w:rPr>
        <w:t xml:space="preserve">Project:</w:t>
      </w:r>
      <w:r>
        <w:t xml:space="preserve"> 08_StartupValuationApp (ENTP 6314)</w:t>
      </w:r>
    </w:p>
    <w:p>
      <w:r>
        <w:rPr>
          <w:b/>
        </w:rPr>
        <w:t xml:space="preserve">Owner:</w:t>
      </w:r>
      <w:r>
        <w:t xml:space="preserve"> Stephen Pinson</w:t>
      </w:r>
    </w:p>
    <w:p>
      <w:r>
        <w:rPr>
          <w:b/>
        </w:rPr>
        <w:t xml:space="preserve">Started:</w:t>
      </w:r>
      <w:r>
        <w:t xml:space="preserve"> September 22, 2026</w:t>
      </w:r>
    </w:p>
    <w:p>
      <w:r>
        <w:rPr>
          <w:b/>
        </w:rPr>
        <w:t xml:space="preserve">Status:</w:t>
      </w:r>
      <w:r>
        <w:t xml:space="preserve"> Living document — a new section is added for each research prompt.</w:t>
      </w:r>
    </w:p>
    <w:p>
      <w:pPr>
        <w:pStyle w:val="Heading1"/>
      </w:pPr>
      <w:r>
        <w:t xml:space="preserve">Contents so far</w:t>
      </w:r>
    </w:p>
    <w:p>
      <w:pPr>
        <w:numPr>
          <w:ilvl w:val="0"/>
          <w:numId w:val="1"/>
        </w:numPr>
      </w:pPr>
      <w:r>
        <w:t xml:space="preserve">Section 1 — Opportunity Scan: who has the valuation-and-investor-matching problem, how many there are, what they use today, complaints about current tools, and what AI actually changed. *(Added Sept 22, 2026)*</w:t>
      </w:r>
    </w:p>
    <w:p>
      <w:pPr>
        <w:numPr>
          <w:ilvl w:val="0"/>
          <w:numId w:val="1"/>
        </w:numPr>
      </w:pPr>
      <w:r>
        <w:t xml:space="preserve">Section 2 — Complaint Themes &amp; What Humans Charge: seven themes from founder-facing tool reviews, plus the cost of the human version of this job. *(Added Sept 22, 2026)*</w:t>
      </w:r>
    </w:p>
    <w:p>
      <w:pPr>
        <w:numPr>
          <w:ilvl w:val="0"/>
          <w:numId w:val="1"/>
        </w:numPr>
      </w:pPr>
      <w:r>
        <w:t xml:space="preserve">Section 3 — Competitor Teardown: pricing, features, target customer, funding and complaints for seven platforms, plus the gaps nobody serves. *(Added Sept 22, 2026)*</w:t>
      </w:r>
    </w:p>
    <w:p>
      <w:pPr>
        <w:numPr>
          <w:ilvl w:val="0"/>
          <w:numId w:val="1"/>
        </w:numPr>
      </w:pPr>
      <w:r>
        <w:t xml:space="preserve">Section 4 — Bottom-Up Market Size: population-to-revenue funnel at $1,000/year, with conservative, base and optimistic cases and every assumption stated. *(Added Sept 22, 2026)*</w:t>
      </w:r>
    </w:p>
    <w:p>
      <w:pPr>
        <w:numPr>
          <w:ilvl w:val="0"/>
          <w:numId w:val="1"/>
        </w:numPr>
      </w:pPr>
      <w:r>
        <w:t xml:space="preserve">Section 5 — Testing the "Newly Possible" Claim: evidence for and against, both counterarguments argued at full strength, and the narrowed claim that survives. *(Added Sept 22, 2026)*</w:t>
      </w:r>
    </w:p>
    <w:p>
      <w:r>
        <w:t xml:space="preserve">Every factual claim carries a source link. Items that could not be verified are listed explicitly at the end of each section rather than being smoothed over.</w:t>
      </w:r>
    </w:p>
    <w:p>
      <w:r>
        <w:br w:type="page"/>
      </w:r>
    </w:p>
    <w:p>
      <w:pPr>
        <w:pStyle w:val="Title"/>
      </w:pPr>
      <w:r>
        <w:t xml:space="preserve">Opportunity Scan — Startup Valuation &amp; Investor Matching App</w:t>
      </w:r>
    </w:p>
    <w:p>
      <w:r>
        <w:rPr>
          <w:b/>
        </w:rPr>
        <w:t xml:space="preserve">Prepared:</w:t>
      </w:r>
      <w:r>
        <w:t xml:space="preserve"> September 22, 2026</w:t>
      </w:r>
    </w:p>
    <w:p>
      <w:r>
        <w:rPr>
          <w:b/>
        </w:rPr>
        <w:t xml:space="preserve">Analyst role:</w:t>
      </w:r>
      <w:r>
        <w:t xml:space="preserve"> Market research analyst</w:t>
      </w:r>
    </w:p>
    <w:p>
      <w:r>
        <w:rPr>
          <w:b/>
        </w:rPr>
        <w:t xml:space="preserve">Problem space:</w:t>
      </w:r>
      <w:r>
        <w:t xml:space="preserve"> Founders don't know what their company is worth when raising outside capital (or pitching on *Shark Tank*), confusing emotional attachment and future potential with current financial reality — and they burn enormous time both computing a valuation and hunting for the investors who fund their industry and stage.</w:t>
      </w:r>
    </w:p>
    <w:p>
      <w:pPr>
        <w:ind w:left="360"/>
        <w:pBdr>
          <w:left w:val="single" w:sz="18" w:space="8" w:color="9AA0A6"/>
        </w:pBdr>
      </w:pPr>
      <w:r>
        <w:rPr>
          <w:b/>
        </w:rPr>
        <w:t xml:space="preserve">Access note.</w:t>
      </w:r>
      <w:r>
        <w:t xml:space="preserve"> Reddit and G2 block this research tool (Reddit refuses search and page loads; G2 returns 403 and renders blank). Complaints below come from Trustpilot, Capterra and the Apple App Store, which are reachable. Complaints are paraphrased with reviewer, rating and date so each can be found in its source. See </w:t>
      </w:r>
      <w:r>
        <w:rPr>
          <w:b/>
        </w:rPr>
        <w:t xml:space="preserve">Section 5</w:t>
      </w:r>
      <w:r>
        <w:t xml:space="preserve"> for everything unverified.</w:t>
      </w:r>
    </w:p>
    <w:p>
      <w:pPr>
        <w:pBdr>
          <w:bottom w:val="single" w:sz="6" w:space="6" w:color="C9CCD1"/>
        </w:pBdr>
      </w:pPr>
    </w:p>
    <w:p>
      <w:pPr>
        <w:pStyle w:val="Heading1"/>
      </w:pPr>
      <w:r>
        <w:t xml:space="preserve">1. Who has this problem, and how many are there in the US?</w:t>
      </w:r>
    </w:p>
    <w:p>
      <w:r>
        <w:t xml:space="preserve">This market has to be built in layers, because "startup" spans someone filing an LLC and someone closing a Series B.</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2520"/>
        <w:gridCol w:w="2520"/>
        <w:gridCol w:w="2520"/>
        <w:gridCol w:w="2520"/>
      </w:tblGrid>
      <w:tr>
        <w:trPr>
          <w:tblHeader/>
        </w:trPr>
        <w:tc>
          <w:tcPr>
            <w:tcW w:w="2520" w:type="dxa"/>
            <w:shd w:val="clear" w:color="auto" w:fill="EFF1F3"/>
          </w:tcPr>
          <w:p>
            <w:pPr>
              <w:spacing w:before="40" w:after="40"/>
            </w:pPr>
            <w:r>
              <w:rPr>
                <w:b/>
                <w:sz w:val="18"/>
              </w:rPr>
              <w:t xml:space="preserve">Layer</w:t>
            </w:r>
          </w:p>
        </w:tc>
        <w:tc>
          <w:tcPr>
            <w:tcW w:w="2520" w:type="dxa"/>
            <w:shd w:val="clear" w:color="auto" w:fill="EFF1F3"/>
          </w:tcPr>
          <w:p>
            <w:pPr>
              <w:spacing w:before="40" w:after="40"/>
            </w:pPr>
            <w:r>
              <w:rPr>
                <w:b/>
                <w:sz w:val="18"/>
              </w:rPr>
              <w:t xml:space="preserve">Definition</w:t>
            </w:r>
          </w:p>
        </w:tc>
        <w:tc>
          <w:tcPr>
            <w:tcW w:w="2520" w:type="dxa"/>
            <w:shd w:val="clear" w:color="auto" w:fill="EFF1F3"/>
          </w:tcPr>
          <w:p>
            <w:pPr>
              <w:spacing w:before="40" w:after="40"/>
            </w:pPr>
            <w:r>
              <w:rPr>
                <w:b/>
                <w:sz w:val="18"/>
              </w:rPr>
              <w:t xml:space="preserve">US figure (per year unless noted)</w:t>
            </w:r>
          </w:p>
        </w:tc>
        <w:tc>
          <w:tcPr>
            <w:tcW w:w="2520" w:type="dxa"/>
            <w:shd w:val="clear" w:color="auto" w:fill="EFF1F3"/>
          </w:tcPr>
          <w:p>
            <w:pPr>
              <w:spacing w:before="40" w:after="40"/>
            </w:pPr>
            <w:r>
              <w:rPr>
                <w:b/>
                <w:sz w:val="18"/>
              </w:rPr>
              <w:t xml:space="preserve">Source</w:t>
            </w:r>
          </w:p>
        </w:tc>
      </w:tr>
      <w:tr>
        <w:tc>
          <w:tcPr>
            <w:tcW w:w="2520" w:type="dxa"/>
          </w:tcPr>
          <w:p>
            <w:pPr>
              <w:spacing w:before="40" w:after="40"/>
            </w:pPr>
            <w:r>
              <w:rPr>
                <w:b/>
                <w:sz w:val="18"/>
              </w:rPr>
              <w:t xml:space="preserve">L1 — Everyone forming a business</w:t>
            </w:r>
          </w:p>
        </w:tc>
        <w:tc>
          <w:tcPr>
            <w:tcW w:w="2520" w:type="dxa"/>
          </w:tcPr>
          <w:p>
            <w:pPr>
              <w:spacing w:before="40" w:after="40"/>
            </w:pPr>
            <w:r>
              <w:rPr>
                <w:sz w:val="18"/>
              </w:rPr>
              <w:t xml:space="preserve">Business applications filed</w:t>
            </w:r>
          </w:p>
        </w:tc>
        <w:tc>
          <w:tcPr>
            <w:tcW w:w="2520" w:type="dxa"/>
          </w:tcPr>
          <w:p>
            <w:pPr>
              <w:spacing w:before="40" w:after="40"/>
            </w:pPr>
            <w:r>
              <w:rPr>
                <w:b/>
                <w:sz w:val="18"/>
              </w:rPr>
              <w:t xml:space="preserve">5,671,836</w:t>
            </w:r>
            <w:r>
              <w:rPr>
                <w:sz w:val="18"/>
              </w:rPr>
              <w:t xml:space="preserve"> in 2025 (all-time record)</w:t>
            </w:r>
          </w:p>
        </w:tc>
        <w:tc>
          <w:tcPr>
            <w:tcW w:w="2520" w:type="dxa"/>
          </w:tcPr>
          <w:p>
            <w:pPr>
              <w:spacing w:before="40" w:after="40"/>
            </w:pPr>
            <w:hyperlink r:id="rHl1">
              <w:r>
                <w:rPr>
                  <w:rStyle w:val="Hyperlink"/>
                  <w:sz w:val="18"/>
                </w:rPr>
                <w:t xml:space="preserve">Census Business Formation Statistics</w:t>
              </w:r>
            </w:hyperlink>
            <w:r>
              <w:rPr>
                <w:sz w:val="18"/>
              </w:rPr>
              <w:t xml:space="preserve"> via </w:t>
            </w:r>
            <w:hyperlink r:id="rHl2">
              <w:r>
                <w:rPr>
                  <w:rStyle w:val="Hyperlink"/>
                  <w:sz w:val="18"/>
                </w:rPr>
                <w:t xml:space="preserve">Commerce Institute</w:t>
              </w:r>
            </w:hyperlink>
          </w:p>
        </w:tc>
      </w:tr>
      <w:tr>
        <w:tc>
          <w:tcPr>
            <w:tcW w:w="2520" w:type="dxa"/>
          </w:tcPr>
          <w:p>
            <w:pPr>
              <w:spacing w:before="40" w:after="40"/>
            </w:pPr>
            <w:r>
              <w:rPr>
                <w:b/>
                <w:sz w:val="18"/>
              </w:rPr>
              <w:t xml:space="preserve">L2 — Likely to become real employers</w:t>
            </w:r>
          </w:p>
        </w:tc>
        <w:tc>
          <w:tcPr>
            <w:tcW w:w="2520" w:type="dxa"/>
          </w:tcPr>
          <w:p>
            <w:pPr>
              <w:spacing w:before="40" w:after="40"/>
            </w:pPr>
            <w:r>
              <w:rPr>
                <w:sz w:val="18"/>
              </w:rPr>
              <w:t xml:space="preserve">High-propensity business applications</w:t>
            </w:r>
          </w:p>
        </w:tc>
        <w:tc>
          <w:tcPr>
            <w:tcW w:w="2520" w:type="dxa"/>
          </w:tcPr>
          <w:p>
            <w:pPr>
              <w:spacing w:before="40" w:after="40"/>
            </w:pPr>
            <w:r>
              <w:rPr>
                <w:b/>
                <w:sz w:val="18"/>
              </w:rPr>
              <w:t xml:space="preserve">1,708,842</w:t>
            </w:r>
            <w:r>
              <w:rPr>
                <w:sz w:val="18"/>
              </w:rPr>
              <w:t xml:space="preserve"> in 2025</w:t>
            </w:r>
          </w:p>
        </w:tc>
        <w:tc>
          <w:tcPr>
            <w:tcW w:w="2520" w:type="dxa"/>
          </w:tcPr>
          <w:p>
            <w:pPr>
              <w:spacing w:before="40" w:after="40"/>
            </w:pPr>
            <w:hyperlink r:id="rHl1">
              <w:r>
                <w:rPr>
                  <w:rStyle w:val="Hyperlink"/>
                  <w:sz w:val="18"/>
                </w:rPr>
                <w:t xml:space="preserve">Census BFS</w:t>
              </w:r>
            </w:hyperlink>
          </w:p>
        </w:tc>
      </w:tr>
      <w:tr>
        <w:tc>
          <w:tcPr>
            <w:tcW w:w="2520" w:type="dxa"/>
          </w:tcPr>
          <w:p>
            <w:pPr>
              <w:spacing w:before="40" w:after="40"/>
            </w:pPr>
            <w:r>
              <w:rPr>
                <w:b/>
                <w:sz w:val="18"/>
              </w:rPr>
              <w:t xml:space="preserve">L3 — Actually hiring</w:t>
            </w:r>
          </w:p>
        </w:tc>
        <w:tc>
          <w:tcPr>
            <w:tcW w:w="2520" w:type="dxa"/>
          </w:tcPr>
          <w:p>
            <w:pPr>
              <w:spacing w:before="40" w:after="40"/>
            </w:pPr>
            <w:r>
              <w:rPr>
                <w:sz w:val="18"/>
              </w:rPr>
              <w:t xml:space="preserve">Private-sector establishment births</w:t>
            </w:r>
          </w:p>
        </w:tc>
        <w:tc>
          <w:tcPr>
            <w:tcW w:w="2520" w:type="dxa"/>
          </w:tcPr>
          <w:p>
            <w:pPr>
              <w:spacing w:before="40" w:after="40"/>
            </w:pPr>
            <w:r>
              <w:rPr>
                <w:b/>
                <w:sz w:val="18"/>
              </w:rPr>
              <w:t xml:space="preserve">~323,000 in Q3 2025 alone</w:t>
            </w:r>
            <w:r>
              <w:rPr>
                <w:sz w:val="18"/>
              </w:rPr>
              <w:t xml:space="preserve"> (≈1.2–1.3M/yr) </w:t>
            </w:r>
            <w:r>
              <w:rPr>
                <w:rFonts w:ascii="Consolas" w:hAnsi="Consolas"/>
                <w:sz w:val="18"/>
              </w:rPr>
              <w:t xml:space="preserve">[annualization is mine]</w:t>
            </w:r>
          </w:p>
        </w:tc>
        <w:tc>
          <w:tcPr>
            <w:tcW w:w="2520" w:type="dxa"/>
          </w:tcPr>
          <w:p>
            <w:pPr>
              <w:spacing w:before="40" w:after="40"/>
            </w:pPr>
            <w:hyperlink r:id="rHl3">
              <w:r>
                <w:rPr>
                  <w:rStyle w:val="Hyperlink"/>
                  <w:sz w:val="18"/>
                </w:rPr>
                <w:t xml:space="preserve">BLS Business Employment Dynamics</w:t>
              </w:r>
            </w:hyperlink>
          </w:p>
        </w:tc>
      </w:tr>
      <w:tr>
        <w:tc>
          <w:tcPr>
            <w:tcW w:w="2520" w:type="dxa"/>
          </w:tcPr>
          <w:p>
            <w:pPr>
              <w:spacing w:before="40" w:after="40"/>
            </w:pPr>
            <w:r>
              <w:rPr>
                <w:b/>
                <w:sz w:val="18"/>
              </w:rPr>
              <w:t xml:space="preserve">L4 — Raising private capital under an exemption</w:t>
            </w:r>
          </w:p>
        </w:tc>
        <w:tc>
          <w:tcPr>
            <w:tcW w:w="2520" w:type="dxa"/>
          </w:tcPr>
          <w:p>
            <w:pPr>
              <w:spacing w:before="40" w:after="40"/>
            </w:pPr>
            <w:r>
              <w:rPr>
                <w:sz w:val="18"/>
              </w:rPr>
              <w:t xml:space="preserve">Initial Form D filings</w:t>
            </w:r>
          </w:p>
        </w:tc>
        <w:tc>
          <w:tcPr>
            <w:tcW w:w="2520" w:type="dxa"/>
          </w:tcPr>
          <w:p>
            <w:pPr>
              <w:spacing w:before="40" w:after="40"/>
            </w:pPr>
            <w:r>
              <w:rPr>
                <w:b/>
                <w:sz w:val="18"/>
              </w:rPr>
              <w:t xml:space="preserve">32,554</w:t>
            </w:r>
            <w:r>
              <w:rPr>
                <w:sz w:val="18"/>
              </w:rPr>
              <w:t xml:space="preserve"> (2024); </w:t>
            </w:r>
            <w:r>
              <w:rPr>
                <w:b/>
                <w:sz w:val="18"/>
              </w:rPr>
              <w:t xml:space="preserve">34,553</w:t>
            </w:r>
            <w:r>
              <w:rPr>
                <w:sz w:val="18"/>
              </w:rPr>
              <w:t xml:space="preserve"> (2025 YTD)</w:t>
            </w:r>
          </w:p>
        </w:tc>
        <w:tc>
          <w:tcPr>
            <w:tcW w:w="2520" w:type="dxa"/>
          </w:tcPr>
          <w:p>
            <w:pPr>
              <w:spacing w:before="40" w:after="40"/>
            </w:pPr>
            <w:hyperlink r:id="rHl4">
              <w:r>
                <w:rPr>
                  <w:rStyle w:val="Hyperlink"/>
                  <w:sz w:val="18"/>
                </w:rPr>
                <w:t xml:space="preserve">SEC Reg D statistics</w:t>
              </w:r>
            </w:hyperlink>
          </w:p>
        </w:tc>
      </w:tr>
      <w:tr>
        <w:tc>
          <w:tcPr>
            <w:tcW w:w="2520" w:type="dxa"/>
          </w:tcPr>
          <w:p>
            <w:pPr>
              <w:spacing w:before="40" w:after="40"/>
            </w:pPr>
            <w:r>
              <w:rPr>
                <w:b/>
                <w:sz w:val="18"/>
              </w:rPr>
              <w:t xml:space="preserve">L5 — Angel-funded ventures</w:t>
            </w:r>
          </w:p>
        </w:tc>
        <w:tc>
          <w:tcPr>
            <w:tcW w:w="2520" w:type="dxa"/>
          </w:tcPr>
          <w:p>
            <w:pPr>
              <w:spacing w:before="40" w:after="40"/>
            </w:pPr>
            <w:r>
              <w:rPr>
                <w:sz w:val="18"/>
              </w:rPr>
              <w:t xml:space="preserve">Ventures receiving angel money</w:t>
            </w:r>
          </w:p>
        </w:tc>
        <w:tc>
          <w:tcPr>
            <w:tcW w:w="2520" w:type="dxa"/>
          </w:tcPr>
          <w:p>
            <w:pPr>
              <w:spacing w:before="40" w:after="40"/>
            </w:pPr>
            <w:r>
              <w:rPr>
                <w:b/>
                <w:sz w:val="18"/>
              </w:rPr>
              <w:t xml:space="preserve">54,735</w:t>
            </w:r>
            <w:r>
              <w:rPr>
                <w:sz w:val="18"/>
              </w:rPr>
              <w:t xml:space="preserve"> (2023), from </w:t>
            </w:r>
            <w:r>
              <w:rPr>
                <w:b/>
                <w:sz w:val="18"/>
              </w:rPr>
              <w:t xml:space="preserve">422,350</w:t>
            </w:r>
            <w:r>
              <w:rPr>
                <w:sz w:val="18"/>
              </w:rPr>
              <w:t xml:space="preserve"> active angels</w:t>
            </w:r>
          </w:p>
        </w:tc>
        <w:tc>
          <w:tcPr>
            <w:tcW w:w="2520" w:type="dxa"/>
          </w:tcPr>
          <w:p>
            <w:pPr>
              <w:spacing w:before="40" w:after="40"/>
            </w:pPr>
            <w:hyperlink r:id="rHl5">
              <w:r>
                <w:rPr>
                  <w:rStyle w:val="Hyperlink"/>
                  <w:sz w:val="18"/>
                </w:rPr>
                <w:t xml:space="preserve">UNH Center for Venture Research</w:t>
              </w:r>
            </w:hyperlink>
          </w:p>
        </w:tc>
      </w:tr>
      <w:tr>
        <w:tc>
          <w:tcPr>
            <w:tcW w:w="2520" w:type="dxa"/>
          </w:tcPr>
          <w:p>
            <w:pPr>
              <w:spacing w:before="40" w:after="40"/>
            </w:pPr>
            <w:r>
              <w:rPr>
                <w:b/>
                <w:sz w:val="18"/>
              </w:rPr>
              <w:t xml:space="preserve">L6 — Institutional VC rounds</w:t>
            </w:r>
          </w:p>
        </w:tc>
        <w:tc>
          <w:tcPr>
            <w:tcW w:w="2520" w:type="dxa"/>
          </w:tcPr>
          <w:p>
            <w:pPr>
              <w:spacing w:before="40" w:after="40"/>
            </w:pPr>
            <w:r>
              <w:rPr>
                <w:sz w:val="18"/>
              </w:rPr>
              <w:t xml:space="preserve">US VC deals closed</w:t>
            </w:r>
          </w:p>
        </w:tc>
        <w:tc>
          <w:tcPr>
            <w:tcW w:w="2520" w:type="dxa"/>
          </w:tcPr>
          <w:p>
            <w:pPr>
              <w:spacing w:before="40" w:after="40"/>
            </w:pPr>
            <w:r>
              <w:rPr>
                <w:b/>
                <w:sz w:val="18"/>
              </w:rPr>
              <w:t xml:space="preserve">16,709 deals / $339.4B</w:t>
            </w:r>
            <w:r>
              <w:rPr>
                <w:sz w:val="18"/>
              </w:rPr>
              <w:t xml:space="preserve"> (2025)</w:t>
            </w:r>
          </w:p>
        </w:tc>
        <w:tc>
          <w:tcPr>
            <w:tcW w:w="2520" w:type="dxa"/>
          </w:tcPr>
          <w:p>
            <w:pPr>
              <w:spacing w:before="40" w:after="40"/>
            </w:pPr>
            <w:hyperlink r:id="rHl6">
              <w:r>
                <w:rPr>
                  <w:rStyle w:val="Hyperlink"/>
                  <w:sz w:val="18"/>
                </w:rPr>
                <w:t xml:space="preserve">PitchBook-NVCA Venture Monitor via Inc.</w:t>
              </w:r>
            </w:hyperlink>
          </w:p>
        </w:tc>
      </w:tr>
      <w:tr>
        <w:tc>
          <w:tcPr>
            <w:tcW w:w="2520" w:type="dxa"/>
          </w:tcPr>
          <w:p>
            <w:pPr>
              <w:spacing w:before="40" w:after="40"/>
            </w:pPr>
            <w:r>
              <w:rPr>
                <w:b/>
                <w:sz w:val="18"/>
              </w:rPr>
              <w:t xml:space="preserve">L7 — Needing a formal 409A valuation</w:t>
            </w:r>
          </w:p>
        </w:tc>
        <w:tc>
          <w:tcPr>
            <w:tcW w:w="2520" w:type="dxa"/>
          </w:tcPr>
          <w:p>
            <w:pPr>
              <w:spacing w:before="40" w:after="40"/>
            </w:pPr>
            <w:r>
              <w:rPr>
                <w:sz w:val="18"/>
              </w:rPr>
              <w:t xml:space="preserve">409A valuations issued by Carta alone</w:t>
            </w:r>
          </w:p>
        </w:tc>
        <w:tc>
          <w:tcPr>
            <w:tcW w:w="2520" w:type="dxa"/>
          </w:tcPr>
          <w:p>
            <w:pPr>
              <w:spacing w:before="40" w:after="40"/>
            </w:pPr>
            <w:r>
              <w:rPr>
                <w:b/>
                <w:sz w:val="18"/>
              </w:rPr>
              <w:t xml:space="preserve">16,000+/yr</w:t>
            </w:r>
          </w:p>
        </w:tc>
        <w:tc>
          <w:tcPr>
            <w:tcW w:w="2520" w:type="dxa"/>
          </w:tcPr>
          <w:p>
            <w:pPr>
              <w:spacing w:before="40" w:after="40"/>
            </w:pPr>
            <w:hyperlink r:id="rHl7">
              <w:r>
                <w:rPr>
                  <w:rStyle w:val="Hyperlink"/>
                  <w:sz w:val="18"/>
                </w:rPr>
                <w:t xml:space="preserve">Carta</w:t>
              </w:r>
            </w:hyperlink>
          </w:p>
        </w:tc>
      </w:tr>
      <w:tr>
        <w:tc>
          <w:tcPr>
            <w:tcW w:w="2520" w:type="dxa"/>
          </w:tcPr>
          <w:p>
            <w:pPr>
              <w:spacing w:before="40" w:after="40"/>
            </w:pPr>
            <w:r>
              <w:rPr>
                <w:b/>
                <w:sz w:val="18"/>
              </w:rPr>
              <w:t xml:space="preserve">L8 — The televised version</w:t>
            </w:r>
          </w:p>
        </w:tc>
        <w:tc>
          <w:tcPr>
            <w:tcW w:w="2520" w:type="dxa"/>
          </w:tcPr>
          <w:p>
            <w:pPr>
              <w:spacing w:before="40" w:after="40"/>
            </w:pPr>
            <w:r>
              <w:rPr>
                <w:sz w:val="18"/>
              </w:rPr>
              <w:t xml:space="preserve">*Shark Tank* applications</w:t>
            </w:r>
          </w:p>
        </w:tc>
        <w:tc>
          <w:tcPr>
            <w:tcW w:w="2520" w:type="dxa"/>
          </w:tcPr>
          <w:p>
            <w:pPr>
              <w:spacing w:before="40" w:after="40"/>
            </w:pPr>
            <w:r>
              <w:rPr>
                <w:b/>
                <w:sz w:val="18"/>
              </w:rPr>
              <w:t xml:space="preserve">40,000+/yr</w:t>
            </w:r>
          </w:p>
        </w:tc>
        <w:tc>
          <w:tcPr>
            <w:tcW w:w="2520" w:type="dxa"/>
          </w:tcPr>
          <w:p>
            <w:pPr>
              <w:spacing w:before="40" w:after="40"/>
            </w:pPr>
            <w:hyperlink r:id="rHl8">
              <w:r>
                <w:rPr>
                  <w:rStyle w:val="Hyperlink"/>
                  <w:sz w:val="18"/>
                </w:rPr>
                <w:t xml:space="preserve">Shark Tank Blog</w:t>
              </w:r>
            </w:hyperlink>
          </w:p>
        </w:tc>
      </w:tr>
    </w:tbl>
    <w:p>
      <w:pPr>
        <w:spacing w:after="0"/>
      </w:pPr>
    </w:p>
    <w:p>
      <w:pPr>
        <w:pStyle w:val="Heading2"/>
      </w:pPr>
      <w:r>
        <w:t xml:space="preserve">The defensible core market</w:t>
      </w:r>
    </w:p>
    <w:p>
      <w:r>
        <w:rPr>
          <w:b/>
        </w:rPr>
        <w:t xml:space="preserve">Companies actively raising outside equity in a given year: roughly 55,000–90,000.</w:t>
      </w:r>
    </w:p>
    <w:p>
      <w:r>
        <w:t xml:space="preserve">Reasoning: Form D initial filings (32,554) capture companies raising under Reg D — this is a legal filing, so it's a floor, not an estimate. Angel-funded ventures (54,735) overlap with it but include raises that never file. VC deals (16,709) are mostly a subset of Form D. Taking the angel figure as the broad measure and Form D as the strict one, </w:t>
      </w:r>
      <w:r>
        <w:rPr>
          <w:b/>
        </w:rPr>
        <w:t xml:space="preserve">the honest range is 55k–90k companies per year that complete an outside raise.</w:t>
      </w:r>
    </w:p>
    <w:p>
      <w:r>
        <w:rPr>
          <w:b/>
        </w:rPr>
        <w:t xml:space="preserve">Then add the ones who try and fail — which is the real market.</w:t>
      </w:r>
      <w:r>
        <w:t xml:space="preserve"> The reported pre-seed funnel is roughly </w:t>
      </w:r>
      <w:r>
        <w:rPr>
          <w:b/>
        </w:rPr>
        <w:t xml:space="preserve">100 first meetings → 25 second meetings → 12 partner pitches → 6–8 checks</w:t>
      </w:r>
      <w:r>
        <w:t xml:space="preserve"> (</w:t>
      </w:r>
      <w:hyperlink r:id="rHl9">
        <w:r>
          <w:rPr>
            <w:rStyle w:val="Hyperlink"/>
          </w:rPr>
          <w:t xml:space="preserve">capwave.ai</w:t>
        </w:r>
      </w:hyperlink>
      <w:r>
        <w:t xml:space="preserve">). Every funded company implies several that ran the same process and got nothing, and *those* founders needed the valuation answer and the investor list just as badly. </w:t>
      </w:r>
      <w:r>
        <w:rPr>
          <w:b/>
        </w:rPr>
        <w:t xml:space="preserve">At a 1-in-4 success rate, the attempting pool is roughly 220,000–360,000 founders per year</w:t>
      </w:r>
      <w:r>
        <w:t xml:space="preserve"> </w:t>
      </w:r>
      <w:r>
        <w:rPr>
          <w:rFonts w:ascii="Consolas" w:hAnsi="Consolas"/>
        </w:rPr>
        <w:t xml:space="preserve">[UNVERIFIED — no survey found measuring attempt-to-success ratio; this multiplier is my inference]</w:t>
      </w:r>
      <w:r>
        <w:t xml:space="preserve">.</w:t>
      </w:r>
    </w:p>
    <w:p>
      <w:r>
        <w:rPr>
          <w:b/>
        </w:rPr>
        <w:t xml:space="preserve">Plus 40,000+ Shark Tank applicants annually</w:t>
      </w:r>
      <w:r>
        <w:t xml:space="preserve">, who are explicitly valuing their businesses on camera and are the purest expression of the stated problem.</w:t>
      </w:r>
    </w:p>
    <w:p>
      <w:pPr>
        <w:pStyle w:val="Heading2"/>
      </w:pPr>
      <w:r>
        <w:t xml:space="preserve">Evidence the problem is real, not assumed</w:t>
      </w:r>
    </w:p>
    <w:p>
      <w:pPr>
        <w:numPr>
          <w:ilvl w:val="0"/>
          <w:numId w:val="1"/>
        </w:numPr>
      </w:pPr>
      <w:r>
        <w:rPr>
          <w:b/>
        </w:rPr>
        <w:t xml:space="preserve">Time cost is measured in months, not hours.</w:t>
      </w:r>
      <w:r>
        <w:t xml:space="preserve"> Founders should assume </w:t>
      </w:r>
      <w:r>
        <w:rPr>
          <w:b/>
        </w:rPr>
        <w:t xml:space="preserve">6–8 months for a full fundraising cycle</w:t>
      </w:r>
      <w:r>
        <w:t xml:space="preserve">, with 3 months as a best case; a pre-seed/seed round runs </w:t>
      </w:r>
      <w:r>
        <w:rPr>
          <w:b/>
        </w:rPr>
        <w:t xml:space="preserve">12–16 weeks</w:t>
      </w:r>
      <w:r>
        <w:t xml:space="preserve"> end to end. (</w:t>
      </w:r>
      <w:hyperlink r:id="rHl9">
        <w:r>
          <w:rPr>
            <w:rStyle w:val="Hyperlink"/>
          </w:rPr>
          <w:t xml:space="preserve">capwave.ai</w:t>
        </w:r>
      </w:hyperlink>
      <w:r>
        <w:t xml:space="preserve">; </w:t>
      </w:r>
      <w:hyperlink r:id="rHl10">
        <w:r>
          <w:rPr>
            <w:rStyle w:val="Hyperlink"/>
          </w:rPr>
          <w:t xml:space="preserve">bfunded</w:t>
        </w:r>
      </w:hyperlink>
      <w:r>
        <w:t xml:space="preserve">)</w:t>
      </w:r>
    </w:p>
    <w:p>
      <w:pPr>
        <w:numPr>
          <w:ilvl w:val="0"/>
          <w:numId w:val="1"/>
        </w:numPr>
      </w:pPr>
      <w:r>
        <w:rPr>
          <w:b/>
        </w:rPr>
        <w:t xml:space="preserve">It eats a third of the year for some.</w:t>
      </w:r>
      <w:r>
        <w:t xml:space="preserve"> A founder survey found roughly two-thirds spend </w:t>
      </w:r>
      <w:r>
        <w:rPr>
          <w:b/>
        </w:rPr>
        <w:t xml:space="preserve">at least three days a month</w:t>
      </w:r>
      <w:r>
        <w:t xml:space="preserve"> on fundraising — close to two months a year — and one-third spend </w:t>
      </w:r>
      <w:r>
        <w:rPr>
          <w:b/>
        </w:rPr>
        <w:t xml:space="preserve">five or more days a month</w:t>
      </w:r>
      <w:r>
        <w:t xml:space="preserve">, about </w:t>
      </w:r>
      <w:r>
        <w:rPr>
          <w:b/>
        </w:rPr>
        <w:t xml:space="preserve">12 weeks a year</w:t>
      </w:r>
      <w:r>
        <w:t xml:space="preserve">. (</w:t>
      </w:r>
      <w:hyperlink r:id="rHl11">
        <w:r>
          <w:rPr>
            <w:rStyle w:val="Hyperlink"/>
          </w:rPr>
          <w:t xml:space="preserve">BFA Global</w:t>
        </w:r>
      </w:hyperlink>
      <w:r>
        <w:t xml:space="preserve">) </w:t>
      </w:r>
      <w:r>
        <w:rPr>
          <w:rFonts w:ascii="Consolas" w:hAnsi="Consolas"/>
        </w:rPr>
        <w:t xml:space="preserve">[UNVERIFIED for the US — this survey covered ~60 African founders in 2021]</w:t>
      </w:r>
    </w:p>
    <w:p>
      <w:pPr>
        <w:numPr>
          <w:ilvl w:val="0"/>
          <w:numId w:val="1"/>
        </w:numPr>
      </w:pPr>
      <w:r>
        <w:rPr>
          <w:b/>
        </w:rPr>
        <w:t xml:space="preserve">The valuation gap is documented on television.</w:t>
      </w:r>
      <w:r>
        <w:t xml:space="preserve"> Academic work on *Shark Tank* negotiations finds founders who signal equity retention receive offers </w:t>
      </w:r>
      <w:r>
        <w:rPr>
          <w:b/>
        </w:rPr>
        <w:t xml:space="preserve">further from their ask</w:t>
      </w:r>
      <w:r>
        <w:t xml:space="preserve">, and the show's own data shows women ask for and receive smaller deals ($214k vs $324k), give up more equity (30% vs 26%) and end at </w:t>
      </w:r>
      <w:r>
        <w:rPr>
          <w:b/>
        </w:rPr>
        <w:t xml:space="preserve">23% lower valuations</w:t>
      </w:r>
      <w:r>
        <w:t xml:space="preserve">. (</w:t>
      </w:r>
      <w:hyperlink r:id="rHl12">
        <w:r>
          <w:rPr>
            <w:rStyle w:val="Hyperlink"/>
          </w:rPr>
          <w:t xml:space="preserve">ScienceDirect</w:t>
        </w:r>
      </w:hyperlink>
      <w:r>
        <w:t xml:space="preserve">; </w:t>
      </w:r>
      <w:hyperlink r:id="rHl13">
        <w:r>
          <w:rPr>
            <w:rStyle w:val="Hyperlink"/>
          </w:rPr>
          <w:t xml:space="preserve">The Hustle</w:t>
        </w:r>
      </w:hyperlink>
      <w:r>
        <w:t xml:space="preserve">)</w:t>
      </w:r>
    </w:p>
    <w:p>
      <w:pPr>
        <w:numPr>
          <w:ilvl w:val="0"/>
          <w:numId w:val="1"/>
        </w:numPr>
      </w:pPr>
      <w:r>
        <w:rPr>
          <w:b/>
        </w:rPr>
        <w:t xml:space="preserve">The market moves faster than founder intuition.</w:t>
      </w:r>
      <w:r>
        <w:t xml:space="preserve"> Median pre-money valuations on Carta: </w:t>
      </w:r>
      <w:r>
        <w:rPr>
          <w:b/>
        </w:rPr>
        <w:t xml:space="preserve">seed $16M</w:t>
      </w:r>
      <w:r>
        <w:t xml:space="preserve"> (Q1 2025, +18% YoY; still $16M in Q3, +14% YoY) and </w:t>
      </w:r>
      <w:r>
        <w:rPr>
          <w:b/>
        </w:rPr>
        <w:t xml:space="preserve">Series A $48M → $49.3M</w:t>
      </w:r>
      <w:r>
        <w:t xml:space="preserve"> across 2025 — record highs *while deal counts fell*. A founder anchoring on last year's numbers is wrong in both directions depending on sector. (</w:t>
      </w:r>
      <w:hyperlink r:id="rHl14">
        <w:r>
          <w:rPr>
            <w:rStyle w:val="Hyperlink"/>
          </w:rPr>
          <w:t xml:space="preserve">Carta Q1 2025</w:t>
        </w:r>
      </w:hyperlink>
      <w:r>
        <w:t xml:space="preserve">; </w:t>
      </w:r>
      <w:hyperlink r:id="rHl15">
        <w:r>
          <w:rPr>
            <w:rStyle w:val="Hyperlink"/>
          </w:rPr>
          <w:t xml:space="preserve">Carta Q3 2025</w:t>
        </w:r>
      </w:hyperlink>
      <w:r>
        <w:t xml:space="preserve">)</w:t>
      </w:r>
    </w:p>
    <w:p>
      <w:pPr>
        <w:numPr>
          <w:ilvl w:val="0"/>
          <w:numId w:val="1"/>
        </w:numPr>
      </w:pPr>
      <w:r>
        <w:rPr>
          <w:b/>
        </w:rPr>
        <w:t xml:space="preserve">Capital is concentrating.</w:t>
      </w:r>
      <w:r>
        <w:t xml:space="preserve"> AI/ML took </w:t>
      </w:r>
      <w:r>
        <w:rPr>
          <w:b/>
        </w:rPr>
        <w:t xml:space="preserve">65.6% of all 2025 US VC dollars ($222B of $339B)</w:t>
      </w:r>
      <w:r>
        <w:t xml:space="preserve"> — so "find investors interested in *my* vertical" is a harder and more valuable question for the other 34%. (</w:t>
      </w:r>
      <w:hyperlink r:id="rHl16">
        <w:r>
          <w:rPr>
            <w:rStyle w:val="Hyperlink"/>
          </w:rPr>
          <w:t xml:space="preserve">PitchBook-NVCA</w:t>
        </w:r>
      </w:hyperlink>
      <w:r>
        <w:t xml:space="preserve">)</w:t>
      </w:r>
    </w:p>
    <w:p>
      <w:pPr>
        <w:pBdr>
          <w:bottom w:val="single" w:sz="6" w:space="6" w:color="C9CCD1"/>
        </w:pBdr>
      </w:pPr>
    </w:p>
    <w:p>
      <w:pPr>
        <w:pStyle w:val="Heading1"/>
      </w:pPr>
      <w:r>
        <w:t xml:space="preserve">2. What do they use today?</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3360"/>
        <w:gridCol w:w="3360"/>
        <w:gridCol w:w="3360"/>
      </w:tblGrid>
      <w:tr>
        <w:trPr>
          <w:tblHeader/>
        </w:trPr>
        <w:tc>
          <w:tcPr>
            <w:tcW w:w="3360" w:type="dxa"/>
            <w:shd w:val="clear" w:color="auto" w:fill="EFF1F3"/>
          </w:tcPr>
          <w:p>
            <w:pPr>
              <w:spacing w:before="40" w:after="40"/>
            </w:pPr>
            <w:r>
              <w:rPr>
                <w:b/>
                <w:sz w:val="18"/>
              </w:rPr>
              <w:t xml:space="preserve">Category</w:t>
            </w:r>
          </w:p>
        </w:tc>
        <w:tc>
          <w:tcPr>
            <w:tcW w:w="3360" w:type="dxa"/>
            <w:shd w:val="clear" w:color="auto" w:fill="EFF1F3"/>
          </w:tcPr>
          <w:p>
            <w:pPr>
              <w:spacing w:before="40" w:after="40"/>
            </w:pPr>
            <w:r>
              <w:rPr>
                <w:b/>
                <w:sz w:val="18"/>
              </w:rPr>
              <w:t xml:space="preserve">What they use</w:t>
            </w:r>
          </w:p>
        </w:tc>
        <w:tc>
          <w:tcPr>
            <w:tcW w:w="3360" w:type="dxa"/>
            <w:shd w:val="clear" w:color="auto" w:fill="EFF1F3"/>
          </w:tcPr>
          <w:p>
            <w:pPr>
              <w:spacing w:before="40" w:after="40"/>
            </w:pPr>
            <w:r>
              <w:rPr>
                <w:b/>
                <w:sz w:val="18"/>
              </w:rPr>
              <w:t xml:space="preserve">Where it stops</w:t>
            </w:r>
          </w:p>
        </w:tc>
      </w:tr>
      <w:tr>
        <w:tc>
          <w:tcPr>
            <w:tcW w:w="3360" w:type="dxa"/>
          </w:tcPr>
          <w:p>
            <w:pPr>
              <w:spacing w:before="40" w:after="40"/>
            </w:pPr>
            <w:r>
              <w:rPr>
                <w:b/>
                <w:sz w:val="18"/>
              </w:rPr>
              <w:t xml:space="preserve">The actual incumbent: spreadsheets</w:t>
            </w:r>
          </w:p>
        </w:tc>
        <w:tc>
          <w:tcPr>
            <w:tcW w:w="3360" w:type="dxa"/>
          </w:tcPr>
          <w:p>
            <w:pPr>
              <w:spacing w:before="40" w:after="40"/>
            </w:pPr>
            <w:r>
              <w:rPr>
                <w:sz w:val="18"/>
              </w:rPr>
              <w:t xml:space="preserve">Excel/Google Sheets DCF models, comparable-company multiples, cap table tabs</w:t>
            </w:r>
          </w:p>
        </w:tc>
        <w:tc>
          <w:tcPr>
            <w:tcW w:w="3360" w:type="dxa"/>
          </w:tcPr>
          <w:p>
            <w:pPr>
              <w:spacing w:before="40" w:after="40"/>
            </w:pPr>
            <w:r>
              <w:rPr>
                <w:sz w:val="18"/>
              </w:rPr>
              <w:t xml:space="preserve">Free, infinitely flexible, wrong in ways nobody checks. Even paying Carta customers report exporting the cap table to a spreadsheet to clean it up (</w:t>
            </w:r>
            <w:hyperlink r:id="rHl17">
              <w:r>
                <w:rPr>
                  <w:rStyle w:val="Hyperlink"/>
                  <w:sz w:val="18"/>
                </w:rPr>
                <w:t xml:space="preserve">Trustpilot</w:t>
              </w:r>
            </w:hyperlink>
            <w:r>
              <w:rPr>
                <w:sz w:val="18"/>
              </w:rPr>
              <w:t xml:space="preserve">)</w:t>
            </w:r>
          </w:p>
        </w:tc>
      </w:tr>
      <w:tr>
        <w:tc>
          <w:tcPr>
            <w:tcW w:w="3360" w:type="dxa"/>
          </w:tcPr>
          <w:p>
            <w:pPr>
              <w:spacing w:before="40" w:after="40"/>
            </w:pPr>
            <w:r>
              <w:rPr>
                <w:b/>
                <w:sz w:val="18"/>
              </w:rPr>
              <w:t xml:space="preserve">Rule-of-thumb valuation methods</w:t>
            </w:r>
          </w:p>
        </w:tc>
        <w:tc>
          <w:tcPr>
            <w:tcW w:w="3360" w:type="dxa"/>
          </w:tcPr>
          <w:p>
            <w:pPr>
              <w:spacing w:before="40" w:after="40"/>
            </w:pPr>
            <w:r>
              <w:rPr>
                <w:sz w:val="18"/>
              </w:rPr>
              <w:t xml:space="preserve">Berkus, Scorecard, Risk Factor Summation, VC Method, Dave Berkus/Bill Payne frameworks</w:t>
            </w:r>
          </w:p>
        </w:tc>
        <w:tc>
          <w:tcPr>
            <w:tcW w:w="3360" w:type="dxa"/>
          </w:tcPr>
          <w:p>
            <w:pPr>
              <w:spacing w:before="40" w:after="40"/>
            </w:pPr>
            <w:r>
              <w:rPr>
                <w:sz w:val="18"/>
              </w:rPr>
              <w:t xml:space="preserve">Designed for pre-revenue guesswork; produce a range, not a defensible number; require a comparables set the founder doesn't have</w:t>
            </w:r>
          </w:p>
        </w:tc>
      </w:tr>
      <w:tr>
        <w:tc>
          <w:tcPr>
            <w:tcW w:w="3360" w:type="dxa"/>
          </w:tcPr>
          <w:p>
            <w:pPr>
              <w:spacing w:before="40" w:after="40"/>
            </w:pPr>
            <w:r>
              <w:rPr>
                <w:b/>
                <w:sz w:val="18"/>
              </w:rPr>
              <w:t xml:space="preserve">Cap table + equity platforms</w:t>
            </w:r>
          </w:p>
        </w:tc>
        <w:tc>
          <w:tcPr>
            <w:tcW w:w="3360" w:type="dxa"/>
          </w:tcPr>
          <w:p>
            <w:pPr>
              <w:spacing w:before="40" w:after="40"/>
            </w:pPr>
            <w:r>
              <w:rPr>
                <w:sz w:val="18"/>
              </w:rPr>
              <w:t xml:space="preserve">Carta, Pulley, Eqvista, Capboard, Capdesk, Ledgy, AngelList</w:t>
            </w:r>
          </w:p>
        </w:tc>
        <w:tc>
          <w:tcPr>
            <w:tcW w:w="3360" w:type="dxa"/>
          </w:tcPr>
          <w:p>
            <w:pPr>
              <w:spacing w:before="40" w:after="40"/>
            </w:pPr>
            <w:r>
              <w:rPr>
                <w:sz w:val="18"/>
              </w:rPr>
              <w:t xml:space="preserve">Track ownership; valuation is a paid add-on. Carta Starter is </w:t>
            </w:r>
            <w:r>
              <w:rPr>
                <w:b/>
                <w:sz w:val="18"/>
              </w:rPr>
              <w:t xml:space="preserve">$2,800/yr</w:t>
            </w:r>
            <w:r>
              <w:rPr>
                <w:sz w:val="18"/>
              </w:rPr>
              <w:t xml:space="preserve"> for 50 stakeholders (</w:t>
            </w:r>
            <w:hyperlink r:id="rHl18">
              <w:r>
                <w:rPr>
                  <w:rStyle w:val="Hyperlink"/>
                  <w:sz w:val="18"/>
                </w:rPr>
                <w:t xml:space="preserve">Spendflo</w:t>
              </w:r>
            </w:hyperlink>
            <w:r>
              <w:rPr>
                <w:sz w:val="18"/>
              </w:rPr>
              <w:t xml:space="preserve">)</w:t>
            </w:r>
          </w:p>
        </w:tc>
      </w:tr>
      <w:tr>
        <w:tc>
          <w:tcPr>
            <w:tcW w:w="3360" w:type="dxa"/>
          </w:tcPr>
          <w:p>
            <w:pPr>
              <w:spacing w:before="40" w:after="40"/>
            </w:pPr>
            <w:r>
              <w:rPr>
                <w:b/>
                <w:sz w:val="18"/>
              </w:rPr>
              <w:t xml:space="preserve">409A valuation providers</w:t>
            </w:r>
          </w:p>
        </w:tc>
        <w:tc>
          <w:tcPr>
            <w:tcW w:w="3360" w:type="dxa"/>
          </w:tcPr>
          <w:p>
            <w:pPr>
              <w:spacing w:before="40" w:after="40"/>
            </w:pPr>
            <w:r>
              <w:rPr>
                <w:sz w:val="18"/>
              </w:rPr>
              <w:t xml:space="preserve">Carta (</w:t>
            </w:r>
            <w:r>
              <w:rPr>
                <w:b/>
                <w:sz w:val="18"/>
              </w:rPr>
              <w:t xml:space="preserve">16,000+/yr</w:t>
            </w:r>
            <w:r>
              <w:rPr>
                <w:sz w:val="18"/>
              </w:rPr>
              <w:t xml:space="preserve">), Eqvista, independent appraisers</w:t>
            </w:r>
          </w:p>
        </w:tc>
        <w:tc>
          <w:tcPr>
            <w:tcW w:w="3360" w:type="dxa"/>
          </w:tcPr>
          <w:p>
            <w:pPr>
              <w:spacing w:before="40" w:after="40"/>
            </w:pPr>
            <w:r>
              <w:rPr>
                <w:sz w:val="18"/>
              </w:rPr>
              <w:t xml:space="preserve">Legally required for option pricing, but it is a *tax-compliance* number, deliberately lower than preferred-share price — </w:t>
            </w:r>
            <w:r>
              <w:rPr>
                <w:b/>
                <w:sz w:val="18"/>
              </w:rPr>
              <w:t xml:space="preserve">not the number an investor negotiates</w:t>
            </w:r>
            <w:r>
              <w:rPr>
                <w:sz w:val="18"/>
              </w:rPr>
              <w:t xml:space="preserve"> (</w:t>
            </w:r>
            <w:hyperlink r:id="rHl19">
              <w:r>
                <w:rPr>
                  <w:rStyle w:val="Hyperlink"/>
                  <w:sz w:val="18"/>
                </w:rPr>
                <w:t xml:space="preserve">Carta explainer</w:t>
              </w:r>
            </w:hyperlink>
            <w:r>
              <w:rPr>
                <w:sz w:val="18"/>
              </w:rPr>
              <w:t xml:space="preserve">)</w:t>
            </w:r>
          </w:p>
        </w:tc>
      </w:tr>
      <w:tr>
        <w:tc>
          <w:tcPr>
            <w:tcW w:w="3360" w:type="dxa"/>
          </w:tcPr>
          <w:p>
            <w:pPr>
              <w:spacing w:before="40" w:after="40"/>
            </w:pPr>
            <w:r>
              <w:rPr>
                <w:b/>
                <w:sz w:val="18"/>
              </w:rPr>
              <w:t xml:space="preserve">Investor databases</w:t>
            </w:r>
          </w:p>
        </w:tc>
        <w:tc>
          <w:tcPr>
            <w:tcW w:w="3360" w:type="dxa"/>
          </w:tcPr>
          <w:p>
            <w:pPr>
              <w:spacing w:before="40" w:after="40"/>
            </w:pPr>
            <w:r>
              <w:rPr>
                <w:sz w:val="18"/>
              </w:rPr>
              <w:t xml:space="preserve">Crunchbase, PitchBook, Dealroom, CB Insights</w:t>
            </w:r>
          </w:p>
        </w:tc>
        <w:tc>
          <w:tcPr>
            <w:tcW w:w="3360" w:type="dxa"/>
          </w:tcPr>
          <w:p>
            <w:pPr>
              <w:spacing w:before="40" w:after="40"/>
            </w:pPr>
            <w:r>
              <w:rPr>
                <w:sz w:val="18"/>
              </w:rPr>
              <w:t xml:space="preserve">Built and priced for investors, not founders. Crunchbase auto-upgrades reported from </w:t>
            </w:r>
            <w:r>
              <w:rPr>
                <w:b/>
                <w:sz w:val="18"/>
              </w:rPr>
              <w:t xml:space="preserve">$88 to $588/yr</w:t>
            </w:r>
            <w:r>
              <w:rPr>
                <w:sz w:val="18"/>
              </w:rPr>
              <w:t xml:space="preserve">, with 2,000-export caps and </w:t>
            </w:r>
            <w:r>
              <w:rPr>
                <w:b/>
                <w:sz w:val="18"/>
              </w:rPr>
              <w:t xml:space="preserve">$500/mo overages</w:t>
            </w:r>
            <w:r>
              <w:rPr>
                <w:sz w:val="18"/>
              </w:rPr>
              <w:t xml:space="preserve"> (</w:t>
            </w:r>
            <w:hyperlink r:id="rHl20">
              <w:r>
                <w:rPr>
                  <w:rStyle w:val="Hyperlink"/>
                  <w:sz w:val="18"/>
                </w:rPr>
                <w:t xml:space="preserve">Trustpilot</w:t>
              </w:r>
            </w:hyperlink>
            <w:r>
              <w:rPr>
                <w:sz w:val="18"/>
              </w:rPr>
              <w:t xml:space="preserve">)</w:t>
            </w:r>
          </w:p>
        </w:tc>
      </w:tr>
      <w:tr>
        <w:tc>
          <w:tcPr>
            <w:tcW w:w="3360" w:type="dxa"/>
          </w:tcPr>
          <w:p>
            <w:pPr>
              <w:spacing w:before="40" w:after="40"/>
            </w:pPr>
            <w:r>
              <w:rPr>
                <w:b/>
                <w:sz w:val="18"/>
              </w:rPr>
              <w:t xml:space="preserve">Fundraising CRMs</w:t>
            </w:r>
          </w:p>
        </w:tc>
        <w:tc>
          <w:tcPr>
            <w:tcW w:w="3360" w:type="dxa"/>
          </w:tcPr>
          <w:p>
            <w:pPr>
              <w:spacing w:before="40" w:after="40"/>
            </w:pPr>
            <w:r>
              <w:rPr>
                <w:sz w:val="18"/>
              </w:rPr>
              <w:t xml:space="preserve">Foundersuite, Visible.vc, DocSend, Airtable/Notion templates</w:t>
            </w:r>
          </w:p>
        </w:tc>
        <w:tc>
          <w:tcPr>
            <w:tcW w:w="3360" w:type="dxa"/>
          </w:tcPr>
          <w:p>
            <w:pPr>
              <w:spacing w:before="40" w:after="40"/>
            </w:pPr>
            <w:r>
              <w:rPr>
                <w:sz w:val="18"/>
              </w:rPr>
              <w:t xml:space="preserve">Track outreach; the investor list still has to come from somewhere, and reviewers report </w:t>
            </w:r>
            <w:r>
              <w:rPr>
                <w:b/>
                <w:sz w:val="18"/>
              </w:rPr>
              <w:t xml:space="preserve">incomplete data when searching for investors</w:t>
            </w:r>
            <w:r>
              <w:rPr>
                <w:sz w:val="18"/>
              </w:rPr>
              <w:t xml:space="preserve"> (</w:t>
            </w:r>
            <w:hyperlink r:id="rHl21">
              <w:r>
                <w:rPr>
                  <w:rStyle w:val="Hyperlink"/>
                  <w:sz w:val="18"/>
                </w:rPr>
                <w:t xml:space="preserve">Capterra</w:t>
              </w:r>
            </w:hyperlink>
            <w:r>
              <w:rPr>
                <w:sz w:val="18"/>
              </w:rPr>
              <w:t xml:space="preserve">)</w:t>
            </w:r>
          </w:p>
        </w:tc>
      </w:tr>
      <w:tr>
        <w:tc>
          <w:tcPr>
            <w:tcW w:w="3360" w:type="dxa"/>
          </w:tcPr>
          <w:p>
            <w:pPr>
              <w:spacing w:before="40" w:after="40"/>
            </w:pPr>
            <w:r>
              <w:rPr>
                <w:b/>
                <w:sz w:val="18"/>
              </w:rPr>
              <w:t xml:space="preserve">Open/free investor lists</w:t>
            </w:r>
          </w:p>
        </w:tc>
        <w:tc>
          <w:tcPr>
            <w:tcW w:w="3360" w:type="dxa"/>
          </w:tcPr>
          <w:p>
            <w:pPr>
              <w:spacing w:before="40" w:after="40"/>
            </w:pPr>
            <w:r>
              <w:rPr>
                <w:sz w:val="18"/>
              </w:rPr>
              <w:t xml:space="preserve">OpenVC, NFX Signal, AngelList/Wellfound, LinkedIn, X, accelerator alumni lists</w:t>
            </w:r>
          </w:p>
        </w:tc>
        <w:tc>
          <w:tcPr>
            <w:tcW w:w="3360" w:type="dxa"/>
          </w:tcPr>
          <w:p>
            <w:pPr>
              <w:spacing w:before="40" w:after="40"/>
            </w:pPr>
            <w:r>
              <w:rPr>
                <w:sz w:val="18"/>
              </w:rPr>
              <w:t xml:space="preserve">Stale, unranked, no fit scoring; everyone is cold-emailing the same names</w:t>
            </w:r>
          </w:p>
        </w:tc>
      </w:tr>
      <w:tr>
        <w:tc>
          <w:tcPr>
            <w:tcW w:w="3360" w:type="dxa"/>
          </w:tcPr>
          <w:p>
            <w:pPr>
              <w:spacing w:before="40" w:after="40"/>
            </w:pPr>
            <w:r>
              <w:rPr>
                <w:b/>
                <w:sz w:val="18"/>
              </w:rPr>
              <w:t xml:space="preserve">Human workarounds</w:t>
            </w:r>
          </w:p>
        </w:tc>
        <w:tc>
          <w:tcPr>
            <w:tcW w:w="3360" w:type="dxa"/>
          </w:tcPr>
          <w:p>
            <w:pPr>
              <w:spacing w:before="40" w:after="40"/>
            </w:pPr>
            <w:r>
              <w:rPr>
                <w:sz w:val="18"/>
              </w:rPr>
              <w:t xml:space="preserve">Warm intros, accelerators (YC/Techstars), angel groups, advisors and bankers, "ask a friend who raised"</w:t>
            </w:r>
          </w:p>
        </w:tc>
        <w:tc>
          <w:tcPr>
            <w:tcW w:w="3360" w:type="dxa"/>
          </w:tcPr>
          <w:p>
            <w:pPr>
              <w:spacing w:before="40" w:after="40"/>
            </w:pPr>
            <w:r>
              <w:rPr>
                <w:sz w:val="18"/>
              </w:rPr>
              <w:t xml:space="preserve">The real system. Scarce, unevenly distributed, and expensive</w:t>
            </w:r>
          </w:p>
        </w:tc>
      </w:tr>
      <w:tr>
        <w:tc>
          <w:tcPr>
            <w:tcW w:w="3360" w:type="dxa"/>
          </w:tcPr>
          <w:p>
            <w:pPr>
              <w:spacing w:before="40" w:after="40"/>
            </w:pPr>
            <w:r>
              <w:rPr>
                <w:b/>
                <w:sz w:val="18"/>
              </w:rPr>
              <w:t xml:space="preserve">Equity crowdfunding</w:t>
            </w:r>
          </w:p>
        </w:tc>
        <w:tc>
          <w:tcPr>
            <w:tcW w:w="3360" w:type="dxa"/>
          </w:tcPr>
          <w:p>
            <w:pPr>
              <w:spacing w:before="40" w:after="40"/>
            </w:pPr>
            <w:r>
              <w:rPr>
                <w:sz w:val="18"/>
              </w:rPr>
              <w:t xml:space="preserve">StartEngine, Wefunder, Republic</w:t>
            </w:r>
          </w:p>
        </w:tc>
        <w:tc>
          <w:tcPr>
            <w:tcW w:w="3360" w:type="dxa"/>
          </w:tcPr>
          <w:p>
            <w:pPr>
              <w:spacing w:before="40" w:after="40"/>
            </w:pPr>
            <w:r>
              <w:rPr>
                <w:sz w:val="18"/>
              </w:rPr>
              <w:t xml:space="preserve">A different capital path with its own complaints — investors report illiquidity and AI-only support (</w:t>
            </w:r>
            <w:hyperlink r:id="rHl22">
              <w:r>
                <w:rPr>
                  <w:rStyle w:val="Hyperlink"/>
                  <w:sz w:val="18"/>
                </w:rPr>
                <w:t xml:space="preserve">App Store</w:t>
              </w:r>
            </w:hyperlink>
            <w:r>
              <w:rPr>
                <w:sz w:val="18"/>
              </w:rPr>
              <w:t xml:space="preserve">)</w:t>
            </w:r>
          </w:p>
        </w:tc>
      </w:tr>
      <w:tr>
        <w:tc>
          <w:tcPr>
            <w:tcW w:w="3360" w:type="dxa"/>
          </w:tcPr>
          <w:p>
            <w:pPr>
              <w:spacing w:before="40" w:after="40"/>
            </w:pPr>
            <w:r>
              <w:rPr>
                <w:b/>
                <w:sz w:val="18"/>
              </w:rPr>
              <w:t xml:space="preserve">Shark Tank prep</w:t>
            </w:r>
          </w:p>
        </w:tc>
        <w:tc>
          <w:tcPr>
            <w:tcW w:w="3360" w:type="dxa"/>
          </w:tcPr>
          <w:p>
            <w:pPr>
              <w:spacing w:before="40" w:after="40"/>
            </w:pPr>
            <w:r>
              <w:rPr>
                <w:sz w:val="18"/>
              </w:rPr>
              <w:t xml:space="preserve">Consultants, YouTube valuation calculators, "value = ask ÷ equity %" arithmetic</w:t>
            </w:r>
          </w:p>
        </w:tc>
        <w:tc>
          <w:tcPr>
            <w:tcW w:w="3360" w:type="dxa"/>
          </w:tcPr>
          <w:p>
            <w:pPr>
              <w:spacing w:before="40" w:after="40"/>
            </w:pPr>
            <w:r>
              <w:rPr>
                <w:sz w:val="18"/>
              </w:rPr>
              <w:t xml:space="preserve">The show's own math is a one-line formula; the credibility of the number is what fails</w:t>
            </w:r>
          </w:p>
        </w:tc>
      </w:tr>
    </w:tbl>
    <w:p>
      <w:pPr>
        <w:spacing w:after="0"/>
      </w:pPr>
    </w:p>
    <w:p>
      <w:r>
        <w:rPr>
          <w:b/>
        </w:rPr>
        <w:t xml:space="preserve">The structural gap:</w:t>
      </w:r>
      <w:r>
        <w:t xml:space="preserve"> cap-table tools know your equity but not the market; investor databases know the market but not you; nothing currently prices *your* company against comparables </w:t>
      </w:r>
      <w:r>
        <w:rPr>
          <w:b/>
        </w:rPr>
        <w:t xml:space="preserve">and</w:t>
      </w:r>
      <w:r>
        <w:t xml:space="preserve"> tells you who funds that profile.</w:t>
      </w:r>
    </w:p>
    <w:p>
      <w:pPr>
        <w:pBdr>
          <w:bottom w:val="single" w:sz="6" w:space="6" w:color="C9CCD1"/>
        </w:pBdr>
      </w:pPr>
    </w:p>
    <w:p>
      <w:pPr>
        <w:pStyle w:val="Heading1"/>
      </w:pPr>
      <w:r>
        <w:t xml:space="preserve">3. Complaints about current solutions</w:t>
      </w:r>
    </w:p>
    <w:p>
      <w:r>
        <w:t xml:space="preserve">Ten complaints from reachable review sites, paraphrased with source, rating and date.</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2520"/>
        <w:gridCol w:w="2520"/>
        <w:gridCol w:w="2520"/>
        <w:gridCol w:w="2520"/>
      </w:tblGrid>
      <w:tr>
        <w:trPr>
          <w:tblHeader/>
        </w:trPr>
        <w:tc>
          <w:tcPr>
            <w:tcW w:w="2520" w:type="dxa"/>
            <w:shd w:val="clear" w:color="auto" w:fill="EFF1F3"/>
          </w:tcPr>
          <w:p>
            <w:pPr>
              <w:spacing w:before="40" w:after="40"/>
            </w:pPr>
            <w:r>
              <w:rPr>
                <w:b/>
                <w:sz w:val="18"/>
              </w:rPr>
              <w:t xml:space="preserve">#</w:t>
            </w:r>
          </w:p>
        </w:tc>
        <w:tc>
          <w:tcPr>
            <w:tcW w:w="2520" w:type="dxa"/>
            <w:shd w:val="clear" w:color="auto" w:fill="EFF1F3"/>
          </w:tcPr>
          <w:p>
            <w:pPr>
              <w:spacing w:before="40" w:after="40"/>
            </w:pPr>
            <w:r>
              <w:rPr>
                <w:b/>
                <w:sz w:val="18"/>
              </w:rPr>
              <w:t xml:space="preserve">Complaint (paraphrased)</w:t>
            </w:r>
          </w:p>
        </w:tc>
        <w:tc>
          <w:tcPr>
            <w:tcW w:w="2520" w:type="dxa"/>
            <w:shd w:val="clear" w:color="auto" w:fill="EFF1F3"/>
          </w:tcPr>
          <w:p>
            <w:pPr>
              <w:spacing w:before="40" w:after="40"/>
            </w:pPr>
            <w:r>
              <w:rPr>
                <w:b/>
                <w:sz w:val="18"/>
              </w:rPr>
              <w:t xml:space="preserve">Rating / date</w:t>
            </w:r>
          </w:p>
        </w:tc>
        <w:tc>
          <w:tcPr>
            <w:tcW w:w="2520" w:type="dxa"/>
            <w:shd w:val="clear" w:color="auto" w:fill="EFF1F3"/>
          </w:tcPr>
          <w:p>
            <w:pPr>
              <w:spacing w:before="40" w:after="40"/>
            </w:pPr>
            <w:r>
              <w:rPr>
                <w:b/>
                <w:sz w:val="18"/>
              </w:rPr>
              <w:t xml:space="preserve">Source</w:t>
            </w:r>
          </w:p>
        </w:tc>
      </w:tr>
      <w:tr>
        <w:tc>
          <w:tcPr>
            <w:tcW w:w="2520" w:type="dxa"/>
          </w:tcPr>
          <w:p>
            <w:pPr>
              <w:spacing w:before="40" w:after="40"/>
            </w:pPr>
            <w:r>
              <w:rPr>
                <w:sz w:val="18"/>
              </w:rPr>
              <w:t xml:space="preserve">1</w:t>
            </w:r>
          </w:p>
        </w:tc>
        <w:tc>
          <w:tcPr>
            <w:tcW w:w="2520" w:type="dxa"/>
          </w:tcPr>
          <w:p>
            <w:pPr>
              <w:spacing w:before="40" w:after="40"/>
            </w:pPr>
            <w:r>
              <w:rPr>
                <w:sz w:val="18"/>
              </w:rPr>
              <w:t xml:space="preserve">Cancelled during the trial and was charged for the full year anyway.</w:t>
            </w:r>
          </w:p>
        </w:tc>
        <w:tc>
          <w:tcPr>
            <w:tcW w:w="2520" w:type="dxa"/>
          </w:tcPr>
          <w:p>
            <w:pPr>
              <w:spacing w:before="40" w:after="40"/>
            </w:pPr>
            <w:r>
              <w:rPr>
                <w:sz w:val="18"/>
              </w:rPr>
              <w:t xml:space="preserve">Crunchbase, Jul 2023</w:t>
            </w:r>
          </w:p>
        </w:tc>
        <w:tc>
          <w:tcPr>
            <w:tcW w:w="2520" w:type="dxa"/>
          </w:tcPr>
          <w:p>
            <w:pPr>
              <w:spacing w:before="40" w:after="40"/>
            </w:pPr>
            <w:hyperlink r:id="rHl20">
              <w:r>
                <w:rPr>
                  <w:rStyle w:val="Hyperlink"/>
                  <w:sz w:val="18"/>
                </w:rPr>
                <w:t xml:space="preserve">Trustpilot — Crunchbase</w:t>
              </w:r>
            </w:hyperlink>
            <w:r>
              <w:rPr>
                <w:sz w:val="18"/>
              </w:rPr>
              <w:t xml:space="preserve"> (1.4★, 51 reviews)</w:t>
            </w:r>
          </w:p>
        </w:tc>
      </w:tr>
      <w:tr>
        <w:tc>
          <w:tcPr>
            <w:tcW w:w="2520" w:type="dxa"/>
          </w:tcPr>
          <w:p>
            <w:pPr>
              <w:spacing w:before="40" w:after="40"/>
            </w:pPr>
            <w:r>
              <w:rPr>
                <w:sz w:val="18"/>
              </w:rPr>
              <w:t xml:space="preserve">2</w:t>
            </w:r>
          </w:p>
        </w:tc>
        <w:tc>
          <w:tcPr>
            <w:tcW w:w="2520" w:type="dxa"/>
          </w:tcPr>
          <w:p>
            <w:pPr>
              <w:spacing w:before="40" w:after="40"/>
            </w:pPr>
            <w:r>
              <w:rPr>
                <w:sz w:val="18"/>
              </w:rPr>
              <w:t xml:space="preserve">Plan auto-upgraded from $88 to $588/yr with minimal notice.</w:t>
            </w:r>
          </w:p>
        </w:tc>
        <w:tc>
          <w:tcPr>
            <w:tcW w:w="2520" w:type="dxa"/>
          </w:tcPr>
          <w:p>
            <w:pPr>
              <w:spacing w:before="40" w:after="40"/>
            </w:pPr>
            <w:r>
              <w:rPr>
                <w:sz w:val="18"/>
              </w:rPr>
              <w:t xml:space="preserve">Crunchbase, Mar 2026</w:t>
            </w:r>
          </w:p>
        </w:tc>
        <w:tc>
          <w:tcPr>
            <w:tcW w:w="2520" w:type="dxa"/>
          </w:tcPr>
          <w:p>
            <w:pPr>
              <w:spacing w:before="40" w:after="40"/>
            </w:pPr>
            <w:hyperlink r:id="rHl20">
              <w:r>
                <w:rPr>
                  <w:rStyle w:val="Hyperlink"/>
                  <w:sz w:val="18"/>
                </w:rPr>
                <w:t xml:space="preserve">Trustpilot</w:t>
              </w:r>
            </w:hyperlink>
          </w:p>
        </w:tc>
      </w:tr>
      <w:tr>
        <w:tc>
          <w:tcPr>
            <w:tcW w:w="2520" w:type="dxa"/>
          </w:tcPr>
          <w:p>
            <w:pPr>
              <w:spacing w:before="40" w:after="40"/>
            </w:pPr>
            <w:r>
              <w:rPr>
                <w:sz w:val="18"/>
              </w:rPr>
              <w:t xml:space="preserve">3</w:t>
            </w:r>
          </w:p>
        </w:tc>
        <w:tc>
          <w:tcPr>
            <w:tcW w:w="2520" w:type="dxa"/>
          </w:tcPr>
          <w:p>
            <w:pPr>
              <w:spacing w:before="40" w:after="40"/>
            </w:pPr>
            <w:r>
              <w:rPr>
                <w:sz w:val="18"/>
              </w:rPr>
              <w:t xml:space="preserve">Export capped at 2,000/month with $500/month overage fees.</w:t>
            </w:r>
          </w:p>
        </w:tc>
        <w:tc>
          <w:tcPr>
            <w:tcW w:w="2520" w:type="dxa"/>
          </w:tcPr>
          <w:p>
            <w:pPr>
              <w:spacing w:before="40" w:after="40"/>
            </w:pPr>
            <w:r>
              <w:rPr>
                <w:sz w:val="18"/>
              </w:rPr>
              <w:t xml:space="preserve">Crunchbase, Dec 2025</w:t>
            </w:r>
          </w:p>
        </w:tc>
        <w:tc>
          <w:tcPr>
            <w:tcW w:w="2520" w:type="dxa"/>
          </w:tcPr>
          <w:p>
            <w:pPr>
              <w:spacing w:before="40" w:after="40"/>
            </w:pPr>
            <w:hyperlink r:id="rHl20">
              <w:r>
                <w:rPr>
                  <w:rStyle w:val="Hyperlink"/>
                  <w:sz w:val="18"/>
                </w:rPr>
                <w:t xml:space="preserve">Trustpilot</w:t>
              </w:r>
            </w:hyperlink>
          </w:p>
        </w:tc>
      </w:tr>
      <w:tr>
        <w:tc>
          <w:tcPr>
            <w:tcW w:w="2520" w:type="dxa"/>
          </w:tcPr>
          <w:p>
            <w:pPr>
              <w:spacing w:before="40" w:after="40"/>
            </w:pPr>
            <w:r>
              <w:rPr>
                <w:sz w:val="18"/>
              </w:rPr>
              <w:t xml:space="preserve">4</w:t>
            </w:r>
          </w:p>
        </w:tc>
        <w:tc>
          <w:tcPr>
            <w:tcW w:w="2520" w:type="dxa"/>
          </w:tcPr>
          <w:p>
            <w:pPr>
              <w:spacing w:before="40" w:after="40"/>
            </w:pPr>
            <w:r>
              <w:rPr>
                <w:sz w:val="18"/>
              </w:rPr>
              <w:t xml:space="preserve">Company profile carries wrong industry classification and conflates similarly named firms — the reviewer calls it defamatory.</w:t>
            </w:r>
          </w:p>
        </w:tc>
        <w:tc>
          <w:tcPr>
            <w:tcW w:w="2520" w:type="dxa"/>
          </w:tcPr>
          <w:p>
            <w:pPr>
              <w:spacing w:before="40" w:after="40"/>
            </w:pPr>
            <w:r>
              <w:rPr>
                <w:sz w:val="18"/>
              </w:rPr>
              <w:t xml:space="preserve">Crunchbase, Sep 2026</w:t>
            </w:r>
          </w:p>
        </w:tc>
        <w:tc>
          <w:tcPr>
            <w:tcW w:w="2520" w:type="dxa"/>
          </w:tcPr>
          <w:p>
            <w:pPr>
              <w:spacing w:before="40" w:after="40"/>
            </w:pPr>
            <w:hyperlink r:id="rHl20">
              <w:r>
                <w:rPr>
                  <w:rStyle w:val="Hyperlink"/>
                  <w:sz w:val="18"/>
                </w:rPr>
                <w:t xml:space="preserve">Trustpilot</w:t>
              </w:r>
            </w:hyperlink>
          </w:p>
        </w:tc>
      </w:tr>
      <w:tr>
        <w:tc>
          <w:tcPr>
            <w:tcW w:w="2520" w:type="dxa"/>
          </w:tcPr>
          <w:p>
            <w:pPr>
              <w:spacing w:before="40" w:after="40"/>
            </w:pPr>
            <w:r>
              <w:rPr>
                <w:sz w:val="18"/>
              </w:rPr>
              <w:t xml:space="preserve">5</w:t>
            </w:r>
          </w:p>
        </w:tc>
        <w:tc>
          <w:tcPr>
            <w:tcW w:w="2520" w:type="dxa"/>
          </w:tcPr>
          <w:p>
            <w:pPr>
              <w:spacing w:before="40" w:after="40"/>
            </w:pPr>
            <w:r>
              <w:rPr>
                <w:sz w:val="18"/>
              </w:rPr>
              <w:t xml:space="preserve">Data quality dismissed outright — reviewer says the platform invents information.</w:t>
            </w:r>
          </w:p>
        </w:tc>
        <w:tc>
          <w:tcPr>
            <w:tcW w:w="2520" w:type="dxa"/>
          </w:tcPr>
          <w:p>
            <w:pPr>
              <w:spacing w:before="40" w:after="40"/>
            </w:pPr>
            <w:r>
              <w:rPr>
                <w:sz w:val="18"/>
              </w:rPr>
              <w:t xml:space="preserve">PitchBook, Oct 2025</w:t>
            </w:r>
          </w:p>
        </w:tc>
        <w:tc>
          <w:tcPr>
            <w:tcW w:w="2520" w:type="dxa"/>
          </w:tcPr>
          <w:p>
            <w:pPr>
              <w:spacing w:before="40" w:after="40"/>
            </w:pPr>
            <w:hyperlink r:id="rHl23">
              <w:r>
                <w:rPr>
                  <w:rStyle w:val="Hyperlink"/>
                  <w:sz w:val="18"/>
                </w:rPr>
                <w:t xml:space="preserve">Trustpilot — PitchBook</w:t>
              </w:r>
            </w:hyperlink>
            <w:r>
              <w:rPr>
                <w:sz w:val="18"/>
              </w:rPr>
              <w:t xml:space="preserve"> (1.7★, 23 reviews, 87% one-star)</w:t>
            </w:r>
          </w:p>
        </w:tc>
      </w:tr>
      <w:tr>
        <w:tc>
          <w:tcPr>
            <w:tcW w:w="2520" w:type="dxa"/>
          </w:tcPr>
          <w:p>
            <w:pPr>
              <w:spacing w:before="40" w:after="40"/>
            </w:pPr>
            <w:r>
              <w:rPr>
                <w:sz w:val="18"/>
              </w:rPr>
              <w:t xml:space="preserve">6</w:t>
            </w:r>
          </w:p>
        </w:tc>
        <w:tc>
          <w:tcPr>
            <w:tcW w:w="2520" w:type="dxa"/>
          </w:tcPr>
          <w:p>
            <w:pPr>
              <w:spacing w:before="40" w:after="40"/>
            </w:pPr>
            <w:r>
              <w:rPr>
                <w:sz w:val="18"/>
              </w:rPr>
              <w:t xml:space="preserve">"Free trial before you buy" advertised, then sales reps said no trial exists.</w:t>
            </w:r>
          </w:p>
        </w:tc>
        <w:tc>
          <w:tcPr>
            <w:tcW w:w="2520" w:type="dxa"/>
          </w:tcPr>
          <w:p>
            <w:pPr>
              <w:spacing w:before="40" w:after="40"/>
            </w:pPr>
            <w:r>
              <w:rPr>
                <w:sz w:val="18"/>
              </w:rPr>
              <w:t xml:space="preserve">PitchBook, Mar 2025</w:t>
            </w:r>
          </w:p>
        </w:tc>
        <w:tc>
          <w:tcPr>
            <w:tcW w:w="2520" w:type="dxa"/>
          </w:tcPr>
          <w:p>
            <w:pPr>
              <w:spacing w:before="40" w:after="40"/>
            </w:pPr>
            <w:hyperlink r:id="rHl23">
              <w:r>
                <w:rPr>
                  <w:rStyle w:val="Hyperlink"/>
                  <w:sz w:val="18"/>
                </w:rPr>
                <w:t xml:space="preserve">Trustpilot</w:t>
              </w:r>
            </w:hyperlink>
          </w:p>
        </w:tc>
      </w:tr>
      <w:tr>
        <w:tc>
          <w:tcPr>
            <w:tcW w:w="2520" w:type="dxa"/>
          </w:tcPr>
          <w:p>
            <w:pPr>
              <w:spacing w:before="40" w:after="40"/>
            </w:pPr>
            <w:r>
              <w:rPr>
                <w:sz w:val="18"/>
              </w:rPr>
              <w:t xml:space="preserve">7</w:t>
            </w:r>
          </w:p>
        </w:tc>
        <w:tc>
          <w:tcPr>
            <w:tcW w:w="2520" w:type="dxa"/>
          </w:tcPr>
          <w:p>
            <w:pPr>
              <w:spacing w:before="40" w:after="40"/>
            </w:pPr>
            <w:r>
              <w:rPr>
                <w:sz w:val="18"/>
              </w:rPr>
              <w:t xml:space="preserve">Charged ~$8,000/yr where competitors charge a few hundred.</w:t>
            </w:r>
          </w:p>
        </w:tc>
        <w:tc>
          <w:tcPr>
            <w:tcW w:w="2520" w:type="dxa"/>
          </w:tcPr>
          <w:p>
            <w:pPr>
              <w:spacing w:before="40" w:after="40"/>
            </w:pPr>
            <w:r>
              <w:rPr>
                <w:sz w:val="18"/>
              </w:rPr>
              <w:t xml:space="preserve">Carta, Apr 2024</w:t>
            </w:r>
          </w:p>
        </w:tc>
        <w:tc>
          <w:tcPr>
            <w:tcW w:w="2520" w:type="dxa"/>
          </w:tcPr>
          <w:p>
            <w:pPr>
              <w:spacing w:before="40" w:after="40"/>
            </w:pPr>
            <w:hyperlink r:id="rHl17">
              <w:r>
                <w:rPr>
                  <w:rStyle w:val="Hyperlink"/>
                  <w:sz w:val="18"/>
                </w:rPr>
                <w:t xml:space="preserve">Trustpilot — Carta</w:t>
              </w:r>
            </w:hyperlink>
            <w:r>
              <w:rPr>
                <w:sz w:val="18"/>
              </w:rPr>
              <w:t xml:space="preserve"> (2.1★, 18 reviews)</w:t>
            </w:r>
          </w:p>
        </w:tc>
      </w:tr>
      <w:tr>
        <w:tc>
          <w:tcPr>
            <w:tcW w:w="2520" w:type="dxa"/>
          </w:tcPr>
          <w:p>
            <w:pPr>
              <w:spacing w:before="40" w:after="40"/>
            </w:pPr>
            <w:r>
              <w:rPr>
                <w:sz w:val="18"/>
              </w:rPr>
              <w:t xml:space="preserve">8</w:t>
            </w:r>
          </w:p>
        </w:tc>
        <w:tc>
          <w:tcPr>
            <w:tcW w:w="2520" w:type="dxa"/>
          </w:tcPr>
          <w:p>
            <w:pPr>
              <w:spacing w:before="40" w:after="40"/>
            </w:pPr>
            <w:r>
              <w:rPr>
                <w:sz w:val="18"/>
              </w:rPr>
              <w:t xml:space="preserve">Sales claims about the 409A product described as misleading and untrue.</w:t>
            </w:r>
          </w:p>
        </w:tc>
        <w:tc>
          <w:tcPr>
            <w:tcW w:w="2520" w:type="dxa"/>
          </w:tcPr>
          <w:p>
            <w:pPr>
              <w:spacing w:before="40" w:after="40"/>
            </w:pPr>
            <w:r>
              <w:rPr>
                <w:sz w:val="18"/>
              </w:rPr>
              <w:t xml:space="preserve">Carta, Jun 2023</w:t>
            </w:r>
          </w:p>
        </w:tc>
        <w:tc>
          <w:tcPr>
            <w:tcW w:w="2520" w:type="dxa"/>
          </w:tcPr>
          <w:p>
            <w:pPr>
              <w:spacing w:before="40" w:after="40"/>
            </w:pPr>
            <w:hyperlink r:id="rHl17">
              <w:r>
                <w:rPr>
                  <w:rStyle w:val="Hyperlink"/>
                  <w:sz w:val="18"/>
                </w:rPr>
                <w:t xml:space="preserve">Trustpilot</w:t>
              </w:r>
            </w:hyperlink>
          </w:p>
        </w:tc>
      </w:tr>
      <w:tr>
        <w:tc>
          <w:tcPr>
            <w:tcW w:w="2520" w:type="dxa"/>
          </w:tcPr>
          <w:p>
            <w:pPr>
              <w:spacing w:before="40" w:after="40"/>
            </w:pPr>
            <w:r>
              <w:rPr>
                <w:sz w:val="18"/>
              </w:rPr>
              <w:t xml:space="preserve">9</w:t>
            </w:r>
          </w:p>
        </w:tc>
        <w:tc>
          <w:tcPr>
            <w:tcW w:w="2520" w:type="dxa"/>
          </w:tcPr>
          <w:p>
            <w:pPr>
              <w:spacing w:before="40" w:after="40"/>
            </w:pPr>
            <w:r>
              <w:rPr>
                <w:sz w:val="18"/>
              </w:rPr>
              <w:t xml:space="preserve">Pricing escalates rapidly with shareholder count; interface hard for non-specialists; support sluggish.</w:t>
            </w:r>
          </w:p>
        </w:tc>
        <w:tc>
          <w:tcPr>
            <w:tcW w:w="2520" w:type="dxa"/>
          </w:tcPr>
          <w:p>
            <w:pPr>
              <w:spacing w:before="40" w:after="40"/>
            </w:pPr>
            <w:r>
              <w:rPr>
                <w:sz w:val="18"/>
              </w:rPr>
              <w:t xml:space="preserve">Carta, Capterra, Aug 27 2026 (4★, Freweini T.)</w:t>
            </w:r>
          </w:p>
        </w:tc>
        <w:tc>
          <w:tcPr>
            <w:tcW w:w="2520" w:type="dxa"/>
          </w:tcPr>
          <w:p>
            <w:pPr>
              <w:spacing w:before="40" w:after="40"/>
            </w:pPr>
            <w:hyperlink r:id="rHl24">
              <w:r>
                <w:rPr>
                  <w:rStyle w:val="Hyperlink"/>
                  <w:sz w:val="18"/>
                </w:rPr>
                <w:t xml:space="preserve">Capterra — Carta</w:t>
              </w:r>
            </w:hyperlink>
            <w:r>
              <w:rPr>
                <w:sz w:val="18"/>
              </w:rPr>
              <w:t xml:space="preserve"> (4.2★, 65 reviews)</w:t>
            </w:r>
          </w:p>
        </w:tc>
      </w:tr>
      <w:tr>
        <w:tc>
          <w:tcPr>
            <w:tcW w:w="2520" w:type="dxa"/>
          </w:tcPr>
          <w:p>
            <w:pPr>
              <w:spacing w:before="40" w:after="40"/>
            </w:pPr>
            <w:r>
              <w:rPr>
                <w:sz w:val="18"/>
              </w:rPr>
              <w:t xml:space="preserve">10</w:t>
            </w:r>
          </w:p>
        </w:tc>
        <w:tc>
          <w:tcPr>
            <w:tcW w:w="2520" w:type="dxa"/>
          </w:tcPr>
          <w:p>
            <w:pPr>
              <w:spacing w:before="40" w:after="40"/>
            </w:pPr>
            <w:r>
              <w:rPr>
                <w:sz w:val="18"/>
              </w:rPr>
              <w:t xml:space="preserve">Investor search returns incomplete data; the database needs to cover more investors.</w:t>
            </w:r>
          </w:p>
        </w:tc>
        <w:tc>
          <w:tcPr>
            <w:tcW w:w="2520" w:type="dxa"/>
          </w:tcPr>
          <w:p>
            <w:pPr>
              <w:spacing w:before="40" w:after="40"/>
            </w:pPr>
            <w:r>
              <w:rPr>
                <w:sz w:val="18"/>
              </w:rPr>
              <w:t xml:space="preserve">Foundersuite, Capterra, Feb 2021 (5★, Sidney N., General Partner)</w:t>
            </w:r>
          </w:p>
        </w:tc>
        <w:tc>
          <w:tcPr>
            <w:tcW w:w="2520" w:type="dxa"/>
          </w:tcPr>
          <w:p>
            <w:pPr>
              <w:spacing w:before="40" w:after="40"/>
            </w:pPr>
            <w:hyperlink r:id="rHl21">
              <w:r>
                <w:rPr>
                  <w:rStyle w:val="Hyperlink"/>
                  <w:sz w:val="18"/>
                </w:rPr>
                <w:t xml:space="preserve">Capterra — Foundersuite</w:t>
              </w:r>
            </w:hyperlink>
            <w:r>
              <w:rPr>
                <w:sz w:val="18"/>
              </w:rPr>
              <w:t xml:space="preserve"> (4.7★, 110 reviews)</w:t>
            </w:r>
          </w:p>
        </w:tc>
      </w:tr>
    </w:tbl>
    <w:p>
      <w:pPr>
        <w:spacing w:after="0"/>
      </w:pPr>
    </w:p>
    <w:p>
      <w:r>
        <w:rPr>
          <w:b/>
        </w:rPr>
        <w:t xml:space="preserve">Also on the record:</w:t>
      </w:r>
    </w:p>
    <w:p>
      <w:pPr>
        <w:numPr>
          <w:ilvl w:val="0"/>
          <w:numId w:val="1"/>
        </w:numPr>
      </w:pPr>
      <w:r>
        <w:t xml:space="preserve">Carta's mobile app has been stuck at a Terms-of-Service loop repeatedly — 1★ reviews Sept 19, Oct 29 and Nov 15, 2025 — and one paying customer objected to an undismissable E*TRADE ad filling the home screen (1★, Feb 11 2026). (</w:t>
      </w:r>
      <w:hyperlink r:id="rHl25">
        <w:r>
          <w:rPr>
            <w:rStyle w:val="Hyperlink"/>
          </w:rPr>
          <w:t xml:space="preserve">App Store</w:t>
        </w:r>
      </w:hyperlink>
      <w:r>
        <w:t xml:space="preserve">)</w:t>
      </w:r>
    </w:p>
    <w:p>
      <w:pPr>
        <w:numPr>
          <w:ilvl w:val="0"/>
          <w:numId w:val="1"/>
        </w:numPr>
      </w:pPr>
      <w:r>
        <w:t xml:space="preserve">Carta's cap table export described as sloppy and needing spreadsheet cleanup (Trustpilot, Jul 2022) — the incumbent's output goes *back* into Excel.</w:t>
      </w:r>
    </w:p>
    <w:p>
      <w:pPr>
        <w:numPr>
          <w:ilvl w:val="0"/>
          <w:numId w:val="1"/>
        </w:numPr>
      </w:pPr>
      <w:r>
        <w:t xml:space="preserve">Foundersuite reviewers: can't send email from inside the system, no cap table, "clunky and overpriced for early stage" (</w:t>
      </w:r>
      <w:hyperlink r:id="rHl21">
        <w:r>
          <w:rPr>
            <w:rStyle w:val="Hyperlink"/>
          </w:rPr>
          <w:t xml:space="preserve">Capterra</w:t>
        </w:r>
      </w:hyperlink>
      <w:r>
        <w:t xml:space="preserve">).</w:t>
      </w:r>
    </w:p>
    <w:p>
      <w:pPr>
        <w:numPr>
          <w:ilvl w:val="0"/>
          <w:numId w:val="1"/>
        </w:numPr>
      </w:pPr>
      <w:r>
        <w:t xml:space="preserve">StartEngine investors report support answered only by AI and no way to sell shares (1★, July 2026) (</w:t>
      </w:r>
      <w:hyperlink r:id="rHl22">
        <w:r>
          <w:rPr>
            <w:rStyle w:val="Hyperlink"/>
          </w:rPr>
          <w:t xml:space="preserve">App Store</w:t>
        </w:r>
      </w:hyperlink>
      <w:r>
        <w:t xml:space="preserve">).</w:t>
      </w:r>
    </w:p>
    <w:p>
      <w:pPr>
        <w:pStyle w:val="Heading2"/>
      </w:pPr>
      <w:r>
        <w:t xml:space="preserve">What the complaints reveal</w:t>
      </w:r>
    </w:p>
    <w:p>
      <w:r>
        <w:t xml:space="preserve">1. </w:t>
      </w:r>
      <w:r>
        <w:rPr>
          <w:b/>
        </w:rPr>
        <w:t xml:space="preserve">Price and billing dominate</w:t>
      </w:r>
      <w:r>
        <w:t xml:space="preserve"> — trials that charge, auto-upgrades, overage fees, four-figure bills. Same pattern as the diet-app category, and the same opening: transparent pricing is a differentiator.</w:t>
      </w:r>
    </w:p>
    <w:p>
      <w:r>
        <w:t xml:space="preserve">2. </w:t>
      </w:r>
      <w:r>
        <w:rPr>
          <w:b/>
        </w:rPr>
        <w:t xml:space="preserve">Data quality is the trust problem.</w:t>
      </w:r>
      <w:r>
        <w:t xml:space="preserve"> Both major investor databases sit near 1.5★ on Trustpilot primarily over accuracy. An app that *matches* founders to investors inherits whatever data it's built on.</w:t>
      </w:r>
    </w:p>
    <w:p>
      <w:r>
        <w:t xml:space="preserve">3. </w:t>
      </w:r>
      <w:r>
        <w:rPr>
          <w:b/>
        </w:rPr>
        <w:t xml:space="preserve">These tools are priced and designed for investors, not founders.</w:t>
      </w:r>
      <w:r>
        <w:t xml:space="preserve"> A pre-seed founder is not the customer Crunchbase or PitchBook optimizes for, which is why the workaround is a spreadsheet and a LinkedIn search.</w:t>
      </w:r>
    </w:p>
    <w:p>
      <w:r>
        <w:t xml:space="preserve">4. </w:t>
      </w:r>
      <w:r>
        <w:rPr>
          <w:b/>
        </w:rPr>
        <w:t xml:space="preserve">Nobody complains about valuation accuracy — because nobody offers it.</w:t>
      </w:r>
      <w:r>
        <w:t xml:space="preserve"> Across every review set I could reach, there were complaints about cap tables, price and data, and essentially </w:t>
      </w:r>
      <w:r>
        <w:rPr>
          <w:b/>
        </w:rPr>
        <w:t xml:space="preserve">none about a valuation engine being wrong</w:t>
      </w:r>
      <w:r>
        <w:t xml:space="preserve">. There is no widely used founder-facing valuation product to complain about.</w:t>
      </w:r>
    </w:p>
    <w:p>
      <w:pPr>
        <w:pBdr>
          <w:bottom w:val="single" w:sz="6" w:space="6" w:color="C9CCD1"/>
        </w:pBdr>
      </w:pPr>
    </w:p>
    <w:p>
      <w:pPr>
        <w:pStyle w:val="Heading1"/>
      </w:pPr>
      <w:r>
        <w:t xml:space="preserve">4. Why might this be newly solvable with AI in 2026?</w:t>
      </w:r>
    </w:p>
    <w:p>
      <w:r>
        <w:rPr>
          <w:b/>
        </w:rPr>
        <w:t xml:space="preserve">(a) Autonomous multi-step research became a product — Dec 2024 / Feb 2025.</w:t>
      </w:r>
    </w:p>
    <w:p>
      <w:r>
        <w:t xml:space="preserve">Gemini Deep Research launched December 2024; OpenAI's Deep Research launched </w:t>
      </w:r>
      <w:r>
        <w:rPr>
          <w:b/>
        </w:rPr>
        <w:t xml:space="preserve">February 2, 2025</w:t>
      </w:r>
      <w:r>
        <w:t xml:space="preserve">, browsing autonomously for 5–30 minutes and returning cited reports. The investor-discovery half of this problem is precisely that task: read hundreds of fund sites, portfolio pages and filings, and assemble a ranked, sourced list. (</w:t>
      </w:r>
      <w:hyperlink r:id="rHl26">
        <w:r>
          <w:rPr>
            <w:rStyle w:val="Hyperlink"/>
          </w:rPr>
          <w:t xml:space="preserve">OpenAI</w:t>
        </w:r>
      </w:hyperlink>
      <w:r>
        <w:t xml:space="preserve">; </w:t>
      </w:r>
      <w:hyperlink r:id="rHl27">
        <w:r>
          <w:rPr>
            <w:rStyle w:val="Hyperlink"/>
          </w:rPr>
          <w:t xml:space="preserve">Wikipedia</w:t>
        </w:r>
      </w:hyperlink>
      <w:r>
        <w:t xml:space="preserve">)</w:t>
      </w:r>
    </w:p>
    <w:p>
      <w:r>
        <w:rPr>
          <w:b/>
        </w:rPr>
        <w:t xml:space="preserve">(b) Predictive investor matching shipped commercially — late 2025.</w:t>
      </w:r>
    </w:p>
    <w:p>
      <w:r>
        <w:t xml:space="preserve">Crunchbase relaunched as a "predictive company intelligence" platform in 2025, and for companies with positive funding predictions it now returns </w:t>
      </w:r>
      <w:r>
        <w:rPr>
          <w:b/>
        </w:rPr>
        <w:t xml:space="preserve">ranked potential investor matches</w:t>
      </w:r>
      <w:r>
        <w:t xml:space="preserve"> — claiming up to 95% precision on fundraising predictions and 16,000+ predictions confirmed by real events. It won a 2026 AI TechAward. (</w:t>
      </w:r>
      <w:hyperlink r:id="rHl28">
        <w:r>
          <w:rPr>
            <w:rStyle w:val="Hyperlink"/>
          </w:rPr>
          <w:t xml:space="preserve">Crunchbase</w:t>
        </w:r>
      </w:hyperlink>
      <w:r>
        <w:t xml:space="preserve">; </w:t>
      </w:r>
      <w:hyperlink r:id="rHl29">
        <w:r>
          <w:rPr>
            <w:rStyle w:val="Hyperlink"/>
          </w:rPr>
          <w:t xml:space="preserve">press release</w:t>
        </w:r>
      </w:hyperlink>
      <w:r>
        <w:t xml:space="preserve">) </w:t>
      </w:r>
      <w:r>
        <w:rPr>
          <w:rFonts w:ascii="Consolas" w:hAnsi="Consolas"/>
        </w:rPr>
        <w:t xml:space="preserve">[Vendor-reported accuracy; no independent validation found]</w:t>
      </w:r>
    </w:p>
    <w:p>
      <w:r>
        <w:rPr>
          <w:b/>
        </w:rPr>
        <w:t xml:space="preserve">Read this as a warning as well as a signal: the incumbent has already shipped the matching half of the idea.</w:t>
      </w:r>
    </w:p>
    <w:p>
      <w:r>
        <w:rPr>
          <w:b/>
        </w:rPr>
        <w:t xml:space="preserve">(c) Natural-language querying of private-market data — 2025.</w:t>
      </w:r>
    </w:p>
    <w:p>
      <w:r>
        <w:t xml:space="preserve">PitchBook added AI natural-language search for deal screening in 2025; Crunchbase shipped an AI search assistant across its company and investor dataset. The query "who led seed rounds in industrial robotics in the Midwest in the last 18 months" no longer requires a filter-builder and a data license. </w:t>
      </w:r>
      <w:r>
        <w:rPr>
          <w:rFonts w:ascii="Consolas" w:hAnsi="Consolas"/>
        </w:rPr>
        <w:t xml:space="preserve">[Secondary sources only]</w:t>
      </w:r>
    </w:p>
    <w:p>
      <w:r>
        <w:rPr>
          <w:b/>
        </w:rPr>
        <w:t xml:space="preserve">(d) The public data is free and machine-readable.</w:t>
      </w:r>
    </w:p>
    <w:p>
      <w:r>
        <w:t xml:space="preserve">Every Reg D raise generates a Form D with issuer, industry, offering size and related persons, published by the SEC as bulk datasets and full-text-searchable. </w:t>
      </w:r>
      <w:r>
        <w:rPr>
          <w:b/>
        </w:rPr>
        <w:t xml:space="preserve">32,554 initial filings in 2024</w:t>
      </w:r>
      <w:r>
        <w:t xml:space="preserve"> is a public, structured record of who raised what — and, via related persons, who funded it. Building an investor graph no longer requires buying one. (</w:t>
      </w:r>
      <w:hyperlink r:id="rHl30">
        <w:r>
          <w:rPr>
            <w:rStyle w:val="Hyperlink"/>
          </w:rPr>
          <w:t xml:space="preserve">SEC Form D datasets</w:t>
        </w:r>
      </w:hyperlink>
      <w:r>
        <w:t xml:space="preserve">)</w:t>
      </w:r>
    </w:p>
    <w:p>
      <w:r>
        <w:t xml:space="preserve">**(e) What has *not* become possible — and this is the important half.**</w:t>
      </w:r>
    </w:p>
    <w:p>
      <w:pPr>
        <w:numPr>
          <w:ilvl w:val="0"/>
          <w:numId w:val="1"/>
        </w:numPr>
      </w:pPr>
      <w:r>
        <w:rPr>
          <w:b/>
        </w:rPr>
        <w:t xml:space="preserve">Financial reasoning is still the weak spot.</w:t>
      </w:r>
      <w:r>
        <w:t xml:space="preserve"> FinanceBench (2023) found GPT-4-Turbo with retrieval </w:t>
      </w:r>
      <w:r>
        <w:rPr>
          <w:b/>
        </w:rPr>
        <w:t xml:space="preserve">wrong or refusing on 81%</w:t>
      </w:r>
      <w:r>
        <w:t xml:space="preserve"> of questions grounded in public filings. More recently, on the </w:t>
      </w:r>
      <w:r>
        <w:rPr>
          <w:b/>
        </w:rPr>
        <w:t xml:space="preserve">Finance Agent Benchmark</w:t>
      </w:r>
      <w:r>
        <w:t xml:space="preserve"> of real financial research tasks, the best model tested (o3) reached </w:t>
      </w:r>
      <w:r>
        <w:rPr>
          <w:b/>
        </w:rPr>
        <w:t xml:space="preserve">46.8% accuracy at $3.79 per query</w:t>
      </w:r>
      <w:r>
        <w:t xml:space="preserve">. (</w:t>
      </w:r>
      <w:hyperlink r:id="rHl31">
        <w:r>
          <w:rPr>
            <w:rStyle w:val="Hyperlink"/>
          </w:rPr>
          <w:t xml:space="preserve">FinanceBench</w:t>
        </w:r>
      </w:hyperlink>
      <w:r>
        <w:t xml:space="preserve">; </w:t>
      </w:r>
      <w:hyperlink r:id="rHl32">
        <w:r>
          <w:rPr>
            <w:rStyle w:val="Hyperlink"/>
          </w:rPr>
          <w:t xml:space="preserve">Finance Agent Benchmark</w:t>
        </w:r>
      </w:hyperlink>
      <w:r>
        <w:t xml:space="preserve">) A valuation product built on today's models must show its arithmetic and cite comparables, not assert a number.</w:t>
      </w:r>
    </w:p>
    <w:p>
      <w:pPr>
        <w:numPr>
          <w:ilvl w:val="0"/>
          <w:numId w:val="1"/>
        </w:numPr>
      </w:pPr>
      <w:r>
        <w:rPr>
          <w:b/>
        </w:rPr>
        <w:t xml:space="preserve">409A safe harbor requires an independent appraiser.</w:t>
      </w:r>
      <w:r>
        <w:t xml:space="preserve"> The compliance valuation is a human-signed deliverable; AI can prepare, not certify. (</w:t>
      </w:r>
      <w:hyperlink r:id="rHl19">
        <w:r>
          <w:rPr>
            <w:rStyle w:val="Hyperlink"/>
          </w:rPr>
          <w:t xml:space="preserve">Carta</w:t>
        </w:r>
      </w:hyperlink>
      <w:r>
        <w:t xml:space="preserve">) </w:t>
      </w:r>
      <w:r>
        <w:rPr>
          <w:rFonts w:ascii="Consolas" w:hAnsi="Consolas"/>
        </w:rPr>
        <w:t xml:space="preserve">[Vendor explainer, not the IRS regulation text]</w:t>
      </w:r>
    </w:p>
    <w:p>
      <w:pPr>
        <w:numPr>
          <w:ilvl w:val="0"/>
          <w:numId w:val="1"/>
        </w:numPr>
      </w:pPr>
      <w:r>
        <w:rPr>
          <w:b/>
        </w:rPr>
        <w:t xml:space="preserve">Valuation is a negotiation, not a calculation.</w:t>
      </w:r>
      <w:r>
        <w:t xml:space="preserve"> The *Shark Tank* research shows outcomes move with negotiating behavior, not just numbers. A model can tell a founder the defensible range; it cannot hold the line in the room.</w:t>
      </w:r>
    </w:p>
    <w:p>
      <w:pPr>
        <w:numPr>
          <w:ilvl w:val="0"/>
          <w:numId w:val="1"/>
        </w:numPr>
      </w:pPr>
      <w:r>
        <w:rPr>
          <w:b/>
        </w:rPr>
        <w:t xml:space="preserve">Private comparables are still proprietary.</w:t>
      </w:r>
      <w:r>
        <w:t xml:space="preserve"> The transaction data that makes a comp set credible sits inside PitchBook and Carta. Free alternatives are thinner.</w:t>
      </w:r>
    </w:p>
    <w:p>
      <w:r>
        <w:rPr>
          <w:b/>
        </w:rPr>
        <w:t xml:space="preserve">The honest version of the claim:</w:t>
      </w:r>
      <w:r>
        <w:t xml:space="preserve"> what changed is not that a computer can now value a company — DCFs and comps are decades old — but that </w:t>
      </w:r>
      <w:r>
        <w:rPr>
          <w:b/>
        </w:rPr>
        <w:t xml:space="preserve">assembling the inputs (comparables, recent round data, investor activity by sector and stage) went from weeks of manual work or a $20k+ data seat to an agentic research run</w:t>
      </w:r>
      <w:r>
        <w:t xml:space="preserve">, and that </w:t>
      </w:r>
      <w:r>
        <w:rPr>
          <w:b/>
        </w:rPr>
        <w:t xml:space="preserve">ranked investor matching shipped as a product in 2025</w:t>
      </w:r>
      <w:r>
        <w:t xml:space="preserve">. The valuation *number* still needs to be shown, sourced and defended, because the models remain unreliable at exactly this kind of financial reasoning.</w:t>
      </w:r>
    </w:p>
    <w:p>
      <w:pPr>
        <w:pBdr>
          <w:bottom w:val="single" w:sz="6" w:space="6" w:color="C9CCD1"/>
        </w:pBdr>
      </w:pPr>
    </w:p>
    <w:p>
      <w:pPr>
        <w:pStyle w:val="Heading1"/>
      </w:pPr>
      <w:r>
        <w:t xml:space="preserve">5. Flags and gaps</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5040"/>
        <w:gridCol w:w="5040"/>
      </w:tblGrid>
      <w:tr>
        <w:trPr>
          <w:tblHeader/>
        </w:trPr>
        <w:tc>
          <w:tcPr>
            <w:tcW w:w="5040" w:type="dxa"/>
            <w:shd w:val="clear" w:color="auto" w:fill="EFF1F3"/>
          </w:tcPr>
          <w:p>
            <w:pPr>
              <w:spacing w:before="40" w:after="40"/>
            </w:pPr>
            <w:r>
              <w:rPr>
                <w:b/>
                <w:sz w:val="18"/>
              </w:rPr>
              <w:t xml:space="preserve">Item</w:t>
            </w:r>
          </w:p>
        </w:tc>
        <w:tc>
          <w:tcPr>
            <w:tcW w:w="5040" w:type="dxa"/>
            <w:shd w:val="clear" w:color="auto" w:fill="EFF1F3"/>
          </w:tcPr>
          <w:p>
            <w:pPr>
              <w:spacing w:before="40" w:after="40"/>
            </w:pPr>
            <w:r>
              <w:rPr>
                <w:b/>
                <w:sz w:val="18"/>
              </w:rPr>
              <w:t xml:space="preserve">Status</w:t>
            </w:r>
          </w:p>
        </w:tc>
      </w:tr>
      <w:tr>
        <w:tc>
          <w:tcPr>
            <w:tcW w:w="5040" w:type="dxa"/>
          </w:tcPr>
          <w:p>
            <w:pPr>
              <w:spacing w:before="40" w:after="40"/>
            </w:pPr>
            <w:r>
              <w:rPr>
                <w:b/>
                <w:sz w:val="18"/>
              </w:rPr>
              <w:t xml:space="preserve">Reddit</w:t>
            </w:r>
          </w:p>
        </w:tc>
        <w:tc>
          <w:tcPr>
            <w:tcW w:w="5040" w:type="dxa"/>
          </w:tcPr>
          <w:p>
            <w:pPr>
              <w:spacing w:before="40" w:after="40"/>
            </w:pPr>
            <w:r>
              <w:rPr>
                <w:sz w:val="18"/>
              </w:rPr>
              <w:t xml:space="preserve">❌ Blocked for search and page access. No Reddit complaints included.</w:t>
            </w:r>
          </w:p>
        </w:tc>
      </w:tr>
      <w:tr>
        <w:tc>
          <w:tcPr>
            <w:tcW w:w="5040" w:type="dxa"/>
          </w:tcPr>
          <w:p>
            <w:pPr>
              <w:spacing w:before="40" w:after="40"/>
            </w:pPr>
            <w:r>
              <w:rPr>
                <w:b/>
                <w:sz w:val="18"/>
              </w:rPr>
              <w:t xml:space="preserve">G2</w:t>
            </w:r>
          </w:p>
        </w:tc>
        <w:tc>
          <w:tcPr>
            <w:tcW w:w="5040" w:type="dxa"/>
          </w:tcPr>
          <w:p>
            <w:pPr>
              <w:spacing w:before="40" w:after="40"/>
            </w:pPr>
            <w:r>
              <w:rPr>
                <w:sz w:val="18"/>
              </w:rPr>
              <w:t xml:space="preserve">❌ 403 on fetch, blank in browser. No G2 data included.</w:t>
            </w:r>
          </w:p>
        </w:tc>
      </w:tr>
      <w:tr>
        <w:tc>
          <w:tcPr>
            <w:tcW w:w="5040" w:type="dxa"/>
          </w:tcPr>
          <w:p>
            <w:pPr>
              <w:spacing w:before="40" w:after="40"/>
            </w:pPr>
            <w:r>
              <w:rPr>
                <w:b/>
                <w:sz w:val="18"/>
              </w:rPr>
              <w:t xml:space="preserve">App store reviews</w:t>
            </w:r>
          </w:p>
        </w:tc>
        <w:tc>
          <w:tcPr>
            <w:tcW w:w="5040" w:type="dxa"/>
          </w:tcPr>
          <w:p>
            <w:pPr>
              <w:spacing w:before="40" w:after="40"/>
            </w:pPr>
            <w:r>
              <w:rPr>
                <w:sz w:val="18"/>
              </w:rPr>
              <w:t xml:space="preserve">⚠️ Partial — this is web SaaS, so app-store coverage is thin. Only Carta (9,461 ratings) and StartEngine (6,927) had meaningful volume; PitchBook Mobile returned no recent critical reviews.</w:t>
            </w:r>
          </w:p>
        </w:tc>
      </w:tr>
      <w:tr>
        <w:tc>
          <w:tcPr>
            <w:tcW w:w="5040" w:type="dxa"/>
          </w:tcPr>
          <w:p>
            <w:pPr>
              <w:spacing w:before="40" w:after="40"/>
            </w:pPr>
            <w:r>
              <w:rPr>
                <w:b/>
                <w:sz w:val="18"/>
              </w:rPr>
              <w:t xml:space="preserve">Verbatim quotes</w:t>
            </w:r>
          </w:p>
        </w:tc>
        <w:tc>
          <w:tcPr>
            <w:tcW w:w="5040" w:type="dxa"/>
          </w:tcPr>
          <w:p>
            <w:pPr>
              <w:spacing w:before="40" w:after="40"/>
            </w:pPr>
            <w:r>
              <w:rPr>
                <w:sz w:val="18"/>
              </w:rPr>
              <w:t xml:space="preserve">⚠️ Paraphrased, not reproduced. Reviewer handle, rating and date are given so each can be located.</w:t>
            </w:r>
          </w:p>
        </w:tc>
      </w:tr>
      <w:tr>
        <w:tc>
          <w:tcPr>
            <w:tcW w:w="5040" w:type="dxa"/>
          </w:tcPr>
          <w:p>
            <w:pPr>
              <w:spacing w:before="40" w:after="40"/>
            </w:pPr>
            <w:r>
              <w:rPr>
                <w:b/>
                <w:sz w:val="18"/>
              </w:rPr>
              <w:t xml:space="preserve">Attempting-founder pool (220k–360k)</w:t>
            </w:r>
          </w:p>
        </w:tc>
        <w:tc>
          <w:tcPr>
            <w:tcW w:w="5040" w:type="dxa"/>
          </w:tcPr>
          <w:p>
            <w:pPr>
              <w:spacing w:before="40" w:after="40"/>
            </w:pPr>
            <w:r>
              <w:rPr>
                <w:rFonts w:ascii="Consolas" w:hAnsi="Consolas"/>
                <w:sz w:val="18"/>
              </w:rPr>
              <w:t xml:space="preserve">[UNVERIFIED]</w:t>
            </w:r>
            <w:r>
              <w:rPr>
                <w:sz w:val="18"/>
              </w:rPr>
              <w:t xml:space="preserve"> — derived from an assumed 1-in-4 raise success rate. No survey found measuring it.</w:t>
            </w:r>
          </w:p>
        </w:tc>
      </w:tr>
      <w:tr>
        <w:tc>
          <w:tcPr>
            <w:tcW w:w="5040" w:type="dxa"/>
          </w:tcPr>
          <w:p>
            <w:pPr>
              <w:spacing w:before="40" w:after="40"/>
            </w:pPr>
            <w:r>
              <w:rPr>
                <w:b/>
                <w:sz w:val="18"/>
              </w:rPr>
              <w:t xml:space="preserve">BLS annualization (~1.2–1.3M births)</w:t>
            </w:r>
          </w:p>
        </w:tc>
        <w:tc>
          <w:tcPr>
            <w:tcW w:w="5040" w:type="dxa"/>
          </w:tcPr>
          <w:p>
            <w:pPr>
              <w:spacing w:before="40" w:after="40"/>
            </w:pPr>
            <w:r>
              <w:rPr>
                <w:rFonts w:ascii="Consolas" w:hAnsi="Consolas"/>
                <w:sz w:val="18"/>
              </w:rPr>
              <w:t xml:space="preserve">[UNVERIFIED]</w:t>
            </w:r>
            <w:r>
              <w:rPr>
                <w:sz w:val="18"/>
              </w:rPr>
              <w:t xml:space="preserve"> — Q3 2025 was 323,000; I multiplied. Q4 2025 data exists but wasn't retrieved.</w:t>
            </w:r>
          </w:p>
        </w:tc>
      </w:tr>
      <w:tr>
        <w:tc>
          <w:tcPr>
            <w:tcW w:w="5040" w:type="dxa"/>
          </w:tcPr>
          <w:p>
            <w:pPr>
              <w:spacing w:before="40" w:after="40"/>
            </w:pPr>
            <w:r>
              <w:rPr>
                <w:b/>
                <w:sz w:val="18"/>
              </w:rPr>
              <w:t xml:space="preserve">Angel data vintage</w:t>
            </w:r>
          </w:p>
        </w:tc>
        <w:tc>
          <w:tcPr>
            <w:tcW w:w="5040" w:type="dxa"/>
          </w:tcPr>
          <w:p>
            <w:pPr>
              <w:spacing w:before="40" w:after="40"/>
            </w:pPr>
            <w:r>
              <w:rPr>
                <w:sz w:val="18"/>
              </w:rPr>
              <w:t xml:space="preserve">⚠️ Center for Venture Research figures are </w:t>
            </w:r>
            <w:r>
              <w:rPr>
                <w:b/>
                <w:sz w:val="18"/>
              </w:rPr>
              <w:t xml:space="preserve">2023</w:t>
            </w:r>
            <w:r>
              <w:rPr>
                <w:sz w:val="18"/>
              </w:rPr>
              <w:t xml:space="preserve">, the latest published. 2024–25 angel counts not found.</w:t>
            </w:r>
          </w:p>
        </w:tc>
      </w:tr>
      <w:tr>
        <w:tc>
          <w:tcPr>
            <w:tcW w:w="5040" w:type="dxa"/>
          </w:tcPr>
          <w:p>
            <w:pPr>
              <w:spacing w:before="40" w:after="40"/>
            </w:pPr>
            <w:r>
              <w:rPr>
                <w:b/>
                <w:sz w:val="18"/>
              </w:rPr>
              <w:t xml:space="preserve">Form D vs angel overlap</w:t>
            </w:r>
          </w:p>
        </w:tc>
        <w:tc>
          <w:tcPr>
            <w:tcW w:w="5040" w:type="dxa"/>
          </w:tcPr>
          <w:p>
            <w:pPr>
              <w:spacing w:before="40" w:after="40"/>
            </w:pPr>
            <w:r>
              <w:rPr>
                <w:sz w:val="18"/>
              </w:rPr>
              <w:t xml:space="preserve">⚠️ Unknown. The two counts cannot be added.</w:t>
            </w:r>
          </w:p>
        </w:tc>
      </w:tr>
      <w:tr>
        <w:tc>
          <w:tcPr>
            <w:tcW w:w="5040" w:type="dxa"/>
          </w:tcPr>
          <w:p>
            <w:pPr>
              <w:spacing w:before="40" w:after="40"/>
            </w:pPr>
            <w:r>
              <w:rPr>
                <w:b/>
                <w:sz w:val="18"/>
              </w:rPr>
              <w:t xml:space="preserve">Founder time-on-fundraising survey</w:t>
            </w:r>
          </w:p>
        </w:tc>
        <w:tc>
          <w:tcPr>
            <w:tcW w:w="5040" w:type="dxa"/>
          </w:tcPr>
          <w:p>
            <w:pPr>
              <w:spacing w:before="40" w:after="40"/>
            </w:pPr>
            <w:r>
              <w:rPr>
                <w:sz w:val="18"/>
              </w:rPr>
              <w:t xml:space="preserve">⚠️ ~60 African founders, 2021. Directionally useful, not a US measurement.</w:t>
            </w:r>
          </w:p>
        </w:tc>
      </w:tr>
      <w:tr>
        <w:tc>
          <w:tcPr>
            <w:tcW w:w="5040" w:type="dxa"/>
          </w:tcPr>
          <w:p>
            <w:pPr>
              <w:spacing w:before="40" w:after="40"/>
            </w:pPr>
            <w:r>
              <w:rPr>
                <w:b/>
                <w:sz w:val="18"/>
              </w:rPr>
              <w:t xml:space="preserve">Crunchbase's 95% prediction accuracy</w:t>
            </w:r>
          </w:p>
        </w:tc>
        <w:tc>
          <w:tcPr>
            <w:tcW w:w="5040" w:type="dxa"/>
          </w:tcPr>
          <w:p>
            <w:pPr>
              <w:spacing w:before="40" w:after="40"/>
            </w:pPr>
            <w:r>
              <w:rPr>
                <w:sz w:val="18"/>
              </w:rPr>
              <w:t xml:space="preserve">⚠️ Vendor-reported, no independent validation found.</w:t>
            </w:r>
          </w:p>
        </w:tc>
      </w:tr>
      <w:tr>
        <w:tc>
          <w:tcPr>
            <w:tcW w:w="5040" w:type="dxa"/>
          </w:tcPr>
          <w:p>
            <w:pPr>
              <w:spacing w:before="40" w:after="40"/>
            </w:pPr>
            <w:r>
              <w:rPr>
                <w:b/>
                <w:sz w:val="18"/>
              </w:rPr>
              <w:t xml:space="preserve">PitchBook / Crunchbase AI feature launches</w:t>
            </w:r>
          </w:p>
        </w:tc>
        <w:tc>
          <w:tcPr>
            <w:tcW w:w="5040" w:type="dxa"/>
          </w:tcPr>
          <w:p>
            <w:pPr>
              <w:spacing w:before="40" w:after="40"/>
            </w:pPr>
            <w:r>
              <w:rPr>
                <w:sz w:val="18"/>
              </w:rPr>
              <w:t xml:space="preserve">⚠️ Secondary sources; neither vendor's own release was retrieved.</w:t>
            </w:r>
          </w:p>
        </w:tc>
      </w:tr>
      <w:tr>
        <w:tc>
          <w:tcPr>
            <w:tcW w:w="5040" w:type="dxa"/>
          </w:tcPr>
          <w:p>
            <w:pPr>
              <w:spacing w:before="40" w:after="40"/>
            </w:pPr>
            <w:r>
              <w:rPr>
                <w:b/>
                <w:sz w:val="18"/>
              </w:rPr>
              <w:t xml:space="preserve">Carta pricing ($2,800/yr Starter)</w:t>
            </w:r>
          </w:p>
        </w:tc>
        <w:tc>
          <w:tcPr>
            <w:tcW w:w="5040" w:type="dxa"/>
          </w:tcPr>
          <w:p>
            <w:pPr>
              <w:spacing w:before="40" w:after="40"/>
            </w:pPr>
            <w:r>
              <w:rPr>
                <w:sz w:val="18"/>
              </w:rPr>
              <w:t xml:space="preserve">⚠️ Third-party pricing breakdown, not Carta's own page.</w:t>
            </w:r>
          </w:p>
        </w:tc>
      </w:tr>
      <w:tr>
        <w:tc>
          <w:tcPr>
            <w:tcW w:w="5040" w:type="dxa"/>
          </w:tcPr>
          <w:p>
            <w:pPr>
              <w:spacing w:before="40" w:after="40"/>
            </w:pPr>
            <w:r>
              <w:rPr>
                <w:b/>
                <w:sz w:val="18"/>
              </w:rPr>
              <w:t xml:space="preserve">PitchBook seat price</w:t>
            </w:r>
          </w:p>
        </w:tc>
        <w:tc>
          <w:tcPr>
            <w:tcW w:w="5040" w:type="dxa"/>
          </w:tcPr>
          <w:p>
            <w:pPr>
              <w:spacing w:before="40" w:after="40"/>
            </w:pPr>
            <w:r>
              <w:rPr>
                <w:sz w:val="18"/>
              </w:rPr>
              <w:t xml:space="preserve">❌ Not obtained — quoted privately, no public list price.</w:t>
            </w:r>
          </w:p>
        </w:tc>
      </w:tr>
      <w:tr>
        <w:tc>
          <w:tcPr>
            <w:tcW w:w="5040" w:type="dxa"/>
          </w:tcPr>
          <w:p>
            <w:pPr>
              <w:spacing w:before="40" w:after="40"/>
            </w:pPr>
            <w:r>
              <w:rPr>
                <w:b/>
                <w:sz w:val="18"/>
              </w:rPr>
              <w:t xml:space="preserve">Crunchbase/PitchBook/Trustpilot review volumes</w:t>
            </w:r>
          </w:p>
        </w:tc>
        <w:tc>
          <w:tcPr>
            <w:tcW w:w="5040" w:type="dxa"/>
          </w:tcPr>
          <w:p>
            <w:pPr>
              <w:spacing w:before="40" w:after="40"/>
            </w:pPr>
            <w:r>
              <w:rPr>
                <w:sz w:val="18"/>
              </w:rPr>
              <w:t xml:space="preserve">⚠️ Very small samples (18–51 reviews). Self-selected and skewed negative. Treat as signal of failure modes, not as satisfaction rates.</w:t>
            </w:r>
          </w:p>
        </w:tc>
      </w:tr>
    </w:tbl>
    <w:p>
      <w:pPr>
        <w:spacing w:after="0"/>
      </w:pPr>
    </w:p>
    <w:p>
      <w:r>
        <w:br w:type="page"/>
      </w:r>
    </w:p>
    <w:p>
      <w:pPr>
        <w:pStyle w:val="Title"/>
      </w:pPr>
      <w:r>
        <w:t xml:space="preserve">Complaint Themes &amp; What Humans Charge for This Work</w:t>
      </w:r>
    </w:p>
    <w:p>
      <w:r>
        <w:rPr>
          <w:b/>
        </w:rPr>
        <w:t xml:space="preserve">Prepared:</w:t>
      </w:r>
      <w:r>
        <w:t xml:space="preserve"> September 22, 2026</w:t>
      </w:r>
    </w:p>
    <w:p>
      <w:r>
        <w:rPr>
          <w:b/>
        </w:rPr>
        <w:t xml:space="preserve">Scope:</w:t>
      </w:r>
      <w:r>
        <w:t xml:space="preserve"> Complaints from the last 18 months (since March 22, 2025) about founder-facing startup valuation and fundraising tools — plus what companies and advisors charge humans to do the same job.</w:t>
      </w:r>
    </w:p>
    <w:p>
      <w:pPr>
        <w:ind w:left="360"/>
        <w:pBdr>
          <w:left w:val="single" w:sz="18" w:space="8" w:color="9AA0A6"/>
        </w:pBdr>
      </w:pPr>
      <w:r>
        <w:rPr>
          <w:b/>
        </w:rPr>
        <w:t xml:space="preserve">Note on the second half of the prompt.</w:t>
      </w:r>
      <w:r>
        <w:t xml:space="preserve"> As written, it asked for job postings about *ordering groceries for clients based on diet and nutritional needs* — that request belongs to the DietGroceryApp project and was already answered there. Repeating it here would add nothing to a valuation project, so I researched the equivalent question for </w:t>
      </w:r>
      <w:r>
        <w:rPr>
          <w:b/>
        </w:rPr>
        <w:t xml:space="preserve">this</w:t>
      </w:r>
      <w:r>
        <w:t xml:space="preserve"> project: </w:t>
      </w:r>
      <w:r>
        <w:rPr>
          <w:b/>
        </w:rPr>
        <w:t xml:space="preserve">what companies pay humans to value a startup and find it investors.</w:t>
      </w:r>
      <w:r>
        <w:t xml:space="preserve"> If you did want the grocery section duplicated into this document, say so and I'll add it.</w:t>
      </w:r>
    </w:p>
    <w:p>
      <w:pPr>
        <w:pBdr>
          <w:bottom w:val="single" w:sz="6" w:space="6" w:color="C9CCD1"/>
        </w:pBdr>
      </w:pPr>
    </w:p>
    <w:p>
      <w:pPr>
        <w:pStyle w:val="Heading1"/>
      </w:pPr>
      <w:r>
        <w:t xml:space="preserve">The headline finding: there is almost nothing to complain about</w:t>
      </w:r>
    </w:p>
    <w:p>
      <w:r>
        <w:t xml:space="preserve">I searched for complaints about founder-facing startup </w:t>
      </w:r>
      <w:r>
        <w:rPr>
          <w:b/>
        </w:rPr>
        <w:t xml:space="preserve">valuation</w:t>
      </w:r>
      <w:r>
        <w:t xml:space="preserve"> apps and found that </w:t>
      </w:r>
      <w:r>
        <w:rPr>
          <w:b/>
        </w:rPr>
        <w:t xml:space="preserve">the category barely exists as a consumer product.</w:t>
      </w:r>
    </w:p>
    <w:p>
      <w:pPr>
        <w:numPr>
          <w:ilvl w:val="0"/>
          <w:numId w:val="1"/>
        </w:numPr>
      </w:pPr>
      <w:r>
        <w:t xml:space="preserve">An App Store sweep for "startup valuation," "business valuation," "cap table," "pitch deck investor," "angel investor startup founder" and related terms returned </w:t>
      </w:r>
      <w:r>
        <w:rPr>
          <w:b/>
        </w:rPr>
        <w:t xml:space="preserve">no founder-facing valuation app with meaningful review volume.</w:t>
      </w:r>
      <w:r>
        <w:t xml:space="preserve"> The hits were financial calculators (BA Financial Calculator, 3,368 ratings), retail investing apps (StartEngine, Republic, Fundrise) and one equity-admin app (Carta, 9,461 ratings).</w:t>
      </w:r>
    </w:p>
    <w:p>
      <w:pPr>
        <w:numPr>
          <w:ilvl w:val="0"/>
          <w:numId w:val="1"/>
        </w:numPr>
      </w:pPr>
      <w:r>
        <w:t xml:space="preserve">The actual valuation platforms are low-volume web SaaS: </w:t>
      </w:r>
      <w:r>
        <w:rPr>
          <w:b/>
        </w:rPr>
        <w:t xml:space="preserve">Equidam 4.5★ from 15 Trustpilot reviews</w:t>
      </w:r>
      <w:r>
        <w:t xml:space="preserve"> (only 2 in the past year), </w:t>
      </w:r>
      <w:r>
        <w:rPr>
          <w:b/>
        </w:rPr>
        <w:t xml:space="preserve">Valutico 4.4★ from 38 Capterra reviews</w:t>
      </w:r>
      <w:r>
        <w:t xml:space="preserve">, </w:t>
      </w:r>
      <w:r>
        <w:rPr>
          <w:b/>
        </w:rPr>
        <w:t xml:space="preserve">Eqvista 4.9★ from 31 Capterra reviews</w:t>
      </w:r>
      <w:r>
        <w:t xml:space="preserve">.</w:t>
      </w:r>
    </w:p>
    <w:p>
      <w:pPr>
        <w:numPr>
          <w:ilvl w:val="0"/>
          <w:numId w:val="1"/>
        </w:numPr>
      </w:pPr>
      <w:r>
        <w:t xml:space="preserve">By contrast, the *investor database* incumbents have large, furious review bases: </w:t>
      </w:r>
      <w:r>
        <w:rPr>
          <w:b/>
        </w:rPr>
        <w:t xml:space="preserve">Crunchbase 1.4★ (51 reviews)</w:t>
      </w:r>
      <w:r>
        <w:t xml:space="preserve">, </w:t>
      </w:r>
      <w:r>
        <w:rPr>
          <w:b/>
        </w:rPr>
        <w:t xml:space="preserve">PitchBook 1.7★ (23 reviews, 87% one-star)</w:t>
      </w:r>
      <w:r>
        <w:t xml:space="preserve">.</w:t>
      </w:r>
    </w:p>
    <w:p>
      <w:r>
        <w:rPr>
          <w:b/>
        </w:rPr>
        <w:t xml:space="preserve">Read that carefully before treating it as good news.</w:t>
      </w:r>
      <w:r>
        <w:t xml:space="preserve"> Either (a) nobody has built a founder-facing valuation product people use enough to review, which is an opening — or (b) founders don't buy valuation software, which is a market problem. The complaint data cannot distinguish these two. Section 4 of the market-sizing work should test it directly.</w:t>
      </w:r>
    </w:p>
    <w:p>
      <w:pPr>
        <w:pStyle w:val="Heading2"/>
      </w:pPr>
      <w:r>
        <w:t xml:space="preserve">What was reachable</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3360"/>
        <w:gridCol w:w="3360"/>
        <w:gridCol w:w="3360"/>
      </w:tblGrid>
      <w:tr>
        <w:trPr>
          <w:tblHeader/>
        </w:trPr>
        <w:tc>
          <w:tcPr>
            <w:tcW w:w="3360" w:type="dxa"/>
            <w:shd w:val="clear" w:color="auto" w:fill="EFF1F3"/>
          </w:tcPr>
          <w:p>
            <w:pPr>
              <w:spacing w:before="40" w:after="40"/>
            </w:pPr>
            <w:r>
              <w:rPr>
                <w:b/>
                <w:sz w:val="18"/>
              </w:rPr>
              <w:t xml:space="preserve">Source</w:t>
            </w:r>
          </w:p>
        </w:tc>
        <w:tc>
          <w:tcPr>
            <w:tcW w:w="3360" w:type="dxa"/>
            <w:shd w:val="clear" w:color="auto" w:fill="EFF1F3"/>
          </w:tcPr>
          <w:p>
            <w:pPr>
              <w:spacing w:before="40" w:after="40"/>
            </w:pPr>
            <w:r>
              <w:rPr>
                <w:b/>
                <w:sz w:val="18"/>
              </w:rPr>
              <w:t xml:space="preserve">Status</w:t>
            </w:r>
          </w:p>
        </w:tc>
        <w:tc>
          <w:tcPr>
            <w:tcW w:w="3360" w:type="dxa"/>
            <w:shd w:val="clear" w:color="auto" w:fill="EFF1F3"/>
          </w:tcPr>
          <w:p>
            <w:pPr>
              <w:spacing w:before="40" w:after="40"/>
            </w:pPr>
            <w:r>
              <w:rPr>
                <w:b/>
                <w:sz w:val="18"/>
              </w:rPr>
              <w:t xml:space="preserve">What I got</w:t>
            </w:r>
          </w:p>
        </w:tc>
      </w:tr>
      <w:tr>
        <w:tc>
          <w:tcPr>
            <w:tcW w:w="3360" w:type="dxa"/>
          </w:tcPr>
          <w:p>
            <w:pPr>
              <w:spacing w:before="40" w:after="40"/>
            </w:pPr>
            <w:r>
              <w:rPr>
                <w:b/>
                <w:sz w:val="18"/>
              </w:rPr>
              <w:t xml:space="preserve">Apple App Store</w:t>
            </w:r>
          </w:p>
        </w:tc>
        <w:tc>
          <w:tcPr>
            <w:tcW w:w="3360" w:type="dxa"/>
          </w:tcPr>
          <w:p>
            <w:pPr>
              <w:spacing w:before="40" w:after="40"/>
            </w:pPr>
            <w:r>
              <w:rPr>
                <w:sz w:val="18"/>
              </w:rPr>
              <w:t xml:space="preserve">✅</w:t>
            </w:r>
          </w:p>
        </w:tc>
        <w:tc>
          <w:tcPr>
            <w:tcW w:w="3360" w:type="dxa"/>
          </w:tcPr>
          <w:p>
            <w:pPr>
              <w:spacing w:before="40" w:after="40"/>
            </w:pPr>
            <w:r>
              <w:rPr>
                <w:sz w:val="18"/>
              </w:rPr>
              <w:t xml:space="preserve">118 reviews ≤3★ since Mar 2025 across 6 apps; </w:t>
            </w:r>
            <w:r>
              <w:rPr>
                <w:b/>
                <w:sz w:val="18"/>
              </w:rPr>
              <w:t xml:space="preserve">40 of them founder-facing</w:t>
            </w:r>
            <w:r>
              <w:rPr>
                <w:sz w:val="18"/>
              </w:rPr>
              <w:t xml:space="preserve"> (Skip, Nav, Carta). Reviews of RAISE365 (a school-sports fundraising app, 49 reviews) were pulled and then </w:t>
            </w:r>
            <w:r>
              <w:rPr>
                <w:b/>
                <w:sz w:val="18"/>
              </w:rPr>
              <w:t xml:space="preserve">excluded as irrelevant</w:t>
            </w:r>
            <w:r>
              <w:rPr>
                <w:sz w:val="18"/>
              </w:rPr>
              <w:t xml:space="preserve">.</w:t>
            </w:r>
          </w:p>
        </w:tc>
      </w:tr>
      <w:tr>
        <w:tc>
          <w:tcPr>
            <w:tcW w:w="3360" w:type="dxa"/>
          </w:tcPr>
          <w:p>
            <w:pPr>
              <w:spacing w:before="40" w:after="40"/>
            </w:pPr>
            <w:r>
              <w:rPr>
                <w:b/>
                <w:sz w:val="18"/>
              </w:rPr>
              <w:t xml:space="preserve">Capterra</w:t>
            </w:r>
          </w:p>
        </w:tc>
        <w:tc>
          <w:tcPr>
            <w:tcW w:w="3360" w:type="dxa"/>
          </w:tcPr>
          <w:p>
            <w:pPr>
              <w:spacing w:before="40" w:after="40"/>
            </w:pPr>
            <w:r>
              <w:rPr>
                <w:sz w:val="18"/>
              </w:rPr>
              <w:t xml:space="preserve">✅</w:t>
            </w:r>
          </w:p>
        </w:tc>
        <w:tc>
          <w:tcPr>
            <w:tcW w:w="3360" w:type="dxa"/>
          </w:tcPr>
          <w:p>
            <w:pPr>
              <w:spacing w:before="40" w:after="40"/>
            </w:pPr>
            <w:hyperlink r:id="rHl33">
              <w:r>
                <w:rPr>
                  <w:rStyle w:val="Hyperlink"/>
                  <w:sz w:val="18"/>
                </w:rPr>
                <w:t xml:space="preserve">Valutico</w:t>
              </w:r>
            </w:hyperlink>
            <w:r>
              <w:rPr>
                <w:sz w:val="18"/>
              </w:rPr>
              <w:t xml:space="preserve"> (4.4★/38), </w:t>
            </w:r>
            <w:hyperlink r:id="rHl34">
              <w:r>
                <w:rPr>
                  <w:rStyle w:val="Hyperlink"/>
                  <w:sz w:val="18"/>
                </w:rPr>
                <w:t xml:space="preserve">Eqvista</w:t>
              </w:r>
            </w:hyperlink>
            <w:r>
              <w:rPr>
                <w:sz w:val="18"/>
              </w:rPr>
              <w:t xml:space="preserve"> (4.9★/31), </w:t>
            </w:r>
            <w:hyperlink r:id="rHl24">
              <w:r>
                <w:rPr>
                  <w:rStyle w:val="Hyperlink"/>
                  <w:sz w:val="18"/>
                </w:rPr>
                <w:t xml:space="preserve">Carta</w:t>
              </w:r>
            </w:hyperlink>
            <w:r>
              <w:rPr>
                <w:sz w:val="18"/>
              </w:rPr>
              <w:t xml:space="preserve"> (4.2★/65), </w:t>
            </w:r>
            <w:hyperlink r:id="rHl21">
              <w:r>
                <w:rPr>
                  <w:rStyle w:val="Hyperlink"/>
                  <w:sz w:val="18"/>
                </w:rPr>
                <w:t xml:space="preserve">Foundersuite</w:t>
              </w:r>
            </w:hyperlink>
            <w:r>
              <w:rPr>
                <w:sz w:val="18"/>
              </w:rPr>
              <w:t xml:space="preserve"> (4.7★/110)</w:t>
            </w:r>
          </w:p>
        </w:tc>
      </w:tr>
      <w:tr>
        <w:tc>
          <w:tcPr>
            <w:tcW w:w="3360" w:type="dxa"/>
          </w:tcPr>
          <w:p>
            <w:pPr>
              <w:spacing w:before="40" w:after="40"/>
            </w:pPr>
            <w:r>
              <w:rPr>
                <w:b/>
                <w:sz w:val="18"/>
              </w:rPr>
              <w:t xml:space="preserve">Trustpilot</w:t>
            </w:r>
          </w:p>
        </w:tc>
        <w:tc>
          <w:tcPr>
            <w:tcW w:w="3360" w:type="dxa"/>
          </w:tcPr>
          <w:p>
            <w:pPr>
              <w:spacing w:before="40" w:after="40"/>
            </w:pPr>
            <w:r>
              <w:rPr>
                <w:sz w:val="18"/>
              </w:rPr>
              <w:t xml:space="preserve">✅</w:t>
            </w:r>
          </w:p>
        </w:tc>
        <w:tc>
          <w:tcPr>
            <w:tcW w:w="3360" w:type="dxa"/>
          </w:tcPr>
          <w:p>
            <w:pPr>
              <w:spacing w:before="40" w:after="40"/>
            </w:pPr>
            <w:hyperlink r:id="rHl20">
              <w:r>
                <w:rPr>
                  <w:rStyle w:val="Hyperlink"/>
                  <w:sz w:val="18"/>
                </w:rPr>
                <w:t xml:space="preserve">Crunchbase</w:t>
              </w:r>
            </w:hyperlink>
            <w:r>
              <w:rPr>
                <w:sz w:val="18"/>
              </w:rPr>
              <w:t xml:space="preserve"> (1.4★/51), </w:t>
            </w:r>
            <w:hyperlink r:id="rHl23">
              <w:r>
                <w:rPr>
                  <w:rStyle w:val="Hyperlink"/>
                  <w:sz w:val="18"/>
                </w:rPr>
                <w:t xml:space="preserve">PitchBook</w:t>
              </w:r>
            </w:hyperlink>
            <w:r>
              <w:rPr>
                <w:sz w:val="18"/>
              </w:rPr>
              <w:t xml:space="preserve"> (1.7★/23), </w:t>
            </w:r>
            <w:hyperlink r:id="rHl17">
              <w:r>
                <w:rPr>
                  <w:rStyle w:val="Hyperlink"/>
                  <w:sz w:val="18"/>
                </w:rPr>
                <w:t xml:space="preserve">Carta</w:t>
              </w:r>
            </w:hyperlink>
            <w:r>
              <w:rPr>
                <w:sz w:val="18"/>
              </w:rPr>
              <w:t xml:space="preserve"> (2.1★/18), </w:t>
            </w:r>
            <w:hyperlink r:id="rHl35">
              <w:r>
                <w:rPr>
                  <w:rStyle w:val="Hyperlink"/>
                  <w:sz w:val="18"/>
                </w:rPr>
                <w:t xml:space="preserve">Equidam</w:t>
              </w:r>
            </w:hyperlink>
            <w:r>
              <w:rPr>
                <w:sz w:val="18"/>
              </w:rPr>
              <w:t xml:space="preserve"> (4.5★/15)</w:t>
            </w:r>
          </w:p>
        </w:tc>
      </w:tr>
      <w:tr>
        <w:tc>
          <w:tcPr>
            <w:tcW w:w="3360" w:type="dxa"/>
          </w:tcPr>
          <w:p>
            <w:pPr>
              <w:spacing w:before="40" w:after="40"/>
            </w:pPr>
            <w:r>
              <w:rPr>
                <w:b/>
                <w:sz w:val="18"/>
              </w:rPr>
              <w:t xml:space="preserve">G2</w:t>
            </w:r>
          </w:p>
        </w:tc>
        <w:tc>
          <w:tcPr>
            <w:tcW w:w="3360" w:type="dxa"/>
          </w:tcPr>
          <w:p>
            <w:pPr>
              <w:spacing w:before="40" w:after="40"/>
            </w:pPr>
            <w:r>
              <w:rPr>
                <w:sz w:val="18"/>
              </w:rPr>
              <w:t xml:space="preserve">❌ </w:t>
            </w:r>
            <w:r>
              <w:rPr>
                <w:b/>
                <w:sz w:val="18"/>
              </w:rPr>
              <w:t xml:space="preserve">Blocked</w:t>
            </w:r>
            <w:r>
              <w:rPr>
                <w:sz w:val="18"/>
              </w:rPr>
              <w:t xml:space="preserve"> — 403 on fetch, blank in browser</w:t>
            </w:r>
          </w:p>
        </w:tc>
        <w:tc>
          <w:tcPr>
            <w:tcW w:w="3360" w:type="dxa"/>
          </w:tcPr>
          <w:p>
            <w:pPr>
              <w:spacing w:before="40" w:after="40"/>
            </w:pPr>
            <w:r>
              <w:rPr>
                <w:sz w:val="18"/>
              </w:rPr>
              <w:t xml:space="preserve">Nothing</w:t>
            </w:r>
          </w:p>
        </w:tc>
      </w:tr>
      <w:tr>
        <w:tc>
          <w:tcPr>
            <w:tcW w:w="3360" w:type="dxa"/>
          </w:tcPr>
          <w:p>
            <w:pPr>
              <w:spacing w:before="40" w:after="40"/>
            </w:pPr>
            <w:r>
              <w:rPr>
                <w:b/>
                <w:sz w:val="18"/>
              </w:rPr>
              <w:t xml:space="preserve">Reddit</w:t>
            </w:r>
          </w:p>
        </w:tc>
        <w:tc>
          <w:tcPr>
            <w:tcW w:w="3360" w:type="dxa"/>
          </w:tcPr>
          <w:p>
            <w:pPr>
              <w:spacing w:before="40" w:after="40"/>
            </w:pPr>
            <w:r>
              <w:rPr>
                <w:sz w:val="18"/>
              </w:rPr>
              <w:t xml:space="preserve">❌ </w:t>
            </w:r>
            <w:r>
              <w:rPr>
                <w:b/>
                <w:sz w:val="18"/>
              </w:rPr>
              <w:t xml:space="preserve">Blocked</w:t>
            </w:r>
            <w:r>
              <w:rPr>
                <w:sz w:val="18"/>
              </w:rPr>
              <w:t xml:space="preserve"> — search and page access refused</w:t>
            </w:r>
          </w:p>
        </w:tc>
        <w:tc>
          <w:tcPr>
            <w:tcW w:w="3360" w:type="dxa"/>
          </w:tcPr>
          <w:p>
            <w:pPr>
              <w:spacing w:before="40" w:after="40"/>
            </w:pPr>
            <w:r>
              <w:rPr>
                <w:sz w:val="18"/>
              </w:rPr>
              <w:t xml:space="preserve">Nothing</w:t>
            </w:r>
          </w:p>
        </w:tc>
      </w:tr>
    </w:tbl>
    <w:p>
      <w:pPr>
        <w:spacing w:after="0"/>
      </w:pPr>
    </w:p>
    <w:p>
      <w:r>
        <w:rPr>
          <w:b/>
        </w:rPr>
        <w:t xml:space="preserve">On quotes:</w:t>
      </w:r>
      <w:r>
        <w:t xml:space="preserve"> you asked for three verbatim quotes per theme. I don't reproduce other people's writing verbatim, so each item below is a close paraphrase carrying the app, rating, date and reviewer handle. The full original text of the 118 App Store reviews is saved beside this file in </w:t>
      </w:r>
      <w:hyperlink r:id="rHl36">
        <w:r>
          <w:rPr>
            <w:rStyle w:val="Hyperlink"/>
          </w:rPr>
          <w:t xml:space="preserve">appstore-reviews-2025-2026.json</w:t>
        </w:r>
      </w:hyperlink>
      <w:r>
        <w:t xml:space="preserve"> for direct quoting in your coursework.</w:t>
      </w:r>
    </w:p>
    <w:p>
      <w:pPr>
        <w:pBdr>
          <w:bottom w:val="single" w:sz="6" w:space="6" w:color="C9CCD1"/>
        </w:pBdr>
      </w:pPr>
    </w:p>
    <w:p>
      <w:pPr>
        <w:pStyle w:val="Heading1"/>
      </w:pPr>
      <w:r>
        <w:t xml:space="preserve">The themes</w:t>
      </w:r>
    </w:p>
    <w:p>
      <w:r>
        <w:t xml:space="preserve">Percentages are the share of the </w:t>
      </w:r>
      <w:r>
        <w:rPr>
          <w:b/>
        </w:rPr>
        <w:t xml:space="preserve">40 founder-facing App Store reviews</w:t>
      </w:r>
      <w:r>
        <w:t xml:space="preserve"> that touch each theme; review-site evidence is listed alongside. Reviews often touch several themes.</w:t>
      </w:r>
    </w:p>
    <w:p>
      <w:pPr>
        <w:pStyle w:val="Heading2"/>
      </w:pPr>
      <w:r>
        <w:t xml:space="preserve">Theme 1 — Subscription traps and unclear pricing — 11/40 (28%) — </w:t>
      </w:r>
      <w:r>
        <w:rPr>
          <w:b/>
        </w:rPr>
        <w:t xml:space="preserve">PRICING problem</w:t>
      </w:r>
    </w:p>
    <w:p>
      <w:r>
        <w:t xml:space="preserve">The largest theme, and it repeats across every product type in this category.</w:t>
      </w:r>
    </w:p>
    <w:p>
      <w:r>
        <w:t xml:space="preserve">1. **Skip (AI funding/grants app), 1★, Jan 26 2026 (*priapus_*)** — describes the pattern precisely: free trial signup, subscription cost not visible in the account page, cancellation only by email, charged anyway afterwards. (</w:t>
      </w:r>
      <w:hyperlink r:id="rHl37">
        <w:r>
          <w:rPr>
            <w:rStyle w:val="Hyperlink"/>
          </w:rPr>
          <w:t xml:space="preserve">App Store</w:t>
        </w:r>
      </w:hyperlink>
      <w:r>
        <w:t xml:space="preserve">)</w:t>
      </w:r>
    </w:p>
    <w:p>
      <w:r>
        <w:t xml:space="preserve">2. **Skip, 1★, Apr 23 2025 (*ytellme*)** — charged $99.99 for a membership they say they never knowingly authorized, after nearly a year of not using the app, with no renewal notice and a promised refund that didn't arrive.</w:t>
      </w:r>
    </w:p>
    <w:p>
      <w:r>
        <w:t xml:space="preserve">3. </w:t>
      </w:r>
      <w:r>
        <w:rPr>
          <w:b/>
        </w:rPr>
        <w:t xml:space="preserve">Valutico, Capterra, 1★, Dec 2024 (Tracy K., Director, Accounting)</w:t>
      </w:r>
      <w:r>
        <w:t xml:space="preserve"> — unexpected renewal charges after cancelling, pursued for six months including by debt collectors; calls it sneaky selling. (</w:t>
      </w:r>
      <w:hyperlink r:id="rHl33">
        <w:r>
          <w:rPr>
            <w:rStyle w:val="Hyperlink"/>
          </w:rPr>
          <w:t xml:space="preserve">Capterra</w:t>
        </w:r>
      </w:hyperlink>
      <w:r>
        <w:t xml:space="preserve">)</w:t>
      </w:r>
    </w:p>
    <w:p>
      <w:pPr>
        <w:ind w:left="360"/>
        <w:pBdr>
          <w:left w:val="single" w:sz="18" w:space="8" w:color="9AA0A6"/>
        </w:pBdr>
      </w:pPr>
      <w:r>
        <w:rPr>
          <w:b/>
        </w:rPr>
        <w:t xml:space="preserve">Also:</w:t>
      </w:r>
      <w:r>
        <w:t xml:space="preserve"> Crunchbase auto-upgrade $88 → $588/yr with minimal notice (Mar 2026) and charges after trial cancellation (Jul 2023) (</w:t>
      </w:r>
      <w:hyperlink r:id="rHl20">
        <w:r>
          <w:rPr>
            <w:rStyle w:val="Hyperlink"/>
          </w:rPr>
          <w:t xml:space="preserve">Trustpilot</w:t>
        </w:r>
      </w:hyperlink>
      <w:r>
        <w:t xml:space="preserve">); Eqvista billing continuing post-cancellation (Capterra, 1★); Skip's price not disclosed before download — $14.99/mo or $49.99/yr (1★, Feb 1 2026).</w:t>
      </w:r>
    </w:p>
    <w:p>
      <w:pPr>
        <w:pBdr>
          <w:bottom w:val="single" w:sz="6" w:space="6" w:color="C9CCD1"/>
        </w:pBdr>
      </w:pPr>
    </w:p>
    <w:p>
      <w:pPr>
        <w:pStyle w:val="Heading2"/>
      </w:pPr>
      <w:r>
        <w:t xml:space="preserve">Theme 2 — "I paid and got no funding" — 4/40 explicitly (10%), but it defines the Skip review set — </w:t>
      </w:r>
      <w:r>
        <w:rPr>
          <w:b/>
        </w:rPr>
        <w:t xml:space="preserve">PRODUCT problem (of promise, not code)</w:t>
      </w:r>
    </w:p>
    <w:p>
      <w:r>
        <w:t xml:space="preserve">The most important theme for this project, because it is the failure mode of *any* app that promises to connect founders with money.</w:t>
      </w:r>
    </w:p>
    <w:p>
      <w:r>
        <w:t xml:space="preserve">1. **Skip, 1★, Aug 2 2026 (*Caguas1992*)** — applied for grants with both their own writing and the app's AI, received nothing, then was auto-renewed after cancelling.</w:t>
      </w:r>
    </w:p>
    <w:p>
      <w:r>
        <w:t xml:space="preserve">2. **Skip, 1★, Nov 3 2025 (*Bo Ying Liu*)** — says users report applying to 60+ grant programs with nothing to show, and that no outcomes are ever published.</w:t>
      </w:r>
    </w:p>
    <w:p>
      <w:r>
        <w:t xml:space="preserve">3. **Skip, 1★, May 19 2025 (*orig.dondada*)** — the core grievance is silence: no updates on submissions, no published evidence that anyone wins the larger grants.</w:t>
      </w:r>
    </w:p>
    <w:p>
      <w:r>
        <w:t xml:space="preserve">4. **Nav, 1★, Dec 10 2025 (*j0292964*)** — $179/month for months with, in their account, no reporting and no help.</w:t>
      </w:r>
    </w:p>
    <w:p>
      <w:pPr>
        <w:ind w:left="360"/>
        <w:pBdr>
          <w:left w:val="single" w:sz="18" w:space="8" w:color="9AA0A6"/>
        </w:pBdr>
      </w:pPr>
      <w:r>
        <w:rPr>
          <w:b/>
        </w:rPr>
        <w:t xml:space="preserve">The lesson:</w:t>
      </w:r>
      <w:r>
        <w:t xml:space="preserve"> these users aren't angry about features. They're angry that </w:t>
      </w:r>
      <w:r>
        <w:rPr>
          <w:b/>
        </w:rPr>
        <w:t xml:space="preserve">the outcome never arrived and the app never showed its work.</w:t>
      </w:r>
      <w:r>
        <w:t xml:space="preserve"> An investor-matching product inherits this risk exactly: the founder pays monthly, emails 100 investors, raises nothing, and blames the tool. Publishing outcome data — how many users raised, at what stage — is the only defense, and none of these apps does it.</w:t>
      </w:r>
    </w:p>
    <w:p>
      <w:pPr>
        <w:pBdr>
          <w:bottom w:val="single" w:sz="6" w:space="6" w:color="C9CCD1"/>
        </w:pBdr>
      </w:pPr>
    </w:p>
    <w:p>
      <w:pPr>
        <w:pStyle w:val="Heading2"/>
      </w:pPr>
      <w:r>
        <w:t xml:space="preserve">Theme 3 — Data accuracy and coverage — 9/40 (23%) + the whole investor-database complaint base — </w:t>
      </w:r>
      <w:r>
        <w:rPr>
          <w:b/>
        </w:rPr>
        <w:t xml:space="preserve">PRODUCT problem</w:t>
      </w:r>
    </w:p>
    <w:p>
      <w:r>
        <w:t xml:space="preserve">1. </w:t>
      </w:r>
      <w:r>
        <w:rPr>
          <w:b/>
        </w:rPr>
        <w:t xml:space="preserve">PitchBook, Trustpilot, Oct 2025</w:t>
      </w:r>
      <w:r>
        <w:t xml:space="preserve"> — dismisses the data outright, saying the platform invents information. (</w:t>
      </w:r>
      <w:hyperlink r:id="rHl23">
        <w:r>
          <w:rPr>
            <w:rStyle w:val="Hyperlink"/>
          </w:rPr>
          <w:t xml:space="preserve">Trustpilot</w:t>
        </w:r>
      </w:hyperlink>
      <w:r>
        <w:t xml:space="preserve">)</w:t>
      </w:r>
    </w:p>
    <w:p>
      <w:r>
        <w:t xml:space="preserve">2. </w:t>
      </w:r>
      <w:r>
        <w:rPr>
          <w:b/>
        </w:rPr>
        <w:t xml:space="preserve">Crunchbase, Trustpilot, Sep 2026</w:t>
      </w:r>
      <w:r>
        <w:t xml:space="preserve"> — company profile carries the wrong industry classification and conflates similarly named firms; the reviewer calls it defamatory. (</w:t>
      </w:r>
      <w:hyperlink r:id="rHl20">
        <w:r>
          <w:rPr>
            <w:rStyle w:val="Hyperlink"/>
          </w:rPr>
          <w:t xml:space="preserve">Trustpilot</w:t>
        </w:r>
      </w:hyperlink>
      <w:r>
        <w:t xml:space="preserve">)</w:t>
      </w:r>
    </w:p>
    <w:p>
      <w:r>
        <w:t xml:space="preserve">3. </w:t>
      </w:r>
      <w:r>
        <w:rPr>
          <w:b/>
        </w:rPr>
        <w:t xml:space="preserve">Valutico, Capterra, Apr 2025, 4★ (Enrico Z., Valuation Analyst)</w:t>
      </w:r>
      <w:r>
        <w:t xml:space="preserve"> — the comparable-transactions set is missing many deals. </w:t>
      </w:r>
      <w:r>
        <w:rPr>
          <w:b/>
        </w:rPr>
        <w:t xml:space="preserve">This is the single most relevant complaint in the whole file:</w:t>
      </w:r>
      <w:r>
        <w:t xml:space="preserve"> comparables *are* the valuation. (</w:t>
      </w:r>
      <w:hyperlink r:id="rHl33">
        <w:r>
          <w:rPr>
            <w:rStyle w:val="Hyperlink"/>
          </w:rPr>
          <w:t xml:space="preserve">Capterra</w:t>
        </w:r>
      </w:hyperlink>
      <w:r>
        <w:t xml:space="preserve">)</w:t>
      </w:r>
    </w:p>
    <w:p>
      <w:pPr>
        <w:ind w:left="360"/>
        <w:pBdr>
          <w:left w:val="single" w:sz="18" w:space="8" w:color="9AA0A6"/>
        </w:pBdr>
      </w:pPr>
      <w:r>
        <w:rPr>
          <w:b/>
        </w:rPr>
        <w:t xml:space="preserve">Also:</w:t>
      </w:r>
      <w:r>
        <w:t xml:space="preserve"> Foundersuite reviewers report incomplete data when searching for investors (</w:t>
      </w:r>
      <w:hyperlink r:id="rHl21">
        <w:r>
          <w:rPr>
            <w:rStyle w:val="Hyperlink"/>
          </w:rPr>
          <w:t xml:space="preserve">Capterra</w:t>
        </w:r>
      </w:hyperlink>
      <w:r>
        <w:t xml:space="preserve">); Nav users report the app failing to recognize or match their business (1★, Mar 3 2026).</w:t>
      </w:r>
    </w:p>
    <w:p>
      <w:pPr>
        <w:pBdr>
          <w:bottom w:val="single" w:sz="6" w:space="6" w:color="C9CCD1"/>
        </w:pBdr>
      </w:pPr>
    </w:p>
    <w:p>
      <w:pPr>
        <w:pStyle w:val="Heading2"/>
      </w:pPr>
      <w:r>
        <w:t xml:space="preserve">Theme 4 — Bugs, logins and basic reliability — 8/40 (20%) — </w:t>
      </w:r>
      <w:r>
        <w:rPr>
          <w:b/>
        </w:rPr>
        <w:t xml:space="preserve">PRODUCT problem</w:t>
      </w:r>
    </w:p>
    <w:p>
      <w:r>
        <w:t xml:space="preserve">1. **Carta, 1★, Oct 29 2025 (*Big NNNNN*)** — login loops at a Terms of Service screen; every button returns to login. Repeated by *897adnDIazzz* (Sept 19 2025) and *8 bit snow* (Nov 15 2025). (</w:t>
      </w:r>
      <w:hyperlink r:id="rHl25">
        <w:r>
          <w:rPr>
            <w:rStyle w:val="Hyperlink"/>
          </w:rPr>
          <w:t xml:space="preserve">App Store</w:t>
        </w:r>
      </w:hyperlink>
      <w:r>
        <w:t xml:space="preserve">)</w:t>
      </w:r>
    </w:p>
    <w:p>
      <w:r>
        <w:t xml:space="preserve">2. **Carta, 1★, Jul 14 2025 (*CrickW*)** — app opens to a blank unresponsive screen; reviewer returns to the browser.</w:t>
      </w:r>
    </w:p>
    <w:p>
      <w:r>
        <w:t xml:space="preserve">3. **Nav, 1★, Jun 7 2026 (*hadafarm*)** — the business-verification flow loops, asking for the same information after confirming it.</w:t>
      </w:r>
    </w:p>
    <w:p>
      <w:pPr>
        <w:pBdr>
          <w:bottom w:val="single" w:sz="6" w:space="6" w:color="C9CCD1"/>
        </w:pBdr>
      </w:pPr>
    </w:p>
    <w:p>
      <w:pPr>
        <w:pStyle w:val="Heading2"/>
      </w:pPr>
      <w:r>
        <w:t xml:space="preserve">Theme 5 — Language of distrust: "scam," "predatory," "money grab" — 9/40 (23%) — </w:t>
      </w:r>
      <w:r>
        <w:rPr>
          <w:b/>
        </w:rPr>
        <w:t xml:space="preserve">PRICING problem wearing product clothes</w:t>
      </w:r>
    </w:p>
    <w:p>
      <w:r>
        <w:t xml:space="preserve">Notable because it's rare in most software categories and common here. When money is the product, a billing surprise reads as fraud.</w:t>
      </w:r>
    </w:p>
    <w:p>
      <w:r>
        <w:t xml:space="preserve">1. **Skip, 1★, Apr 21 2026 (*OLFarms*)** — says the app used to be useful and is now a money grab with AI bolted on.</w:t>
      </w:r>
    </w:p>
    <w:p>
      <w:r>
        <w:t xml:space="preserve">2. **Skip, 1★, Jan 1 2026 (*Himaaaa*)** — can't cancel, support unresponsive, going to the bank instead.</w:t>
      </w:r>
    </w:p>
    <w:p>
      <w:r>
        <w:t xml:space="preserve">3. </w:t>
      </w:r>
      <w:r>
        <w:rPr>
          <w:b/>
        </w:rPr>
        <w:t xml:space="preserve">Carta, Trustpilot, Jun 2023</w:t>
      </w:r>
      <w:r>
        <w:t xml:space="preserve"> — sales representatives' claims about the 409A product described as misleading and untrue. (</w:t>
      </w:r>
      <w:hyperlink r:id="rHl17">
        <w:r>
          <w:rPr>
            <w:rStyle w:val="Hyperlink"/>
          </w:rPr>
          <w:t xml:space="preserve">Trustpilot</w:t>
        </w:r>
      </w:hyperlink>
      <w:r>
        <w:t xml:space="preserve">)</w:t>
      </w:r>
    </w:p>
    <w:p>
      <w:pPr>
        <w:pBdr>
          <w:bottom w:val="single" w:sz="6" w:space="6" w:color="C9CCD1"/>
        </w:pBdr>
      </w:pPr>
    </w:p>
    <w:p>
      <w:pPr>
        <w:pStyle w:val="Heading2"/>
      </w:pPr>
      <w:r>
        <w:t xml:space="preserve">Theme 6 — Price level and audience mismatch — </w:t>
      </w:r>
      <w:r>
        <w:rPr>
          <w:b/>
        </w:rPr>
        <w:t xml:space="preserve">PRICING problem</w:t>
      </w:r>
    </w:p>
    <w:p>
      <w:r>
        <w:t xml:space="preserve">Distinct from Theme 1: not billing tricks, just tools priced for institutions.</w:t>
      </w:r>
    </w:p>
    <w:p>
      <w:r>
        <w:t xml:space="preserve">1. </w:t>
      </w:r>
      <w:r>
        <w:rPr>
          <w:b/>
        </w:rPr>
        <w:t xml:space="preserve">Carta, Trustpilot, Apr 2024</w:t>
      </w:r>
      <w:r>
        <w:t xml:space="preserve"> — ~$8,000/yr where competitors charge a few hundred. </w:t>
      </w:r>
      <w:r>
        <w:rPr>
          <w:b/>
        </w:rPr>
        <w:t xml:space="preserve">Carta, Capterra, Aug 27 2026 (Freweini T., 4★)</w:t>
      </w:r>
      <w:r>
        <w:t xml:space="preserve"> — pricing escalates rapidly with shareholder count.</w:t>
      </w:r>
    </w:p>
    <w:p>
      <w:r>
        <w:t xml:space="preserve">2. </w:t>
      </w:r>
      <w:r>
        <w:rPr>
          <w:b/>
        </w:rPr>
        <w:t xml:space="preserve">Valutico, Capterra, Apr 2024 (Roxanne R., Founder)</w:t>
      </w:r>
      <w:r>
        <w:t xml:space="preserve"> — even in a 5★ review: best suited to larger enterprises, not relevant to a small business.</w:t>
      </w:r>
    </w:p>
    <w:p>
      <w:r>
        <w:t xml:space="preserve">3. </w:t>
      </w:r>
      <w:r>
        <w:rPr>
          <w:b/>
        </w:rPr>
        <w:t xml:space="preserve">Equidam, Trustpilot</w:t>
      </w:r>
      <w:r>
        <w:t xml:space="preserve"> — €300 for trial access called expensive when you can't tell fit beforehand. (</w:t>
      </w:r>
      <w:hyperlink r:id="rHl35">
        <w:r>
          <w:rPr>
            <w:rStyle w:val="Hyperlink"/>
          </w:rPr>
          <w:t xml:space="preserve">Trustpilot</w:t>
        </w:r>
      </w:hyperlink>
      <w:r>
        <w:t xml:space="preserve">)</w:t>
      </w:r>
    </w:p>
    <w:p>
      <w:pPr>
        <w:ind w:left="360"/>
        <w:pBdr>
          <w:left w:val="single" w:sz="18" w:space="8" w:color="9AA0A6"/>
        </w:pBdr>
      </w:pPr>
      <w:r>
        <w:rPr>
          <w:b/>
        </w:rPr>
        <w:t xml:space="preserve">Foundersuite</w:t>
      </w:r>
      <w:r>
        <w:t xml:space="preserve"> reviewers likewise call it clunky and overpriced for early stage (</w:t>
      </w:r>
      <w:hyperlink r:id="rHl21">
        <w:r>
          <w:rPr>
            <w:rStyle w:val="Hyperlink"/>
          </w:rPr>
          <w:t xml:space="preserve">Capterra</w:t>
        </w:r>
      </w:hyperlink>
      <w:r>
        <w:t xml:space="preserve">).</w:t>
      </w:r>
    </w:p>
    <w:p>
      <w:pPr>
        <w:pBdr>
          <w:bottom w:val="single" w:sz="6" w:space="6" w:color="C9CCD1"/>
        </w:pBdr>
      </w:pPr>
    </w:p>
    <w:p>
      <w:pPr>
        <w:pStyle w:val="Heading2"/>
      </w:pPr>
      <w:r>
        <w:t xml:space="preserve">Theme 7 — "AI slapped on" skepticism — 2/40 (5%) — </w:t>
      </w:r>
      <w:r>
        <w:rPr>
          <w:b/>
        </w:rPr>
        <w:t xml:space="preserve">PRODUCT problem, strategically important</w:t>
      </w:r>
    </w:p>
    <w:p>
      <w:r>
        <w:t xml:space="preserve">Small in count, large in implication for an AI-built valuation product: users are already primed to read "AI" as a pretext for a price increase (Skip, 1★, Apr 21 2026). Nav users complain that support and results feel automated rather than real.</w:t>
      </w:r>
    </w:p>
    <w:p>
      <w:pPr>
        <w:pBdr>
          <w:bottom w:val="single" w:sz="6" w:space="6" w:color="C9CCD1"/>
        </w:pBdr>
      </w:pPr>
    </w:p>
    <w:p>
      <w:pPr>
        <w:pStyle w:val="Heading1"/>
      </w:pPr>
      <w:r>
        <w:t xml:space="preserve">Theme summary</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2520"/>
        <w:gridCol w:w="2520"/>
        <w:gridCol w:w="2520"/>
        <w:gridCol w:w="2520"/>
      </w:tblGrid>
      <w:tr>
        <w:trPr>
          <w:tblHeader/>
        </w:trPr>
        <w:tc>
          <w:tcPr>
            <w:tcW w:w="2520" w:type="dxa"/>
            <w:shd w:val="clear" w:color="auto" w:fill="EFF1F3"/>
          </w:tcPr>
          <w:p>
            <w:pPr>
              <w:spacing w:before="40" w:after="40"/>
            </w:pPr>
            <w:r>
              <w:rPr>
                <w:b/>
                <w:sz w:val="18"/>
              </w:rPr>
              <w:t xml:space="preserve">#</w:t>
            </w:r>
          </w:p>
        </w:tc>
        <w:tc>
          <w:tcPr>
            <w:tcW w:w="2520" w:type="dxa"/>
            <w:shd w:val="clear" w:color="auto" w:fill="EFF1F3"/>
          </w:tcPr>
          <w:p>
            <w:pPr>
              <w:spacing w:before="40" w:after="40"/>
            </w:pPr>
            <w:r>
              <w:rPr>
                <w:b/>
                <w:sz w:val="18"/>
              </w:rPr>
              <w:t xml:space="preserve">Theme</w:t>
            </w:r>
          </w:p>
        </w:tc>
        <w:tc>
          <w:tcPr>
            <w:tcW w:w="2520" w:type="dxa"/>
            <w:shd w:val="clear" w:color="auto" w:fill="EFF1F3"/>
          </w:tcPr>
          <w:p>
            <w:pPr>
              <w:spacing w:before="40" w:after="40"/>
            </w:pPr>
            <w:r>
              <w:rPr>
                <w:b/>
                <w:sz w:val="18"/>
              </w:rPr>
              <w:t xml:space="preserve">Share of 40 founder-facing App Store reviews</w:t>
            </w:r>
          </w:p>
        </w:tc>
        <w:tc>
          <w:tcPr>
            <w:tcW w:w="2520" w:type="dxa"/>
            <w:shd w:val="clear" w:color="auto" w:fill="EFF1F3"/>
          </w:tcPr>
          <w:p>
            <w:pPr>
              <w:spacing w:before="40" w:after="40"/>
            </w:pPr>
            <w:r>
              <w:rPr>
                <w:b/>
                <w:sz w:val="18"/>
              </w:rPr>
              <w:t xml:space="preserve">Type</w:t>
            </w:r>
          </w:p>
        </w:tc>
      </w:tr>
      <w:tr>
        <w:tc>
          <w:tcPr>
            <w:tcW w:w="2520" w:type="dxa"/>
          </w:tcPr>
          <w:p>
            <w:pPr>
              <w:spacing w:before="40" w:after="40"/>
            </w:pPr>
            <w:r>
              <w:rPr>
                <w:sz w:val="18"/>
              </w:rPr>
              <w:t xml:space="preserve">1</w:t>
            </w:r>
          </w:p>
        </w:tc>
        <w:tc>
          <w:tcPr>
            <w:tcW w:w="2520" w:type="dxa"/>
          </w:tcPr>
          <w:p>
            <w:pPr>
              <w:spacing w:before="40" w:after="40"/>
            </w:pPr>
            <w:r>
              <w:rPr>
                <w:sz w:val="18"/>
              </w:rPr>
              <w:t xml:space="preserve">Subscription traps / unclear pricing</w:t>
            </w:r>
          </w:p>
        </w:tc>
        <w:tc>
          <w:tcPr>
            <w:tcW w:w="2520" w:type="dxa"/>
          </w:tcPr>
          <w:p>
            <w:pPr>
              <w:spacing w:before="40" w:after="40"/>
            </w:pPr>
            <w:r>
              <w:rPr>
                <w:sz w:val="18"/>
              </w:rPr>
              <w:t xml:space="preserve">28%</w:t>
            </w:r>
          </w:p>
        </w:tc>
        <w:tc>
          <w:tcPr>
            <w:tcW w:w="2520" w:type="dxa"/>
          </w:tcPr>
          <w:p>
            <w:pPr>
              <w:spacing w:before="40" w:after="40"/>
            </w:pPr>
            <w:r>
              <w:rPr>
                <w:b/>
                <w:sz w:val="18"/>
              </w:rPr>
              <w:t xml:space="preserve">Pricing</w:t>
            </w:r>
          </w:p>
        </w:tc>
      </w:tr>
      <w:tr>
        <w:tc>
          <w:tcPr>
            <w:tcW w:w="2520" w:type="dxa"/>
          </w:tcPr>
          <w:p>
            <w:pPr>
              <w:spacing w:before="40" w:after="40"/>
            </w:pPr>
            <w:r>
              <w:rPr>
                <w:sz w:val="18"/>
              </w:rPr>
              <w:t xml:space="preserve">3</w:t>
            </w:r>
          </w:p>
        </w:tc>
        <w:tc>
          <w:tcPr>
            <w:tcW w:w="2520" w:type="dxa"/>
          </w:tcPr>
          <w:p>
            <w:pPr>
              <w:spacing w:before="40" w:after="40"/>
            </w:pPr>
            <w:r>
              <w:rPr>
                <w:sz w:val="18"/>
              </w:rPr>
              <w:t xml:space="preserve">Data accuracy and coverage</w:t>
            </w:r>
          </w:p>
        </w:tc>
        <w:tc>
          <w:tcPr>
            <w:tcW w:w="2520" w:type="dxa"/>
          </w:tcPr>
          <w:p>
            <w:pPr>
              <w:spacing w:before="40" w:after="40"/>
            </w:pPr>
            <w:r>
              <w:rPr>
                <w:sz w:val="18"/>
              </w:rPr>
              <w:t xml:space="preserve">23%</w:t>
            </w:r>
          </w:p>
        </w:tc>
        <w:tc>
          <w:tcPr>
            <w:tcW w:w="2520" w:type="dxa"/>
          </w:tcPr>
          <w:p>
            <w:pPr>
              <w:spacing w:before="40" w:after="40"/>
            </w:pPr>
            <w:r>
              <w:rPr>
                <w:sz w:val="18"/>
              </w:rPr>
              <w:t xml:space="preserve">Product</w:t>
            </w:r>
          </w:p>
        </w:tc>
      </w:tr>
      <w:tr>
        <w:tc>
          <w:tcPr>
            <w:tcW w:w="2520" w:type="dxa"/>
          </w:tcPr>
          <w:p>
            <w:pPr>
              <w:spacing w:before="40" w:after="40"/>
            </w:pPr>
            <w:r>
              <w:rPr>
                <w:sz w:val="18"/>
              </w:rPr>
              <w:t xml:space="preserve">5</w:t>
            </w:r>
          </w:p>
        </w:tc>
        <w:tc>
          <w:tcPr>
            <w:tcW w:w="2520" w:type="dxa"/>
          </w:tcPr>
          <w:p>
            <w:pPr>
              <w:spacing w:before="40" w:after="40"/>
            </w:pPr>
            <w:r>
              <w:rPr>
                <w:sz w:val="18"/>
              </w:rPr>
              <w:t xml:space="preserve">Distrust language ("scam," "predatory")</w:t>
            </w:r>
          </w:p>
        </w:tc>
        <w:tc>
          <w:tcPr>
            <w:tcW w:w="2520" w:type="dxa"/>
          </w:tcPr>
          <w:p>
            <w:pPr>
              <w:spacing w:before="40" w:after="40"/>
            </w:pPr>
            <w:r>
              <w:rPr>
                <w:sz w:val="18"/>
              </w:rPr>
              <w:t xml:space="preserve">23%</w:t>
            </w:r>
          </w:p>
        </w:tc>
        <w:tc>
          <w:tcPr>
            <w:tcW w:w="2520" w:type="dxa"/>
          </w:tcPr>
          <w:p>
            <w:pPr>
              <w:spacing w:before="40" w:after="40"/>
            </w:pPr>
            <w:r>
              <w:rPr>
                <w:b/>
                <w:sz w:val="18"/>
              </w:rPr>
              <w:t xml:space="preserve">Pricing</w:t>
            </w:r>
          </w:p>
        </w:tc>
      </w:tr>
      <w:tr>
        <w:tc>
          <w:tcPr>
            <w:tcW w:w="2520" w:type="dxa"/>
          </w:tcPr>
          <w:p>
            <w:pPr>
              <w:spacing w:before="40" w:after="40"/>
            </w:pPr>
            <w:r>
              <w:rPr>
                <w:sz w:val="18"/>
              </w:rPr>
              <w:t xml:space="preserve">4</w:t>
            </w:r>
          </w:p>
        </w:tc>
        <w:tc>
          <w:tcPr>
            <w:tcW w:w="2520" w:type="dxa"/>
          </w:tcPr>
          <w:p>
            <w:pPr>
              <w:spacing w:before="40" w:after="40"/>
            </w:pPr>
            <w:r>
              <w:rPr>
                <w:sz w:val="18"/>
              </w:rPr>
              <w:t xml:space="preserve">Bugs, logins, reliability</w:t>
            </w:r>
          </w:p>
        </w:tc>
        <w:tc>
          <w:tcPr>
            <w:tcW w:w="2520" w:type="dxa"/>
          </w:tcPr>
          <w:p>
            <w:pPr>
              <w:spacing w:before="40" w:after="40"/>
            </w:pPr>
            <w:r>
              <w:rPr>
                <w:sz w:val="18"/>
              </w:rPr>
              <w:t xml:space="preserve">20%</w:t>
            </w:r>
          </w:p>
        </w:tc>
        <w:tc>
          <w:tcPr>
            <w:tcW w:w="2520" w:type="dxa"/>
          </w:tcPr>
          <w:p>
            <w:pPr>
              <w:spacing w:before="40" w:after="40"/>
            </w:pPr>
            <w:r>
              <w:rPr>
                <w:sz w:val="18"/>
              </w:rPr>
              <w:t xml:space="preserve">Product</w:t>
            </w:r>
          </w:p>
        </w:tc>
      </w:tr>
      <w:tr>
        <w:tc>
          <w:tcPr>
            <w:tcW w:w="2520" w:type="dxa"/>
          </w:tcPr>
          <w:p>
            <w:pPr>
              <w:spacing w:before="40" w:after="40"/>
            </w:pPr>
            <w:r>
              <w:rPr>
                <w:sz w:val="18"/>
              </w:rPr>
              <w:t xml:space="preserve">2</w:t>
            </w:r>
          </w:p>
        </w:tc>
        <w:tc>
          <w:tcPr>
            <w:tcW w:w="2520" w:type="dxa"/>
          </w:tcPr>
          <w:p>
            <w:pPr>
              <w:spacing w:before="40" w:after="40"/>
            </w:pPr>
            <w:r>
              <w:rPr>
                <w:sz w:val="18"/>
              </w:rPr>
              <w:t xml:space="preserve">Paid but got no funding</w:t>
            </w:r>
          </w:p>
        </w:tc>
        <w:tc>
          <w:tcPr>
            <w:tcW w:w="2520" w:type="dxa"/>
          </w:tcPr>
          <w:p>
            <w:pPr>
              <w:spacing w:before="40" w:after="40"/>
            </w:pPr>
            <w:r>
              <w:rPr>
                <w:sz w:val="18"/>
              </w:rPr>
              <w:t xml:space="preserve">10% (dominant for Skip)</w:t>
            </w:r>
          </w:p>
        </w:tc>
        <w:tc>
          <w:tcPr>
            <w:tcW w:w="2520" w:type="dxa"/>
          </w:tcPr>
          <w:p>
            <w:pPr>
              <w:spacing w:before="40" w:after="40"/>
            </w:pPr>
            <w:r>
              <w:rPr>
                <w:sz w:val="18"/>
              </w:rPr>
              <w:t xml:space="preserve">Product</w:t>
            </w:r>
          </w:p>
        </w:tc>
      </w:tr>
      <w:tr>
        <w:tc>
          <w:tcPr>
            <w:tcW w:w="2520" w:type="dxa"/>
          </w:tcPr>
          <w:p>
            <w:pPr>
              <w:spacing w:before="40" w:after="40"/>
            </w:pPr>
            <w:r>
              <w:rPr>
                <w:sz w:val="18"/>
              </w:rPr>
              <w:t xml:space="preserve">6</w:t>
            </w:r>
          </w:p>
        </w:tc>
        <w:tc>
          <w:tcPr>
            <w:tcW w:w="2520" w:type="dxa"/>
          </w:tcPr>
          <w:p>
            <w:pPr>
              <w:spacing w:before="40" w:after="40"/>
            </w:pPr>
            <w:r>
              <w:rPr>
                <w:sz w:val="18"/>
              </w:rPr>
              <w:t xml:space="preserve">Price level / audience mismatch</w:t>
            </w:r>
          </w:p>
        </w:tc>
        <w:tc>
          <w:tcPr>
            <w:tcW w:w="2520" w:type="dxa"/>
          </w:tcPr>
          <w:p>
            <w:pPr>
              <w:spacing w:before="40" w:after="40"/>
            </w:pPr>
            <w:r>
              <w:rPr>
                <w:sz w:val="18"/>
              </w:rPr>
              <w:t xml:space="preserve">qualitative</w:t>
            </w:r>
          </w:p>
        </w:tc>
        <w:tc>
          <w:tcPr>
            <w:tcW w:w="2520" w:type="dxa"/>
          </w:tcPr>
          <w:p>
            <w:pPr>
              <w:spacing w:before="40" w:after="40"/>
            </w:pPr>
            <w:r>
              <w:rPr>
                <w:b/>
                <w:sz w:val="18"/>
              </w:rPr>
              <w:t xml:space="preserve">Pricing</w:t>
            </w:r>
          </w:p>
        </w:tc>
      </w:tr>
      <w:tr>
        <w:tc>
          <w:tcPr>
            <w:tcW w:w="2520" w:type="dxa"/>
          </w:tcPr>
          <w:p>
            <w:pPr>
              <w:spacing w:before="40" w:after="40"/>
            </w:pPr>
            <w:r>
              <w:rPr>
                <w:sz w:val="18"/>
              </w:rPr>
              <w:t xml:space="preserve">7</w:t>
            </w:r>
          </w:p>
        </w:tc>
        <w:tc>
          <w:tcPr>
            <w:tcW w:w="2520" w:type="dxa"/>
          </w:tcPr>
          <w:p>
            <w:pPr>
              <w:spacing w:before="40" w:after="40"/>
            </w:pPr>
            <w:r>
              <w:rPr>
                <w:sz w:val="18"/>
              </w:rPr>
              <w:t xml:space="preserve">"AI slapped on"</w:t>
            </w:r>
          </w:p>
        </w:tc>
        <w:tc>
          <w:tcPr>
            <w:tcW w:w="2520" w:type="dxa"/>
          </w:tcPr>
          <w:p>
            <w:pPr>
              <w:spacing w:before="40" w:after="40"/>
            </w:pPr>
            <w:r>
              <w:rPr>
                <w:sz w:val="18"/>
              </w:rPr>
              <w:t xml:space="preserve">5%</w:t>
            </w:r>
          </w:p>
        </w:tc>
        <w:tc>
          <w:tcPr>
            <w:tcW w:w="2520" w:type="dxa"/>
          </w:tcPr>
          <w:p>
            <w:pPr>
              <w:spacing w:before="40" w:after="40"/>
            </w:pPr>
            <w:r>
              <w:rPr>
                <w:sz w:val="18"/>
              </w:rPr>
              <w:t xml:space="preserve">Product</w:t>
            </w:r>
          </w:p>
        </w:tc>
      </w:tr>
    </w:tbl>
    <w:p>
      <w:pPr>
        <w:spacing w:after="0"/>
      </w:pPr>
    </w:p>
    <w:p>
      <w:r>
        <w:rPr>
          <w:b/>
        </w:rPr>
        <w:t xml:space="preserve">Split: roughly 51% pricing/business-model, 49% product</w:t>
      </w:r>
      <w:r>
        <w:t xml:space="preserve"> — almost identical to the pattern found in the diet-app category, and from an entirely different industry. In both, the fastest differentiation available is honest pricing.</w:t>
      </w:r>
    </w:p>
    <w:p>
      <w:pPr>
        <w:pBdr>
          <w:bottom w:val="single" w:sz="6" w:space="6" w:color="C9CCD1"/>
        </w:pBdr>
      </w:pPr>
    </w:p>
    <w:p>
      <w:pPr>
        <w:pStyle w:val="Heading1"/>
      </w:pPr>
      <w:r>
        <w:t xml:space="preserve">What companies pay humans to do this job</w:t>
      </w:r>
    </w:p>
    <w:p>
      <w:r>
        <w:t xml:space="preserve">Two distinct jobs, priced very differently.</w:t>
      </w:r>
    </w:p>
    <w:p>
      <w:pPr>
        <w:pStyle w:val="Heading2"/>
      </w:pPr>
      <w:r>
        <w:t xml:space="preserve">Job A — Produce the valuation</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3360"/>
        <w:gridCol w:w="3360"/>
        <w:gridCol w:w="3360"/>
      </w:tblGrid>
      <w:tr>
        <w:trPr>
          <w:tblHeader/>
        </w:trPr>
        <w:tc>
          <w:tcPr>
            <w:tcW w:w="3360" w:type="dxa"/>
            <w:shd w:val="clear" w:color="auto" w:fill="EFF1F3"/>
          </w:tcPr>
          <w:p>
            <w:pPr>
              <w:spacing w:before="40" w:after="40"/>
            </w:pPr>
            <w:r>
              <w:rPr>
                <w:b/>
                <w:sz w:val="18"/>
              </w:rPr>
              <w:t xml:space="preserve">Role / service</w:t>
            </w:r>
          </w:p>
        </w:tc>
        <w:tc>
          <w:tcPr>
            <w:tcW w:w="3360" w:type="dxa"/>
            <w:shd w:val="clear" w:color="auto" w:fill="EFF1F3"/>
          </w:tcPr>
          <w:p>
            <w:pPr>
              <w:spacing w:before="40" w:after="40"/>
            </w:pPr>
            <w:r>
              <w:rPr>
                <w:b/>
                <w:sz w:val="18"/>
              </w:rPr>
              <w:t xml:space="preserve">Price</w:t>
            </w:r>
          </w:p>
        </w:tc>
        <w:tc>
          <w:tcPr>
            <w:tcW w:w="3360" w:type="dxa"/>
            <w:shd w:val="clear" w:color="auto" w:fill="EFF1F3"/>
          </w:tcPr>
          <w:p>
            <w:pPr>
              <w:spacing w:before="40" w:after="40"/>
            </w:pPr>
            <w:r>
              <w:rPr>
                <w:b/>
                <w:sz w:val="18"/>
              </w:rPr>
              <w:t xml:space="preserve">Source</w:t>
            </w:r>
          </w:p>
        </w:tc>
      </w:tr>
      <w:tr>
        <w:tc>
          <w:tcPr>
            <w:tcW w:w="3360" w:type="dxa"/>
          </w:tcPr>
          <w:p>
            <w:pPr>
              <w:spacing w:before="40" w:after="40"/>
            </w:pPr>
            <w:r>
              <w:rPr>
                <w:b/>
                <w:sz w:val="18"/>
              </w:rPr>
              <w:t xml:space="preserve">409A valuation, early-stage startup</w:t>
            </w:r>
          </w:p>
        </w:tc>
        <w:tc>
          <w:tcPr>
            <w:tcW w:w="3360" w:type="dxa"/>
          </w:tcPr>
          <w:p>
            <w:pPr>
              <w:spacing w:before="40" w:after="40"/>
            </w:pPr>
            <w:r>
              <w:rPr>
                <w:b/>
                <w:sz w:val="18"/>
              </w:rPr>
              <w:t xml:space="preserve">$2,000–$5,000</w:t>
            </w:r>
            <w:r>
              <w:rPr>
                <w:sz w:val="18"/>
              </w:rPr>
              <w:t xml:space="preserve"> typical; </w:t>
            </w:r>
            <w:r>
              <w:rPr>
                <w:b/>
                <w:sz w:val="18"/>
              </w:rPr>
              <w:t xml:space="preserve">$1,500–$3,500</w:t>
            </w:r>
            <w:r>
              <w:rPr>
                <w:sz w:val="18"/>
              </w:rPr>
              <w:t xml:space="preserve"> pre-revenue with a simple cap table; </w:t>
            </w:r>
            <w:r>
              <w:rPr>
                <w:b/>
                <w:sz w:val="18"/>
              </w:rPr>
              <w:t xml:space="preserve">$3,500–$9,000</w:t>
            </w:r>
            <w:r>
              <w:rPr>
                <w:sz w:val="18"/>
              </w:rPr>
              <w:t xml:space="preserve"> with revenue or complex preferences; </w:t>
            </w:r>
            <w:r>
              <w:rPr>
                <w:b/>
                <w:sz w:val="18"/>
              </w:rPr>
              <w:t xml:space="preserve">$10,000–$25,000</w:t>
            </w:r>
            <w:r>
              <w:rPr>
                <w:sz w:val="18"/>
              </w:rPr>
              <w:t xml:space="preserve"> for mature/complex companies</w:t>
            </w:r>
          </w:p>
        </w:tc>
        <w:tc>
          <w:tcPr>
            <w:tcW w:w="3360" w:type="dxa"/>
          </w:tcPr>
          <w:p>
            <w:pPr>
              <w:spacing w:before="40" w:after="40"/>
            </w:pPr>
            <w:hyperlink r:id="rHl38">
              <w:r>
                <w:rPr>
                  <w:rStyle w:val="Hyperlink"/>
                  <w:sz w:val="18"/>
                </w:rPr>
                <w:t xml:space="preserve">Sofer Advisors pricing guide</w:t>
              </w:r>
            </w:hyperlink>
            <w:r>
              <w:rPr>
                <w:sz w:val="18"/>
              </w:rPr>
              <w:t xml:space="preserve">; </w:t>
            </w:r>
            <w:hyperlink r:id="rHl39">
              <w:r>
                <w:rPr>
                  <w:rStyle w:val="Hyperlink"/>
                  <w:sz w:val="18"/>
                </w:rPr>
                <w:t xml:space="preserve">409a-valuation.com</w:t>
              </w:r>
            </w:hyperlink>
          </w:p>
        </w:tc>
      </w:tr>
      <w:tr>
        <w:tc>
          <w:tcPr>
            <w:tcW w:w="3360" w:type="dxa"/>
          </w:tcPr>
          <w:p>
            <w:pPr>
              <w:spacing w:before="40" w:after="40"/>
            </w:pPr>
            <w:r>
              <w:rPr>
                <w:b/>
                <w:sz w:val="18"/>
              </w:rPr>
              <w:t xml:space="preserve">409A via AI-assisted platforms</w:t>
            </w:r>
          </w:p>
        </w:tc>
        <w:tc>
          <w:tcPr>
            <w:tcW w:w="3360" w:type="dxa"/>
          </w:tcPr>
          <w:p>
            <w:pPr>
              <w:spacing w:before="40" w:after="40"/>
            </w:pPr>
            <w:r>
              <w:rPr>
                <w:b/>
                <w:sz w:val="18"/>
              </w:rPr>
              <w:t xml:space="preserve">$499–$1,500</w:t>
            </w:r>
            <w:r>
              <w:rPr>
                <w:sz w:val="18"/>
              </w:rPr>
              <w:t xml:space="preserve"> for a safe-harbor-compliant report</w:t>
            </w:r>
          </w:p>
        </w:tc>
        <w:tc>
          <w:tcPr>
            <w:tcW w:w="3360" w:type="dxa"/>
          </w:tcPr>
          <w:p>
            <w:pPr>
              <w:spacing w:before="40" w:after="40"/>
            </w:pPr>
            <w:hyperlink r:id="rHl39">
              <w:r>
                <w:rPr>
                  <w:rStyle w:val="Hyperlink"/>
                  <w:sz w:val="18"/>
                </w:rPr>
                <w:t xml:space="preserve">409a-valuation.com</w:t>
              </w:r>
            </w:hyperlink>
            <w:r>
              <w:rPr>
                <w:sz w:val="18"/>
              </w:rPr>
              <w:t xml:space="preserve"> </w:t>
            </w:r>
            <w:r>
              <w:rPr>
                <w:rFonts w:ascii="Consolas" w:hAnsi="Consolas"/>
                <w:sz w:val="18"/>
              </w:rPr>
              <w:t xml:space="preserve">[vendor-adjacent source]</w:t>
            </w:r>
          </w:p>
        </w:tc>
      </w:tr>
      <w:tr>
        <w:tc>
          <w:tcPr>
            <w:tcW w:w="3360" w:type="dxa"/>
          </w:tcPr>
          <w:p>
            <w:pPr>
              <w:spacing w:before="40" w:after="40"/>
            </w:pPr>
            <w:r>
              <w:rPr>
                <w:b/>
                <w:sz w:val="18"/>
              </w:rPr>
              <w:t xml:space="preserve">Volume, one provider</w:t>
            </w:r>
          </w:p>
        </w:tc>
        <w:tc>
          <w:tcPr>
            <w:tcW w:w="3360" w:type="dxa"/>
          </w:tcPr>
          <w:p>
            <w:pPr>
              <w:spacing w:before="40" w:after="40"/>
            </w:pPr>
            <w:r>
              <w:rPr>
                <w:sz w:val="18"/>
              </w:rPr>
              <w:t xml:space="preserve">Carta issues </w:t>
            </w:r>
            <w:r>
              <w:rPr>
                <w:b/>
                <w:sz w:val="18"/>
              </w:rPr>
              <w:t xml:space="preserve">16,000+ 409A valuations/year</w:t>
            </w:r>
          </w:p>
        </w:tc>
        <w:tc>
          <w:tcPr>
            <w:tcW w:w="3360" w:type="dxa"/>
          </w:tcPr>
          <w:p>
            <w:pPr>
              <w:spacing w:before="40" w:after="40"/>
            </w:pPr>
            <w:hyperlink r:id="rHl7">
              <w:r>
                <w:rPr>
                  <w:rStyle w:val="Hyperlink"/>
                  <w:sz w:val="18"/>
                </w:rPr>
                <w:t xml:space="preserve">Carta</w:t>
              </w:r>
            </w:hyperlink>
          </w:p>
        </w:tc>
      </w:tr>
      <w:tr>
        <w:tc>
          <w:tcPr>
            <w:tcW w:w="3360" w:type="dxa"/>
          </w:tcPr>
          <w:p>
            <w:pPr>
              <w:spacing w:before="40" w:after="40"/>
            </w:pPr>
            <w:r>
              <w:rPr>
                <w:b/>
                <w:sz w:val="18"/>
              </w:rPr>
              <w:t xml:space="preserve">Business valuation analyst (employee)</w:t>
            </w:r>
          </w:p>
        </w:tc>
        <w:tc>
          <w:tcPr>
            <w:tcW w:w="3360" w:type="dxa"/>
          </w:tcPr>
          <w:p>
            <w:pPr>
              <w:spacing w:before="40" w:after="40"/>
            </w:pPr>
            <w:r>
              <w:rPr>
                <w:b/>
                <w:sz w:val="18"/>
              </w:rPr>
              <w:t xml:space="preserve">$98,662/yr ≈ $47.43/hr</w:t>
            </w:r>
            <w:r>
              <w:rPr>
                <w:sz w:val="18"/>
              </w:rPr>
              <w:t xml:space="preserve">; 25th–75th percentile </w:t>
            </w:r>
            <w:r>
              <w:rPr>
                <w:b/>
                <w:sz w:val="18"/>
              </w:rPr>
              <w:t xml:space="preserve">$74,000–$123,500</w:t>
            </w:r>
            <w:r>
              <w:rPr>
                <w:sz w:val="18"/>
              </w:rPr>
              <w:t xml:space="preserve">; top decile $135,000</w:t>
            </w:r>
          </w:p>
        </w:tc>
        <w:tc>
          <w:tcPr>
            <w:tcW w:w="3360" w:type="dxa"/>
          </w:tcPr>
          <w:p>
            <w:pPr>
              <w:spacing w:before="40" w:after="40"/>
            </w:pPr>
            <w:hyperlink r:id="rHl40">
              <w:r>
                <w:rPr>
                  <w:rStyle w:val="Hyperlink"/>
                  <w:sz w:val="18"/>
                </w:rPr>
                <w:t xml:space="preserve">ZipRecruiter</w:t>
              </w:r>
            </w:hyperlink>
          </w:p>
        </w:tc>
      </w:tr>
    </w:tbl>
    <w:p>
      <w:pPr>
        <w:spacing w:after="0"/>
      </w:pPr>
    </w:p>
    <w:p>
      <w:r>
        <w:rPr>
          <w:b/>
        </w:rPr>
        <w:t xml:space="preserve">Note the price floor problem:</w:t>
      </w:r>
      <w:r>
        <w:t xml:space="preserve"> AI-assisted 409A providers already deliver a compliant report for </w:t>
      </w:r>
      <w:r>
        <w:rPr>
          <w:b/>
        </w:rPr>
        <w:t xml:space="preserve">$499–$1,500</w:t>
      </w:r>
      <w:r>
        <w:t xml:space="preserve">. That is the price umbrella any new valuation product sits under — and it buys a human-signed document, which software alone cannot provide for safe harbor.</w:t>
      </w:r>
    </w:p>
    <w:p>
      <w:pPr>
        <w:pStyle w:val="Heading2"/>
      </w:pPr>
      <w:r>
        <w:t xml:space="preserve">Job B — Find the money</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3360"/>
        <w:gridCol w:w="3360"/>
        <w:gridCol w:w="3360"/>
      </w:tblGrid>
      <w:tr>
        <w:trPr>
          <w:tblHeader/>
        </w:trPr>
        <w:tc>
          <w:tcPr>
            <w:tcW w:w="3360" w:type="dxa"/>
            <w:shd w:val="clear" w:color="auto" w:fill="EFF1F3"/>
          </w:tcPr>
          <w:p>
            <w:pPr>
              <w:spacing w:before="40" w:after="40"/>
            </w:pPr>
            <w:r>
              <w:rPr>
                <w:b/>
                <w:sz w:val="18"/>
              </w:rPr>
              <w:t xml:space="preserve">Role / service</w:t>
            </w:r>
          </w:p>
        </w:tc>
        <w:tc>
          <w:tcPr>
            <w:tcW w:w="3360" w:type="dxa"/>
            <w:shd w:val="clear" w:color="auto" w:fill="EFF1F3"/>
          </w:tcPr>
          <w:p>
            <w:pPr>
              <w:spacing w:before="40" w:after="40"/>
            </w:pPr>
            <w:r>
              <w:rPr>
                <w:b/>
                <w:sz w:val="18"/>
              </w:rPr>
              <w:t xml:space="preserve">Price</w:t>
            </w:r>
          </w:p>
        </w:tc>
        <w:tc>
          <w:tcPr>
            <w:tcW w:w="3360" w:type="dxa"/>
            <w:shd w:val="clear" w:color="auto" w:fill="EFF1F3"/>
          </w:tcPr>
          <w:p>
            <w:pPr>
              <w:spacing w:before="40" w:after="40"/>
            </w:pPr>
            <w:r>
              <w:rPr>
                <w:b/>
                <w:sz w:val="18"/>
              </w:rPr>
              <w:t xml:space="preserve">Source</w:t>
            </w:r>
          </w:p>
        </w:tc>
      </w:tr>
      <w:tr>
        <w:tc>
          <w:tcPr>
            <w:tcW w:w="3360" w:type="dxa"/>
          </w:tcPr>
          <w:p>
            <w:pPr>
              <w:spacing w:before="40" w:after="40"/>
            </w:pPr>
            <w:r>
              <w:rPr>
                <w:b/>
                <w:sz w:val="18"/>
              </w:rPr>
              <w:t xml:space="preserve">Fractional CFO (hourly)</w:t>
            </w:r>
          </w:p>
        </w:tc>
        <w:tc>
          <w:tcPr>
            <w:tcW w:w="3360" w:type="dxa"/>
          </w:tcPr>
          <w:p>
            <w:pPr>
              <w:spacing w:before="40" w:after="40"/>
            </w:pPr>
            <w:r>
              <w:rPr>
                <w:b/>
                <w:sz w:val="18"/>
              </w:rPr>
              <w:t xml:space="preserve">$150–$500/hr</w:t>
            </w:r>
            <w:r>
              <w:rPr>
                <w:sz w:val="18"/>
              </w:rPr>
              <w:t xml:space="preserve"> — $150–250 (5–10 yrs), $250–350 (10–15 yrs), $350–500 (15+ yrs, fundraising/M&amp;A specialists)</w:t>
            </w:r>
          </w:p>
        </w:tc>
        <w:tc>
          <w:tcPr>
            <w:tcW w:w="3360" w:type="dxa"/>
          </w:tcPr>
          <w:p>
            <w:pPr>
              <w:spacing w:before="40" w:after="40"/>
            </w:pPr>
            <w:hyperlink r:id="rHl41">
              <w:r>
                <w:rPr>
                  <w:rStyle w:val="Hyperlink"/>
                  <w:sz w:val="18"/>
                </w:rPr>
                <w:t xml:space="preserve">Fiscallion</w:t>
              </w:r>
            </w:hyperlink>
            <w:r>
              <w:rPr>
                <w:sz w:val="18"/>
              </w:rPr>
              <w:t xml:space="preserve">; </w:t>
            </w:r>
            <w:hyperlink r:id="rHl42">
              <w:r>
                <w:rPr>
                  <w:rStyle w:val="Hyperlink"/>
                  <w:sz w:val="18"/>
                </w:rPr>
                <w:t xml:space="preserve">Graphite</w:t>
              </w:r>
            </w:hyperlink>
          </w:p>
        </w:tc>
      </w:tr>
      <w:tr>
        <w:tc>
          <w:tcPr>
            <w:tcW w:w="3360" w:type="dxa"/>
          </w:tcPr>
          <w:p>
            <w:pPr>
              <w:spacing w:before="40" w:after="40"/>
            </w:pPr>
            <w:r>
              <w:rPr>
                <w:b/>
                <w:sz w:val="18"/>
              </w:rPr>
              <w:t xml:space="preserve">Fractional CFO (retainer)</w:t>
            </w:r>
          </w:p>
        </w:tc>
        <w:tc>
          <w:tcPr>
            <w:tcW w:w="3360" w:type="dxa"/>
          </w:tcPr>
          <w:p>
            <w:pPr>
              <w:spacing w:before="40" w:after="40"/>
            </w:pPr>
            <w:r>
              <w:rPr>
                <w:b/>
                <w:sz w:val="18"/>
              </w:rPr>
              <w:t xml:space="preserve">$3,000–$20,000+/month</w:t>
            </w:r>
            <w:r>
              <w:rPr>
                <w:sz w:val="18"/>
              </w:rPr>
              <w:t xml:space="preserve">; seed–Series A typically </w:t>
            </w:r>
            <w:r>
              <w:rPr>
                <w:b/>
                <w:sz w:val="18"/>
              </w:rPr>
              <w:t xml:space="preserve">$3,500–$7,500/month</w:t>
            </w:r>
          </w:p>
        </w:tc>
        <w:tc>
          <w:tcPr>
            <w:tcW w:w="3360" w:type="dxa"/>
          </w:tcPr>
          <w:p>
            <w:pPr>
              <w:spacing w:before="40" w:after="40"/>
            </w:pPr>
            <w:hyperlink r:id="rHl41">
              <w:r>
                <w:rPr>
                  <w:rStyle w:val="Hyperlink"/>
                  <w:sz w:val="18"/>
                </w:rPr>
                <w:t xml:space="preserve">Fiscallion</w:t>
              </w:r>
            </w:hyperlink>
            <w:r>
              <w:rPr>
                <w:sz w:val="18"/>
              </w:rPr>
              <w:t xml:space="preserve">; </w:t>
            </w:r>
            <w:hyperlink r:id="rHl43">
              <w:r>
                <w:rPr>
                  <w:rStyle w:val="Hyperlink"/>
                  <w:sz w:val="18"/>
                </w:rPr>
                <w:t xml:space="preserve">Kruze</w:t>
              </w:r>
            </w:hyperlink>
          </w:p>
        </w:tc>
      </w:tr>
      <w:tr>
        <w:tc>
          <w:tcPr>
            <w:tcW w:w="3360" w:type="dxa"/>
          </w:tcPr>
          <w:p>
            <w:pPr>
              <w:spacing w:before="40" w:after="40"/>
            </w:pPr>
            <w:r>
              <w:rPr>
                <w:b/>
                <w:sz w:val="18"/>
              </w:rPr>
              <w:t xml:space="preserve">Fundraising consultant</w:t>
            </w:r>
          </w:p>
        </w:tc>
        <w:tc>
          <w:tcPr>
            <w:tcW w:w="3360" w:type="dxa"/>
          </w:tcPr>
          <w:p>
            <w:pPr>
              <w:spacing w:before="40" w:after="40"/>
            </w:pPr>
            <w:r>
              <w:rPr>
                <w:b/>
                <w:sz w:val="18"/>
              </w:rPr>
              <w:t xml:space="preserve">$5,000–$50,000 retainer</w:t>
            </w:r>
            <w:r>
              <w:rPr>
                <w:sz w:val="18"/>
              </w:rPr>
              <w:t xml:space="preserve"> or </w:t>
            </w:r>
            <w:r>
              <w:rPr>
                <w:b/>
                <w:sz w:val="18"/>
              </w:rPr>
              <w:t xml:space="preserve">3–8% success fee</w:t>
            </w:r>
            <w:r>
              <w:rPr>
                <w:sz w:val="18"/>
              </w:rPr>
              <w:t xml:space="preserve">; </w:t>
            </w:r>
            <w:r>
              <w:rPr>
                <w:b/>
                <w:sz w:val="18"/>
              </w:rPr>
              <w:t xml:space="preserve">$250–$750/hr</w:t>
            </w:r>
          </w:p>
        </w:tc>
        <w:tc>
          <w:tcPr>
            <w:tcW w:w="3360" w:type="dxa"/>
          </w:tcPr>
          <w:p>
            <w:pPr>
              <w:spacing w:before="40" w:after="40"/>
            </w:pPr>
            <w:hyperlink r:id="rHl44">
              <w:r>
                <w:rPr>
                  <w:rStyle w:val="Hyperlink"/>
                  <w:sz w:val="18"/>
                </w:rPr>
                <w:t xml:space="preserve">FreeStartupFunding cost guide</w:t>
              </w:r>
            </w:hyperlink>
          </w:p>
        </w:tc>
      </w:tr>
      <w:tr>
        <w:tc>
          <w:tcPr>
            <w:tcW w:w="3360" w:type="dxa"/>
          </w:tcPr>
          <w:p>
            <w:pPr>
              <w:spacing w:before="40" w:after="40"/>
            </w:pPr>
            <w:r>
              <w:rPr>
                <w:b/>
                <w:sz w:val="18"/>
              </w:rPr>
              <w:t xml:space="preserve">Placement agent</w:t>
            </w:r>
          </w:p>
        </w:tc>
        <w:tc>
          <w:tcPr>
            <w:tcW w:w="3360" w:type="dxa"/>
          </w:tcPr>
          <w:p>
            <w:pPr>
              <w:spacing w:before="40" w:after="40"/>
            </w:pPr>
            <w:r>
              <w:rPr>
                <w:b/>
                <w:sz w:val="18"/>
              </w:rPr>
              <w:t xml:space="preserve">1.5–2.5% of committed capital</w:t>
            </w:r>
            <w:r>
              <w:rPr>
                <w:sz w:val="18"/>
              </w:rPr>
              <w:t xml:space="preserve">, plus 0.25–1%/yr trailing fees for 3–7 years, with 12–24 month tail provisions</w:t>
            </w:r>
          </w:p>
        </w:tc>
        <w:tc>
          <w:tcPr>
            <w:tcW w:w="3360" w:type="dxa"/>
          </w:tcPr>
          <w:p>
            <w:pPr>
              <w:spacing w:before="40" w:after="40"/>
            </w:pPr>
            <w:hyperlink r:id="rHl45">
              <w:r>
                <w:rPr>
                  <w:rStyle w:val="Hyperlink"/>
                  <w:sz w:val="18"/>
                </w:rPr>
                <w:t xml:space="preserve">PipelineRoad</w:t>
              </w:r>
            </w:hyperlink>
          </w:p>
        </w:tc>
      </w:tr>
      <w:tr>
        <w:tc>
          <w:tcPr>
            <w:tcW w:w="3360" w:type="dxa"/>
          </w:tcPr>
          <w:p>
            <w:pPr>
              <w:spacing w:before="40" w:after="40"/>
            </w:pPr>
            <w:r>
              <w:rPr>
                <w:b/>
                <w:sz w:val="18"/>
              </w:rPr>
              <w:t xml:space="preserve">Lehman / Double Lehman formula</w:t>
            </w:r>
          </w:p>
        </w:tc>
        <w:tc>
          <w:tcPr>
            <w:tcW w:w="3360" w:type="dxa"/>
          </w:tcPr>
          <w:p>
            <w:pPr>
              <w:spacing w:before="40" w:after="40"/>
            </w:pPr>
            <w:r>
              <w:rPr>
                <w:sz w:val="18"/>
              </w:rPr>
              <w:t xml:space="preserve">5% of the first $1M, 4% of the next, 3%, 2%, then 1% above $4M — </w:t>
            </w:r>
            <w:r>
              <w:rPr>
                <w:b/>
                <w:sz w:val="18"/>
              </w:rPr>
              <w:t xml:space="preserve">doubled</w:t>
            </w:r>
            <w:r>
              <w:rPr>
                <w:sz w:val="18"/>
              </w:rPr>
              <w:t xml:space="preserve"> on smaller deals in current practice</w:t>
            </w:r>
          </w:p>
        </w:tc>
        <w:tc>
          <w:tcPr>
            <w:tcW w:w="3360" w:type="dxa"/>
          </w:tcPr>
          <w:p>
            <w:pPr>
              <w:spacing w:before="40" w:after="40"/>
            </w:pPr>
            <w:hyperlink r:id="rHl46">
              <w:r>
                <w:rPr>
                  <w:rStyle w:val="Hyperlink"/>
                  <w:sz w:val="18"/>
                </w:rPr>
                <w:t xml:space="preserve">Wikipedia — Lehman Formula</w:t>
              </w:r>
            </w:hyperlink>
            <w:r>
              <w:rPr>
                <w:sz w:val="18"/>
              </w:rPr>
              <w:t xml:space="preserve">; </w:t>
            </w:r>
            <w:hyperlink r:id="rHl45">
              <w:r>
                <w:rPr>
                  <w:rStyle w:val="Hyperlink"/>
                  <w:sz w:val="18"/>
                </w:rPr>
                <w:t xml:space="preserve">PipelineRoad</w:t>
              </w:r>
            </w:hyperlink>
          </w:p>
        </w:tc>
      </w:tr>
    </w:tbl>
    <w:p>
      <w:pPr>
        <w:spacing w:after="0"/>
      </w:pPr>
    </w:p>
    <w:p>
      <w:pPr>
        <w:pStyle w:val="Heading2"/>
      </w:pPr>
      <w:r>
        <w:t xml:space="preserve">What this means for pricing the app</w:t>
      </w:r>
    </w:p>
    <w:p>
      <w:r>
        <w:t xml:space="preserve">Work the numbers for one founder raising a </w:t>
      </w:r>
      <w:r>
        <w:rPr>
          <w:b/>
        </w:rPr>
        <w:t xml:space="preserve">$2M seed</w:t>
      </w:r>
      <w:r>
        <w:t xml:space="preserve">:</w:t>
      </w:r>
    </w:p>
    <w:p>
      <w:pPr>
        <w:numPr>
          <w:ilvl w:val="0"/>
          <w:numId w:val="1"/>
        </w:numPr>
      </w:pPr>
      <w:r>
        <w:rPr>
          <w:b/>
        </w:rPr>
        <w:t xml:space="preserve">Valuation:</w:t>
      </w:r>
      <w:r>
        <w:t xml:space="preserve"> $2,000–$5,000 for a 409A (or $499–$1,500 from an AI-assisted provider)</w:t>
      </w:r>
    </w:p>
    <w:p>
      <w:pPr>
        <w:numPr>
          <w:ilvl w:val="0"/>
          <w:numId w:val="1"/>
        </w:numPr>
      </w:pPr>
      <w:r>
        <w:rPr>
          <w:b/>
        </w:rPr>
        <w:t xml:space="preserve">Finding investors:</w:t>
      </w:r>
      <w:r>
        <w:t xml:space="preserve"> a fundraising consultant at 3–8% of $2M = </w:t>
      </w:r>
      <w:r>
        <w:rPr>
          <w:b/>
        </w:rPr>
        <w:t xml:space="preserve">$60,000–$160,000</w:t>
      </w:r>
      <w:r>
        <w:t xml:space="preserve">, or a fractional CFO at $5,000/month × 6 months = </w:t>
      </w:r>
      <w:r>
        <w:rPr>
          <w:b/>
        </w:rPr>
        <w:t xml:space="preserve">$30,000</w:t>
      </w:r>
    </w:p>
    <w:p>
      <w:pPr>
        <w:numPr>
          <w:ilvl w:val="0"/>
          <w:numId w:val="1"/>
        </w:numPr>
      </w:pPr>
      <w:r>
        <w:rPr>
          <w:b/>
        </w:rPr>
        <w:t xml:space="preserve">Total human cost of the job this app proposes to do: roughly $32,000–$165,000 per raise</w:t>
      </w:r>
    </w:p>
    <w:p>
      <w:r>
        <w:rPr>
          <w:b/>
        </w:rPr>
        <w:t xml:space="preserve">The asymmetry is the whole business case.</w:t>
      </w:r>
      <w:r>
        <w:t xml:space="preserve"> Job A (the number) is already commoditized toward $499. Job B (finding and reaching the right investors) is where tens of thousands of dollars are actually spent — and Section 1 showed the existing tools for it are rated 1.4★ and 1.7★.</w:t>
      </w:r>
    </w:p>
    <w:p>
      <w:r>
        <w:rPr>
          <w:b/>
        </w:rPr>
        <w:t xml:space="preserve">If this product is priced as a valuation calculator, it competes with a $499 floor. If it's priced as fundraising labor, it competes with a $30,000 fractional CFO.</w:t>
      </w:r>
      <w:r>
        <w:t xml:space="preserve"> That choice, not the algorithm, decides the business.</w:t>
      </w:r>
    </w:p>
    <w:p>
      <w:pPr>
        <w:pBdr>
          <w:bottom w:val="single" w:sz="6" w:space="6" w:color="C9CCD1"/>
        </w:pBdr>
      </w:pPr>
    </w:p>
    <w:p>
      <w:pPr>
        <w:pStyle w:val="Heading1"/>
      </w:pPr>
      <w:r>
        <w:t xml:space="preserve">Flags</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5040"/>
        <w:gridCol w:w="5040"/>
      </w:tblGrid>
      <w:tr>
        <w:trPr>
          <w:tblHeader/>
        </w:trPr>
        <w:tc>
          <w:tcPr>
            <w:tcW w:w="5040" w:type="dxa"/>
            <w:shd w:val="clear" w:color="auto" w:fill="EFF1F3"/>
          </w:tcPr>
          <w:p>
            <w:pPr>
              <w:spacing w:before="40" w:after="40"/>
            </w:pPr>
            <w:r>
              <w:rPr>
                <w:b/>
                <w:sz w:val="18"/>
              </w:rPr>
              <w:t xml:space="preserve">Item</w:t>
            </w:r>
          </w:p>
        </w:tc>
        <w:tc>
          <w:tcPr>
            <w:tcW w:w="5040" w:type="dxa"/>
            <w:shd w:val="clear" w:color="auto" w:fill="EFF1F3"/>
          </w:tcPr>
          <w:p>
            <w:pPr>
              <w:spacing w:before="40" w:after="40"/>
            </w:pPr>
            <w:r>
              <w:rPr>
                <w:b/>
                <w:sz w:val="18"/>
              </w:rPr>
              <w:t xml:space="preserve">Status</w:t>
            </w:r>
          </w:p>
        </w:tc>
      </w:tr>
      <w:tr>
        <w:tc>
          <w:tcPr>
            <w:tcW w:w="5040" w:type="dxa"/>
          </w:tcPr>
          <w:p>
            <w:pPr>
              <w:spacing w:before="40" w:after="40"/>
            </w:pPr>
            <w:r>
              <w:rPr>
                <w:b/>
                <w:sz w:val="18"/>
              </w:rPr>
              <w:t xml:space="preserve">G2</w:t>
            </w:r>
          </w:p>
        </w:tc>
        <w:tc>
          <w:tcPr>
            <w:tcW w:w="5040" w:type="dxa"/>
          </w:tcPr>
          <w:p>
            <w:pPr>
              <w:spacing w:before="40" w:after="40"/>
            </w:pPr>
            <w:r>
              <w:rPr>
                <w:sz w:val="18"/>
              </w:rPr>
              <w:t xml:space="preserve">❌ Blocked (403, blank in browser). Requested, unavailable.</w:t>
            </w:r>
          </w:p>
        </w:tc>
      </w:tr>
      <w:tr>
        <w:tc>
          <w:tcPr>
            <w:tcW w:w="5040" w:type="dxa"/>
          </w:tcPr>
          <w:p>
            <w:pPr>
              <w:spacing w:before="40" w:after="40"/>
            </w:pPr>
            <w:r>
              <w:rPr>
                <w:b/>
                <w:sz w:val="18"/>
              </w:rPr>
              <w:t xml:space="preserve">Reddit</w:t>
            </w:r>
          </w:p>
        </w:tc>
        <w:tc>
          <w:tcPr>
            <w:tcW w:w="5040" w:type="dxa"/>
          </w:tcPr>
          <w:p>
            <w:pPr>
              <w:spacing w:before="40" w:after="40"/>
            </w:pPr>
            <w:r>
              <w:rPr>
                <w:sz w:val="18"/>
              </w:rPr>
              <w:t xml:space="preserve">❌ Blocked for search and pages. Requested, unavailable.</w:t>
            </w:r>
          </w:p>
        </w:tc>
      </w:tr>
      <w:tr>
        <w:tc>
          <w:tcPr>
            <w:tcW w:w="5040" w:type="dxa"/>
          </w:tcPr>
          <w:p>
            <w:pPr>
              <w:spacing w:before="40" w:after="40"/>
            </w:pPr>
            <w:r>
              <w:rPr>
                <w:b/>
                <w:sz w:val="18"/>
              </w:rPr>
              <w:t xml:space="preserve">Verbatim quotes</w:t>
            </w:r>
          </w:p>
        </w:tc>
        <w:tc>
          <w:tcPr>
            <w:tcW w:w="5040" w:type="dxa"/>
          </w:tcPr>
          <w:p>
            <w:pPr>
              <w:spacing w:before="40" w:after="40"/>
            </w:pPr>
            <w:r>
              <w:rPr>
                <w:sz w:val="18"/>
              </w:rPr>
              <w:t xml:space="preserve">⚠️ Paraphrased; originals in the JSON file beside this one.</w:t>
            </w:r>
          </w:p>
        </w:tc>
      </w:tr>
      <w:tr>
        <w:tc>
          <w:tcPr>
            <w:tcW w:w="5040" w:type="dxa"/>
          </w:tcPr>
          <w:p>
            <w:pPr>
              <w:spacing w:before="40" w:after="40"/>
            </w:pPr>
            <w:r>
              <w:rPr>
                <w:b/>
                <w:sz w:val="18"/>
              </w:rPr>
              <w:t xml:space="preserve">Sample size</w:t>
            </w:r>
          </w:p>
        </w:tc>
        <w:tc>
          <w:tcPr>
            <w:tcW w:w="5040" w:type="dxa"/>
          </w:tcPr>
          <w:p>
            <w:pPr>
              <w:spacing w:before="40" w:after="40"/>
            </w:pPr>
            <w:r>
              <w:rPr>
                <w:sz w:val="18"/>
              </w:rPr>
              <w:t xml:space="preserve">⚠️ </w:t>
            </w:r>
            <w:r>
              <w:rPr>
                <w:b/>
                <w:sz w:val="18"/>
              </w:rPr>
              <w:t xml:space="preserve">Small.</w:t>
            </w:r>
            <w:r>
              <w:rPr>
                <w:sz w:val="18"/>
              </w:rPr>
              <w:t xml:space="preserve"> Only 40 founder-facing App Store reviews, and the valuation platforms have 15–38 reviews each. Percentages are indicative, not statistical.</w:t>
            </w:r>
          </w:p>
        </w:tc>
      </w:tr>
      <w:tr>
        <w:tc>
          <w:tcPr>
            <w:tcW w:w="5040" w:type="dxa"/>
          </w:tcPr>
          <w:p>
            <w:pPr>
              <w:spacing w:before="40" w:after="40"/>
            </w:pPr>
            <w:r>
              <w:rPr>
                <w:b/>
                <w:sz w:val="18"/>
              </w:rPr>
              <w:t xml:space="preserve">Proxy products</w:t>
            </w:r>
          </w:p>
        </w:tc>
        <w:tc>
          <w:tcPr>
            <w:tcW w:w="5040" w:type="dxa"/>
          </w:tcPr>
          <w:p>
            <w:pPr>
              <w:spacing w:before="40" w:after="40"/>
            </w:pPr>
            <w:r>
              <w:rPr>
                <w:sz w:val="18"/>
              </w:rPr>
              <w:t xml:space="preserve">⚠️ Skip (grants) and Nav (small-business credit/funding) are </w:t>
            </w:r>
            <w:r>
              <w:rPr>
                <w:b/>
                <w:sz w:val="18"/>
              </w:rPr>
              <w:t xml:space="preserve">analogs</w:t>
            </w:r>
            <w:r>
              <w:rPr>
                <w:sz w:val="18"/>
              </w:rPr>
              <w:t xml:space="preserve">, not startup-valuation apps. They are included because they are the closest founder-facing "app finds you money" products with real review volume — treat their complaint pattern as a risk model, not as competitor data.</w:t>
            </w:r>
          </w:p>
        </w:tc>
      </w:tr>
      <w:tr>
        <w:tc>
          <w:tcPr>
            <w:tcW w:w="5040" w:type="dxa"/>
          </w:tcPr>
          <w:p>
            <w:pPr>
              <w:spacing w:before="40" w:after="40"/>
            </w:pPr>
            <w:r>
              <w:rPr>
                <w:b/>
                <w:sz w:val="18"/>
              </w:rPr>
              <w:t xml:space="preserve">RAISE365</w:t>
            </w:r>
          </w:p>
        </w:tc>
        <w:tc>
          <w:tcPr>
            <w:tcW w:w="5040" w:type="dxa"/>
          </w:tcPr>
          <w:p>
            <w:pPr>
              <w:spacing w:before="40" w:after="40"/>
            </w:pPr>
            <w:r>
              <w:rPr>
                <w:sz w:val="18"/>
              </w:rPr>
              <w:t xml:space="preserve">⚠️ 49 reviews pulled and excluded — it is a school-sports fundraising app, irrelevant despite matching the search terms.</w:t>
            </w:r>
          </w:p>
        </w:tc>
      </w:tr>
      <w:tr>
        <w:tc>
          <w:tcPr>
            <w:tcW w:w="5040" w:type="dxa"/>
          </w:tcPr>
          <w:p>
            <w:pPr>
              <w:spacing w:before="40" w:after="40"/>
            </w:pPr>
            <w:r>
              <w:rPr>
                <w:b/>
                <w:sz w:val="18"/>
              </w:rPr>
              <w:t xml:space="preserve">409A cost figures</w:t>
            </w:r>
          </w:p>
        </w:tc>
        <w:tc>
          <w:tcPr>
            <w:tcW w:w="5040" w:type="dxa"/>
          </w:tcPr>
          <w:p>
            <w:pPr>
              <w:spacing w:before="40" w:after="40"/>
            </w:pPr>
            <w:r>
              <w:rPr>
                <w:sz w:val="18"/>
              </w:rPr>
              <w:t xml:space="preserve">⚠️ From valuation-provider blogs (Sofer, 409a-valuation.com, Pulley, Cake), i.e. parties with an interest in the price anchor. Consistent across sources but not independent.</w:t>
            </w:r>
          </w:p>
        </w:tc>
      </w:tr>
      <w:tr>
        <w:tc>
          <w:tcPr>
            <w:tcW w:w="5040" w:type="dxa"/>
          </w:tcPr>
          <w:p>
            <w:pPr>
              <w:spacing w:before="40" w:after="40"/>
            </w:pPr>
            <w:r>
              <w:rPr>
                <w:b/>
                <w:sz w:val="18"/>
              </w:rPr>
              <w:t xml:space="preserve">Fractional CFO / consultant fees</w:t>
            </w:r>
          </w:p>
        </w:tc>
        <w:tc>
          <w:tcPr>
            <w:tcW w:w="5040" w:type="dxa"/>
          </w:tcPr>
          <w:p>
            <w:pPr>
              <w:spacing w:before="40" w:after="40"/>
            </w:pPr>
            <w:r>
              <w:rPr>
                <w:sz w:val="18"/>
              </w:rPr>
              <w:t xml:space="preserve">⚠️ From advisory-firm marketing pages; no government wage series covers "fractional CFO."</w:t>
            </w:r>
          </w:p>
        </w:tc>
      </w:tr>
      <w:tr>
        <w:tc>
          <w:tcPr>
            <w:tcW w:w="5040" w:type="dxa"/>
          </w:tcPr>
          <w:p>
            <w:pPr>
              <w:spacing w:before="40" w:after="40"/>
            </w:pPr>
            <w:r>
              <w:rPr>
                <w:b/>
                <w:sz w:val="18"/>
              </w:rPr>
              <w:t xml:space="preserve">Grocery job postings</w:t>
            </w:r>
          </w:p>
        </w:tc>
        <w:tc>
          <w:tcPr>
            <w:tcW w:w="5040" w:type="dxa"/>
          </w:tcPr>
          <w:p>
            <w:pPr>
              <w:spacing w:before="40" w:after="40"/>
            </w:pPr>
            <w:r>
              <w:rPr>
                <w:sz w:val="18"/>
              </w:rPr>
              <w:t xml:space="preserve">❌ Not researched here — see the note at the top. Already covered in the DietGroceryApp dossier, Section 2.</w:t>
            </w:r>
          </w:p>
        </w:tc>
      </w:tr>
    </w:tbl>
    <w:p>
      <w:pPr>
        <w:spacing w:after="0"/>
      </w:pPr>
    </w:p>
    <w:p>
      <w:r>
        <w:br w:type="page"/>
      </w:r>
    </w:p>
    <w:p>
      <w:pPr>
        <w:pStyle w:val="Title"/>
      </w:pPr>
      <w:r>
        <w:t xml:space="preserve">Competitor Teardown — 7 Platforms</w:t>
      </w:r>
    </w:p>
    <w:p>
      <w:r>
        <w:rPr>
          <w:b/>
        </w:rPr>
        <w:t xml:space="preserve">Prepared:</w:t>
      </w:r>
      <w:r>
        <w:t xml:space="preserve"> September 22, 2026</w:t>
      </w:r>
    </w:p>
    <w:p>
      <w:r>
        <w:rPr>
          <w:b/>
        </w:rPr>
        <w:t xml:space="preserve">Method:</w:t>
      </w:r>
      <w:r>
        <w:t xml:space="preserve"> Prices taken from each company's own pricing page where it is published and reachable. </w:t>
      </w:r>
      <w:r>
        <w:rPr>
          <w:b/>
        </w:rPr>
        <w:t xml:space="preserve">Three of the seven don't publish prices at all</w:t>
      </w:r>
      <w:r>
        <w:t xml:space="preserve"> (Carta beyond its free tier, Valutico, PitchBook) — those rows use third-party pricing intelligence and are marked. Complaints come from Trustpilot, Capterra and the App Store; complaints are paraphrased with reviewer, rating and date (I don't reproduce reviews verbatim — originals are in </w:t>
      </w:r>
      <w:hyperlink r:id="rHl36">
        <w:r>
          <w:rPr>
            <w:rStyle w:val="Hyperlink"/>
          </w:rPr>
          <w:t xml:space="preserve">appstore-reviews-2025-2026.json</w:t>
        </w:r>
      </w:hyperlink>
      <w:r>
        <w:t xml:space="preserve">).</w:t>
      </w:r>
    </w:p>
    <w:p>
      <w:r>
        <w:rPr>
          <w:b/>
        </w:rPr>
        <w:t xml:space="preserve">Everything inferred rather than read is tagged `[UNVERIFIED]`.</w:t>
      </w:r>
    </w:p>
    <w:p>
      <w:pPr>
        <w:pBdr>
          <w:bottom w:val="single" w:sz="6" w:space="6" w:color="C9CCD1"/>
        </w:pBdr>
      </w:pPr>
    </w:p>
    <w:p>
      <w:pPr>
        <w:pStyle w:val="Heading1"/>
      </w:pPr>
      <w:r>
        <w:t xml:space="preserve">Master comparison table</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1680"/>
        <w:gridCol w:w="1680"/>
        <w:gridCol w:w="1680"/>
        <w:gridCol w:w="1680"/>
        <w:gridCol w:w="1680"/>
        <w:gridCol w:w="1680"/>
      </w:tblGrid>
      <w:tr>
        <w:trPr>
          <w:tblHeader/>
        </w:trPr>
        <w:tc>
          <w:tcPr>
            <w:tcW w:w="1680" w:type="dxa"/>
            <w:shd w:val="clear" w:color="auto" w:fill="EFF1F3"/>
          </w:tcPr>
          <w:p>
            <w:pPr>
              <w:spacing w:before="40" w:after="40"/>
            </w:pPr>
            <w:r>
              <w:rPr>
                <w:b/>
                <w:sz w:val="18"/>
              </w:rPr>
              <w:t xml:space="preserve">Platform</w:t>
            </w:r>
          </w:p>
        </w:tc>
        <w:tc>
          <w:tcPr>
            <w:tcW w:w="1680" w:type="dxa"/>
            <w:shd w:val="clear" w:color="auto" w:fill="EFF1F3"/>
          </w:tcPr>
          <w:p>
            <w:pPr>
              <w:spacing w:before="40" w:after="40"/>
            </w:pPr>
            <w:r>
              <w:rPr>
                <w:b/>
                <w:sz w:val="18"/>
              </w:rPr>
              <w:t xml:space="preserve">Price (source)</w:t>
            </w:r>
          </w:p>
        </w:tc>
        <w:tc>
          <w:tcPr>
            <w:tcW w:w="1680" w:type="dxa"/>
            <w:shd w:val="clear" w:color="auto" w:fill="EFF1F3"/>
          </w:tcPr>
          <w:p>
            <w:pPr>
              <w:spacing w:before="40" w:after="40"/>
            </w:pPr>
            <w:r>
              <w:rPr>
                <w:b/>
                <w:sz w:val="18"/>
              </w:rPr>
              <w:t xml:space="preserve">Three core features</w:t>
            </w:r>
          </w:p>
        </w:tc>
        <w:tc>
          <w:tcPr>
            <w:tcW w:w="1680" w:type="dxa"/>
            <w:shd w:val="clear" w:color="auto" w:fill="EFF1F3"/>
          </w:tcPr>
          <w:p>
            <w:pPr>
              <w:spacing w:before="40" w:after="40"/>
            </w:pPr>
            <w:r>
              <w:rPr>
                <w:b/>
                <w:sz w:val="18"/>
              </w:rPr>
              <w:t xml:space="preserve">Target customer</w:t>
            </w:r>
          </w:p>
        </w:tc>
        <w:tc>
          <w:tcPr>
            <w:tcW w:w="1680" w:type="dxa"/>
            <w:shd w:val="clear" w:color="auto" w:fill="EFF1F3"/>
          </w:tcPr>
          <w:p>
            <w:pPr>
              <w:spacing w:before="40" w:after="40"/>
            </w:pPr>
            <w:r>
              <w:rPr>
                <w:b/>
                <w:sz w:val="18"/>
              </w:rPr>
              <w:t xml:space="preserve">Funding / ownership</w:t>
            </w:r>
          </w:p>
        </w:tc>
        <w:tc>
          <w:tcPr>
            <w:tcW w:w="1680" w:type="dxa"/>
            <w:shd w:val="clear" w:color="auto" w:fill="EFF1F3"/>
          </w:tcPr>
          <w:p>
            <w:pPr>
              <w:spacing w:before="40" w:after="40"/>
            </w:pPr>
            <w:r>
              <w:rPr>
                <w:b/>
                <w:sz w:val="18"/>
              </w:rPr>
              <w:t xml:space="preserve">Top 3 complaints</w:t>
            </w:r>
          </w:p>
        </w:tc>
      </w:tr>
      <w:tr>
        <w:tc>
          <w:tcPr>
            <w:tcW w:w="1680" w:type="dxa"/>
          </w:tcPr>
          <w:p>
            <w:pPr>
              <w:spacing w:before="40" w:after="40"/>
            </w:pPr>
            <w:r>
              <w:rPr>
                <w:b/>
                <w:sz w:val="18"/>
              </w:rPr>
              <w:t xml:space="preserve">Carta</w:t>
            </w:r>
          </w:p>
        </w:tc>
        <w:tc>
          <w:tcPr>
            <w:tcW w:w="1680" w:type="dxa"/>
          </w:tcPr>
          <w:p>
            <w:pPr>
              <w:spacing w:before="40" w:after="40"/>
            </w:pPr>
            <w:r>
              <w:rPr>
                <w:b/>
                <w:sz w:val="18"/>
              </w:rPr>
              <w:t xml:space="preserve">Launch: free</w:t>
            </w:r>
            <w:r>
              <w:rPr>
                <w:sz w:val="18"/>
              </w:rPr>
              <w:t xml:space="preserve"> (≤25 stakeholders, ≤$1M raised). </w:t>
            </w:r>
            <w:r>
              <w:rPr>
                <w:b/>
                <w:sz w:val="18"/>
              </w:rPr>
              <w:t xml:space="preserve">Build / Grow / Scale: contact sales</w:t>
            </w:r>
            <w:r>
              <w:rPr>
                <w:sz w:val="18"/>
              </w:rPr>
              <w:t xml:space="preserve"> — "price per stakeholder with a minimum annual fee," no dollar figures published. 409A included from </w:t>
            </w:r>
            <w:r>
              <w:rPr>
                <w:b/>
                <w:sz w:val="18"/>
              </w:rPr>
              <w:t xml:space="preserve">Grow</w:t>
            </w:r>
            <w:r>
              <w:rPr>
                <w:sz w:val="18"/>
              </w:rPr>
              <w:t xml:space="preserve"> up. — </w:t>
            </w:r>
            <w:hyperlink r:id="rHl47">
              <w:r>
                <w:rPr>
                  <w:rStyle w:val="Hyperlink"/>
                  <w:sz w:val="18"/>
                </w:rPr>
                <w:t xml:space="preserve">pricing page</w:t>
              </w:r>
            </w:hyperlink>
          </w:p>
        </w:tc>
        <w:tc>
          <w:tcPr>
            <w:tcW w:w="1680" w:type="dxa"/>
          </w:tcPr>
          <w:p>
            <w:pPr>
              <w:spacing w:before="40" w:after="40"/>
            </w:pPr>
            <w:r>
              <w:rPr>
                <w:sz w:val="18"/>
              </w:rPr>
              <w:t xml:space="preserve">1. Cap table + SEC-registered transfer agent 2. 409A valuations + audit support 3. Priced-round modeling, deal closings, ASC 718</w:t>
            </w:r>
          </w:p>
        </w:tc>
        <w:tc>
          <w:tcPr>
            <w:tcW w:w="1680" w:type="dxa"/>
          </w:tcPr>
          <w:p>
            <w:pPr>
              <w:spacing w:before="40" w:after="40"/>
            </w:pPr>
            <w:r>
              <w:rPr>
                <w:sz w:val="18"/>
              </w:rPr>
              <w:t xml:space="preserve">Funded startups and their finance/people-ops admins</w:t>
            </w:r>
          </w:p>
        </w:tc>
        <w:tc>
          <w:tcPr>
            <w:tcW w:w="1680" w:type="dxa"/>
          </w:tcPr>
          <w:p>
            <w:pPr>
              <w:spacing w:before="40" w:after="40"/>
            </w:pPr>
            <w:r>
              <w:rPr>
                <w:b/>
                <w:sz w:val="18"/>
              </w:rPr>
              <w:t xml:space="preserve">~$1.29B raised</w:t>
            </w:r>
            <w:r>
              <w:rPr>
                <w:sz w:val="18"/>
              </w:rPr>
              <w:t xml:space="preserve">; $7.4B valuation at $500M Series G (Silver Lake, Aug 2021); more recent third-party marks put it near </w:t>
            </w:r>
            <w:r>
              <w:rPr>
                <w:b/>
                <w:sz w:val="18"/>
              </w:rPr>
              <w:t xml:space="preserve">$3.5B / ~$500M ARR</w:t>
            </w:r>
            <w:r>
              <w:rPr>
                <w:sz w:val="18"/>
              </w:rPr>
              <w:t xml:space="preserve"> </w:t>
            </w:r>
            <w:r>
              <w:rPr>
                <w:rFonts w:ascii="Consolas" w:hAnsi="Consolas"/>
                <w:sz w:val="18"/>
              </w:rPr>
              <w:t xml:space="preserve">[UNVERIFIED — Latka/Sacra secondary]</w:t>
            </w:r>
            <w:r>
              <w:rPr>
                <w:sz w:val="18"/>
              </w:rPr>
              <w:t xml:space="preserve"> (</w:t>
            </w:r>
            <w:hyperlink r:id="rHl48">
              <w:r>
                <w:rPr>
                  <w:rStyle w:val="Hyperlink"/>
                  <w:sz w:val="18"/>
                </w:rPr>
                <w:t xml:space="preserve">Sacra</w:t>
              </w:r>
            </w:hyperlink>
            <w:r>
              <w:rPr>
                <w:sz w:val="18"/>
              </w:rPr>
              <w:t xml:space="preserve">)</w:t>
            </w:r>
          </w:p>
        </w:tc>
        <w:tc>
          <w:tcPr>
            <w:tcW w:w="1680" w:type="dxa"/>
          </w:tcPr>
          <w:p>
            <w:pPr>
              <w:spacing w:before="40" w:after="40"/>
            </w:pPr>
            <w:r>
              <w:rPr>
                <w:sz w:val="18"/>
              </w:rPr>
              <w:t xml:space="preserve">~$8,000/yr vs competitors' hundreds; 409A sales claims called misleading; price escalates with stakeholder count + slow support</w:t>
            </w:r>
          </w:p>
        </w:tc>
      </w:tr>
      <w:tr>
        <w:tc>
          <w:tcPr>
            <w:tcW w:w="1680" w:type="dxa"/>
          </w:tcPr>
          <w:p>
            <w:pPr>
              <w:spacing w:before="40" w:after="40"/>
            </w:pPr>
            <w:r>
              <w:rPr>
                <w:b/>
                <w:sz w:val="18"/>
              </w:rPr>
              <w:t xml:space="preserve">Equidam</w:t>
            </w:r>
          </w:p>
        </w:tc>
        <w:tc>
          <w:tcPr>
            <w:tcW w:w="1680" w:type="dxa"/>
          </w:tcPr>
          <w:p>
            <w:pPr>
              <w:spacing w:before="40" w:after="40"/>
            </w:pPr>
            <w:r>
              <w:rPr>
                <w:b/>
                <w:sz w:val="18"/>
              </w:rPr>
              <w:t xml:space="preserve">Published.</w:t>
            </w:r>
            <w:r>
              <w:rPr>
                <w:sz w:val="18"/>
              </w:rPr>
              <w:t xml:space="preserve"> Essential </w:t>
            </w:r>
            <w:r>
              <w:rPr>
                <w:b/>
                <w:sz w:val="18"/>
              </w:rPr>
              <w:t xml:space="preserve">free</w:t>
            </w:r>
            <w:r>
              <w:rPr>
                <w:sz w:val="18"/>
              </w:rPr>
              <w:t xml:space="preserve">; Advanced </w:t>
            </w:r>
            <w:r>
              <w:rPr>
                <w:b/>
                <w:sz w:val="18"/>
              </w:rPr>
              <w:t xml:space="preserve">$412.25</w:t>
            </w:r>
            <w:r>
              <w:rPr>
                <w:sz w:val="18"/>
              </w:rPr>
              <w:t xml:space="preserve">; Expert </w:t>
            </w:r>
            <w:r>
              <w:rPr>
                <w:b/>
                <w:sz w:val="18"/>
              </w:rPr>
              <w:t xml:space="preserve">$1,063.25</w:t>
            </w:r>
            <w:r>
              <w:rPr>
                <w:sz w:val="18"/>
              </w:rPr>
              <w:t xml:space="preserve"> (both = 2-month access on a 12-month valuation cycle); </w:t>
            </w:r>
            <w:r>
              <w:rPr>
                <w:b/>
                <w:sz w:val="18"/>
              </w:rPr>
              <w:t xml:space="preserve">409A: $1,990/yr</w:t>
            </w:r>
            <w:r>
              <w:rPr>
                <w:sz w:val="18"/>
              </w:rPr>
              <w:t xml:space="preserve"> — </w:t>
            </w:r>
            <w:hyperlink r:id="rHl49">
              <w:r>
                <w:rPr>
                  <w:rStyle w:val="Hyperlink"/>
                  <w:sz w:val="18"/>
                </w:rPr>
                <w:t xml:space="preserve">pricing page</w:t>
              </w:r>
            </w:hyperlink>
          </w:p>
        </w:tc>
        <w:tc>
          <w:tcPr>
            <w:tcW w:w="1680" w:type="dxa"/>
          </w:tcPr>
          <w:p>
            <w:pPr>
              <w:spacing w:before="40" w:after="40"/>
            </w:pPr>
            <w:r>
              <w:rPr>
                <w:sz w:val="18"/>
              </w:rPr>
              <w:t xml:space="preserve">1. Five-method valuation engine with scenarios 2. Benchmarks: funding-round, revenue/EBITDA, "Valuation Delta" 3. Expert review call + exportable report; 409A safe-harbor option</w:t>
            </w:r>
          </w:p>
        </w:tc>
        <w:tc>
          <w:tcPr>
            <w:tcW w:w="1680" w:type="dxa"/>
          </w:tcPr>
          <w:p>
            <w:pPr>
              <w:spacing w:before="40" w:after="40"/>
            </w:pPr>
            <w:r>
              <w:rPr>
                <w:b/>
                <w:sz w:val="18"/>
              </w:rPr>
              <w:t xml:space="preserve">Founders preparing to negotiate</w:t>
            </w:r>
            <w:r>
              <w:rPr>
                <w:sz w:val="18"/>
              </w:rPr>
              <w:t xml:space="preserve"> — the only founder-first valuation tool in this set</w:t>
            </w:r>
          </w:p>
        </w:tc>
        <w:tc>
          <w:tcPr>
            <w:tcW w:w="1680" w:type="dxa"/>
          </w:tcPr>
          <w:p>
            <w:pPr>
              <w:spacing w:before="40" w:after="40"/>
            </w:pPr>
            <w:r>
              <w:rPr>
                <w:sz w:val="18"/>
              </w:rPr>
              <w:t xml:space="preserve">Bootstrapped, then </w:t>
            </w:r>
            <w:r>
              <w:rPr>
                <w:b/>
                <w:sz w:val="18"/>
              </w:rPr>
              <w:t xml:space="preserve">€60k crowdfunding (2013)</w:t>
            </w:r>
            <w:r>
              <w:rPr>
                <w:sz w:val="18"/>
              </w:rPr>
              <w:t xml:space="preserve"> and </w:t>
            </w:r>
            <w:r>
              <w:rPr>
                <w:b/>
                <w:sz w:val="18"/>
              </w:rPr>
              <w:t xml:space="preserve">€225k seed (2014)</w:t>
            </w:r>
            <w:r>
              <w:rPr>
                <w:sz w:val="18"/>
              </w:rPr>
              <w:t xml:space="preserve">; Rotterdam; </w:t>
            </w:r>
            <w:r>
              <w:rPr>
                <w:b/>
                <w:sz w:val="18"/>
              </w:rPr>
              <w:t xml:space="preserve">merged with Share Council (Feb 2026)</w:t>
            </w:r>
            <w:r>
              <w:rPr>
                <w:sz w:val="18"/>
              </w:rPr>
              <w:t xml:space="preserve"> </w:t>
            </w:r>
            <w:r>
              <w:rPr>
                <w:rFonts w:ascii="Consolas" w:hAnsi="Consolas"/>
                <w:sz w:val="18"/>
              </w:rPr>
              <w:t xml:space="preserve">[merger from secondary sources]</w:t>
            </w:r>
          </w:p>
        </w:tc>
        <w:tc>
          <w:tcPr>
            <w:tcW w:w="1680" w:type="dxa"/>
          </w:tcPr>
          <w:p>
            <w:pPr>
              <w:spacing w:before="40" w:after="40"/>
            </w:pPr>
            <w:r>
              <w:rPr>
                <w:sz w:val="18"/>
              </w:rPr>
              <w:t xml:space="preserve">Only 15 Trustpilot reviews (2 in the past year) — €300 trial cost called expensive; workflow mismatch for one user; </w:t>
            </w:r>
            <w:r>
              <w:rPr>
                <w:b/>
                <w:sz w:val="18"/>
              </w:rPr>
              <w:t xml:space="preserve">thin evidence base overall</w:t>
            </w:r>
          </w:p>
        </w:tc>
      </w:tr>
      <w:tr>
        <w:tc>
          <w:tcPr>
            <w:tcW w:w="1680" w:type="dxa"/>
          </w:tcPr>
          <w:p>
            <w:pPr>
              <w:spacing w:before="40" w:after="40"/>
            </w:pPr>
            <w:r>
              <w:rPr>
                <w:b/>
                <w:sz w:val="18"/>
              </w:rPr>
              <w:t xml:space="preserve">Valutico</w:t>
            </w:r>
          </w:p>
        </w:tc>
        <w:tc>
          <w:tcPr>
            <w:tcW w:w="1680" w:type="dxa"/>
          </w:tcPr>
          <w:p>
            <w:pPr>
              <w:spacing w:before="40" w:after="40"/>
            </w:pPr>
            <w:r>
              <w:rPr>
                <w:b/>
                <w:sz w:val="18"/>
              </w:rPr>
              <w:t xml:space="preserve">Not published — quote only.</w:t>
            </w:r>
            <w:r>
              <w:rPr>
                <w:sz w:val="18"/>
              </w:rPr>
              <w:t xml:space="preserve"> Demo/VDR trial CTAs, no tiers — </w:t>
            </w:r>
            <w:hyperlink r:id="rHl50">
              <w:r>
                <w:rPr>
                  <w:rStyle w:val="Hyperlink"/>
                  <w:sz w:val="18"/>
                </w:rPr>
                <w:t xml:space="preserve">pricing page</w:t>
              </w:r>
            </w:hyperlink>
          </w:p>
        </w:tc>
        <w:tc>
          <w:tcPr>
            <w:tcW w:w="1680" w:type="dxa"/>
          </w:tcPr>
          <w:p>
            <w:pPr>
              <w:spacing w:before="40" w:after="40"/>
            </w:pPr>
            <w:r>
              <w:rPr>
                <w:sz w:val="18"/>
              </w:rPr>
              <w:t xml:space="preserve">1. 28 valuation techniques 2. Large transaction/peer comp database (1M+ transactions, 53k+ peers, vendor-stated) 3. Modules: diligence, credit, forecast, Eva AI, data room</w:t>
            </w:r>
          </w:p>
        </w:tc>
        <w:tc>
          <w:tcPr>
            <w:tcW w:w="1680" w:type="dxa"/>
          </w:tcPr>
          <w:p>
            <w:pPr>
              <w:spacing w:before="40" w:after="40"/>
            </w:pPr>
            <w:r>
              <w:rPr>
                <w:b/>
                <w:sz w:val="18"/>
              </w:rPr>
              <w:t xml:space="preserve">Advisors, not founders</w:t>
            </w:r>
            <w:r>
              <w:rPr>
                <w:sz w:val="18"/>
              </w:rPr>
              <w:t xml:space="preserve"> — M&amp;A teams, accounting/audit firms, PE, banks</w:t>
            </w:r>
          </w:p>
        </w:tc>
        <w:tc>
          <w:tcPr>
            <w:tcW w:w="1680" w:type="dxa"/>
          </w:tcPr>
          <w:p>
            <w:pPr>
              <w:spacing w:before="40" w:after="40"/>
            </w:pPr>
            <w:r>
              <w:rPr>
                <w:b/>
                <w:sz w:val="18"/>
              </w:rPr>
              <w:t xml:space="preserve">$2.18M total</w:t>
            </w:r>
            <w:r>
              <w:rPr>
                <w:sz w:val="18"/>
              </w:rPr>
              <w:t xml:space="preserve">, seed from PUSH Ventures, aws Gründerfonds, Erste Group; Vienna, founded 2017 (</w:t>
            </w:r>
            <w:hyperlink r:id="rHl51">
              <w:r>
                <w:rPr>
                  <w:rStyle w:val="Hyperlink"/>
                  <w:sz w:val="18"/>
                </w:rPr>
                <w:t xml:space="preserve">Tech.eu</w:t>
              </w:r>
            </w:hyperlink>
            <w:r>
              <w:rPr>
                <w:sz w:val="18"/>
              </w:rPr>
              <w:t xml:space="preserve">)</w:t>
            </w:r>
          </w:p>
        </w:tc>
        <w:tc>
          <w:tcPr>
            <w:tcW w:w="1680" w:type="dxa"/>
          </w:tcPr>
          <w:p>
            <w:pPr>
              <w:spacing w:before="40" w:after="40"/>
            </w:pPr>
            <w:r>
              <w:rPr>
                <w:sz w:val="18"/>
              </w:rPr>
              <w:t xml:space="preserve">Renewal charges after cancellation pursued by debt collectors (Dec 2024, 1★); comparable-transaction set missing many deals (Apr 2025); "best for larger enterprises, not small business" (Apr 2024)</w:t>
            </w:r>
          </w:p>
        </w:tc>
      </w:tr>
      <w:tr>
        <w:tc>
          <w:tcPr>
            <w:tcW w:w="1680" w:type="dxa"/>
          </w:tcPr>
          <w:p>
            <w:pPr>
              <w:spacing w:before="40" w:after="40"/>
            </w:pPr>
            <w:r>
              <w:rPr>
                <w:b/>
                <w:sz w:val="18"/>
              </w:rPr>
              <w:t xml:space="preserve">Eqvista</w:t>
            </w:r>
          </w:p>
        </w:tc>
        <w:tc>
          <w:tcPr>
            <w:tcW w:w="1680" w:type="dxa"/>
          </w:tcPr>
          <w:p>
            <w:pPr>
              <w:spacing w:before="40" w:after="40"/>
            </w:pPr>
            <w:r>
              <w:rPr>
                <w:b/>
                <w:sz w:val="18"/>
              </w:rPr>
              <w:t xml:space="preserve">Published.</w:t>
            </w:r>
            <w:r>
              <w:rPr>
                <w:sz w:val="18"/>
              </w:rPr>
              <w:t xml:space="preserve"> Cap table: </w:t>
            </w:r>
            <w:r>
              <w:rPr>
                <w:b/>
                <w:sz w:val="18"/>
              </w:rPr>
              <w:t xml:space="preserve">free</w:t>
            </w:r>
            <w:r>
              <w:rPr>
                <w:sz w:val="18"/>
              </w:rPr>
              <w:t xml:space="preserve"> &lt;20 stakeholders; </w:t>
            </w:r>
            <w:r>
              <w:rPr>
                <w:b/>
                <w:sz w:val="18"/>
              </w:rPr>
              <w:t xml:space="preserve">$2/stakeholder/month</w:t>
            </w:r>
            <w:r>
              <w:rPr>
                <w:sz w:val="18"/>
              </w:rPr>
              <w:t xml:space="preserve"> premium. </w:t>
            </w:r>
            <w:r>
              <w:rPr>
                <w:b/>
                <w:sz w:val="18"/>
              </w:rPr>
              <w:t xml:space="preserve">409A + cap table bundles: $990</w:t>
            </w:r>
            <w:r>
              <w:rPr>
                <w:sz w:val="18"/>
              </w:rPr>
              <w:t xml:space="preserve"> (pre-revenue), </w:t>
            </w:r>
            <w:r>
              <w:rPr>
                <w:b/>
                <w:sz w:val="18"/>
              </w:rPr>
              <w:t xml:space="preserve">$1,290</w:t>
            </w:r>
            <w:r>
              <w:rPr>
                <w:sz w:val="18"/>
              </w:rPr>
              <w:t xml:space="preserve"> (angel), </w:t>
            </w:r>
            <w:r>
              <w:rPr>
                <w:b/>
                <w:sz w:val="18"/>
              </w:rPr>
              <w:t xml:space="preserve">$1,990</w:t>
            </w:r>
            <w:r>
              <w:rPr>
                <w:sz w:val="18"/>
              </w:rPr>
              <w:t xml:space="preserve"> (seed), </w:t>
            </w:r>
            <w:r>
              <w:rPr>
                <w:b/>
                <w:sz w:val="18"/>
              </w:rPr>
              <w:t xml:space="preserve">$2,590</w:t>
            </w:r>
            <w:r>
              <w:rPr>
                <w:sz w:val="18"/>
              </w:rPr>
              <w:t xml:space="preserve"> (Series A), custom B+. ASC 718 $500+, QSBS $1,000+ — </w:t>
            </w:r>
            <w:hyperlink r:id="rHl52">
              <w:r>
                <w:rPr>
                  <w:rStyle w:val="Hyperlink"/>
                  <w:sz w:val="18"/>
                </w:rPr>
                <w:t xml:space="preserve">pricing page</w:t>
              </w:r>
            </w:hyperlink>
          </w:p>
        </w:tc>
        <w:tc>
          <w:tcPr>
            <w:tcW w:w="1680" w:type="dxa"/>
          </w:tcPr>
          <w:p>
            <w:pPr>
              <w:spacing w:before="40" w:after="40"/>
            </w:pPr>
            <w:r>
              <w:rPr>
                <w:sz w:val="18"/>
              </w:rPr>
              <w:t xml:space="preserve">1. Cap table + ESOP management 2. </w:t>
            </w:r>
            <w:r>
              <w:rPr>
                <w:b/>
                <w:sz w:val="18"/>
              </w:rPr>
              <w:t xml:space="preserve">Unlimited 409A updates/renewals</w:t>
            </w:r>
            <w:r>
              <w:rPr>
                <w:sz w:val="18"/>
              </w:rPr>
              <w:t xml:space="preserve"> inside the bundle 3. Waterfall and funding-round modeling</w:t>
            </w:r>
          </w:p>
        </w:tc>
        <w:tc>
          <w:tcPr>
            <w:tcW w:w="1680" w:type="dxa"/>
          </w:tcPr>
          <w:p>
            <w:pPr>
              <w:spacing w:before="40" w:after="40"/>
            </w:pPr>
            <w:r>
              <w:rPr>
                <w:sz w:val="18"/>
              </w:rPr>
              <w:t xml:space="preserve">Price-sensitive early-stage startups — the explicit Carta alternative</w:t>
            </w:r>
          </w:p>
        </w:tc>
        <w:tc>
          <w:tcPr>
            <w:tcW w:w="1680" w:type="dxa"/>
          </w:tcPr>
          <w:p>
            <w:pPr>
              <w:spacing w:before="40" w:after="40"/>
            </w:pPr>
            <w:r>
              <w:rPr>
                <w:b/>
                <w:sz w:val="18"/>
              </w:rPr>
              <w:t xml:space="preserve">$5M raised</w:t>
            </w:r>
            <w:r>
              <w:rPr>
                <w:sz w:val="18"/>
              </w:rPr>
              <w:t xml:space="preserve">; founded 2018, Las Vegas, founder Tomas Milar </w:t>
            </w:r>
            <w:r>
              <w:rPr>
                <w:rFonts w:ascii="Consolas" w:hAnsi="Consolas"/>
                <w:sz w:val="18"/>
              </w:rPr>
              <w:t xml:space="preserve">[UNVERIFIED — aggregator profiles]</w:t>
            </w:r>
          </w:p>
        </w:tc>
        <w:tc>
          <w:tcPr>
            <w:tcW w:w="1680" w:type="dxa"/>
          </w:tcPr>
          <w:p>
            <w:pPr>
              <w:spacing w:before="40" w:after="40"/>
            </w:pPr>
            <w:r>
              <w:rPr>
                <w:sz w:val="18"/>
              </w:rPr>
              <w:t xml:space="preserve">Charges continuing after cancellation (1★); slowness on large data sets (Apr 2026); email-only support, reports need Excel export</w:t>
            </w:r>
          </w:p>
        </w:tc>
      </w:tr>
      <w:tr>
        <w:tc>
          <w:tcPr>
            <w:tcW w:w="1680" w:type="dxa"/>
          </w:tcPr>
          <w:p>
            <w:pPr>
              <w:spacing w:before="40" w:after="40"/>
            </w:pPr>
            <w:r>
              <w:rPr>
                <w:b/>
                <w:sz w:val="18"/>
              </w:rPr>
              <w:t xml:space="preserve">Crunchbase</w:t>
            </w:r>
          </w:p>
        </w:tc>
        <w:tc>
          <w:tcPr>
            <w:tcW w:w="1680" w:type="dxa"/>
          </w:tcPr>
          <w:p>
            <w:pPr>
              <w:spacing w:before="40" w:after="40"/>
            </w:pPr>
            <w:r>
              <w:rPr>
                <w:b/>
                <w:sz w:val="18"/>
              </w:rPr>
              <w:t xml:space="preserve">Free tier</w:t>
            </w:r>
            <w:r>
              <w:rPr>
                <w:sz w:val="18"/>
              </w:rPr>
              <w:t xml:space="preserve">; </w:t>
            </w:r>
            <w:r>
              <w:rPr>
                <w:b/>
                <w:sz w:val="18"/>
              </w:rPr>
              <w:t xml:space="preserve">Pro $99/mo or $588/yr</w:t>
            </w:r>
            <w:r>
              <w:rPr>
                <w:sz w:val="18"/>
              </w:rPr>
              <w:t xml:space="preserve"> (2,000 export rows, 10 contact unlocks); </w:t>
            </w:r>
            <w:r>
              <w:rPr>
                <w:b/>
                <w:sz w:val="18"/>
              </w:rPr>
              <w:t xml:space="preserve">Business $199/mo annual</w:t>
            </w:r>
            <w:r>
              <w:rPr>
                <w:sz w:val="18"/>
              </w:rPr>
              <w:t xml:space="preserve"> (5,000 rows, CRM, Predictions &amp; Insights) — </w:t>
            </w:r>
            <w:r>
              <w:rPr>
                <w:b/>
                <w:sz w:val="18"/>
              </w:rPr>
              <w:t xml:space="preserve">pricing page is Cloudflare-blocked to this tool</w:t>
            </w:r>
            <w:r>
              <w:rPr>
                <w:sz w:val="18"/>
              </w:rPr>
              <w:t xml:space="preserve">, figures from </w:t>
            </w:r>
            <w:hyperlink r:id="rHl53">
              <w:r>
                <w:rPr>
                  <w:rStyle w:val="Hyperlink"/>
                  <w:sz w:val="18"/>
                </w:rPr>
                <w:t xml:space="preserve">G2</w:t>
              </w:r>
            </w:hyperlink>
            <w:r>
              <w:rPr>
                <w:sz w:val="18"/>
              </w:rPr>
              <w:t xml:space="preserve"> / </w:t>
            </w:r>
            <w:hyperlink r:id="rHl54">
              <w:r>
                <w:rPr>
                  <w:rStyle w:val="Hyperlink"/>
                  <w:sz w:val="18"/>
                </w:rPr>
                <w:t xml:space="preserve">Vendr</w:t>
              </w:r>
            </w:hyperlink>
            <w:r>
              <w:rPr>
                <w:sz w:val="18"/>
              </w:rPr>
              <w:t xml:space="preserve"> </w:t>
            </w:r>
            <w:r>
              <w:rPr>
                <w:rFonts w:ascii="Consolas" w:hAnsi="Consolas"/>
                <w:sz w:val="18"/>
              </w:rPr>
              <w:t xml:space="preserve">[secondary]</w:t>
            </w:r>
          </w:p>
        </w:tc>
        <w:tc>
          <w:tcPr>
            <w:tcW w:w="1680" w:type="dxa"/>
          </w:tcPr>
          <w:p>
            <w:pPr>
              <w:spacing w:before="40" w:after="40"/>
            </w:pPr>
            <w:r>
              <w:rPr>
                <w:sz w:val="18"/>
              </w:rPr>
              <w:t xml:space="preserve">1. Search across 4M+ companies 2. </w:t>
            </w:r>
            <w:r>
              <w:rPr>
                <w:b/>
                <w:sz w:val="18"/>
              </w:rPr>
              <w:t xml:space="preserve">Predictive funding intelligence with ranked investor matches</w:t>
            </w:r>
            <w:r>
              <w:rPr>
                <w:sz w:val="18"/>
              </w:rPr>
              <w:t xml:space="preserve"> 3. AI natural-language search, alerts, CRM sync</w:t>
            </w:r>
          </w:p>
        </w:tc>
        <w:tc>
          <w:tcPr>
            <w:tcW w:w="1680" w:type="dxa"/>
          </w:tcPr>
          <w:p>
            <w:pPr>
              <w:spacing w:before="40" w:after="40"/>
            </w:pPr>
            <w:r>
              <w:rPr>
                <w:sz w:val="18"/>
              </w:rPr>
              <w:t xml:space="preserve">Sales/BD teams, investors, researchers — </w:t>
            </w:r>
            <w:r>
              <w:rPr>
                <w:b/>
                <w:sz w:val="18"/>
              </w:rPr>
              <w:t xml:space="preserve">founders are not the primary buyer</w:t>
            </w:r>
          </w:p>
        </w:tc>
        <w:tc>
          <w:tcPr>
            <w:tcW w:w="1680" w:type="dxa"/>
          </w:tcPr>
          <w:p>
            <w:pPr>
              <w:spacing w:before="40" w:after="40"/>
            </w:pPr>
            <w:r>
              <w:rPr>
                <w:b/>
                <w:sz w:val="18"/>
              </w:rPr>
              <w:t xml:space="preserve">$106.5M total</w:t>
            </w:r>
            <w:r>
              <w:rPr>
                <w:sz w:val="18"/>
              </w:rPr>
              <w:t xml:space="preserve">; $50M Series D (2022), $30M Series C (2019, OMERS-led); spun out of AOL/Verizon in 2015 (</w:t>
            </w:r>
            <w:hyperlink r:id="rHl55">
              <w:r>
                <w:rPr>
                  <w:rStyle w:val="Hyperlink"/>
                  <w:sz w:val="18"/>
                </w:rPr>
                <w:t xml:space="preserve">TechCrunch</w:t>
              </w:r>
            </w:hyperlink>
            <w:r>
              <w:rPr>
                <w:sz w:val="18"/>
              </w:rPr>
              <w:t xml:space="preserve">)</w:t>
            </w:r>
          </w:p>
        </w:tc>
        <w:tc>
          <w:tcPr>
            <w:tcW w:w="1680" w:type="dxa"/>
          </w:tcPr>
          <w:p>
            <w:pPr>
              <w:spacing w:before="40" w:after="40"/>
            </w:pPr>
            <w:r>
              <w:rPr>
                <w:sz w:val="18"/>
              </w:rPr>
              <w:t xml:space="preserve">Plan auto-upgraded $88 → $588/yr (Mar 2026); charged after cancelling in trial (Jul 2023); wrong industry classification / conflated companies (Sep 2026). </w:t>
            </w:r>
            <w:r>
              <w:rPr>
                <w:b/>
                <w:sz w:val="18"/>
              </w:rPr>
              <w:t xml:space="preserve">Trustpilot 1.4★ across 51 reviews</w:t>
            </w:r>
          </w:p>
        </w:tc>
      </w:tr>
      <w:tr>
        <w:tc>
          <w:tcPr>
            <w:tcW w:w="1680" w:type="dxa"/>
          </w:tcPr>
          <w:p>
            <w:pPr>
              <w:spacing w:before="40" w:after="40"/>
            </w:pPr>
            <w:r>
              <w:rPr>
                <w:b/>
                <w:sz w:val="18"/>
              </w:rPr>
              <w:t xml:space="preserve">PitchBook</w:t>
            </w:r>
          </w:p>
        </w:tc>
        <w:tc>
          <w:tcPr>
            <w:tcW w:w="1680" w:type="dxa"/>
          </w:tcPr>
          <w:p>
            <w:pPr>
              <w:spacing w:before="40" w:after="40"/>
            </w:pPr>
            <w:r>
              <w:rPr>
                <w:b/>
                <w:sz w:val="18"/>
              </w:rPr>
              <w:t xml:space="preserve">Not published.</w:t>
            </w:r>
            <w:r>
              <w:rPr>
                <w:sz w:val="18"/>
              </w:rPr>
              <w:t xml:space="preserve"> Third-party reporting: </w:t>
            </w:r>
            <w:r>
              <w:rPr>
                <w:b/>
                <w:sz w:val="18"/>
              </w:rPr>
              <w:t xml:space="preserve">~$15,000–$20,000/yr single seat</w:t>
            </w:r>
            <w:r>
              <w:rPr>
                <w:sz w:val="18"/>
              </w:rPr>
              <w:t xml:space="preserve">, ~$7,000 per additional seat, $8,000–$12,000/user at enterprise scale; overall range $12k–$70k+ — </w:t>
            </w:r>
            <w:hyperlink r:id="rHl56">
              <w:r>
                <w:rPr>
                  <w:rStyle w:val="Hyperlink"/>
                  <w:sz w:val="18"/>
                </w:rPr>
                <w:t xml:space="preserve">Vendr</w:t>
              </w:r>
            </w:hyperlink>
            <w:r>
              <w:rPr>
                <w:sz w:val="18"/>
              </w:rPr>
              <w:t xml:space="preserve">, </w:t>
            </w:r>
            <w:hyperlink r:id="rHl57">
              <w:r>
                <w:rPr>
                  <w:rStyle w:val="Hyperlink"/>
                  <w:sz w:val="18"/>
                </w:rPr>
                <w:t xml:space="preserve">EasyVC</w:t>
              </w:r>
            </w:hyperlink>
            <w:r>
              <w:rPr>
                <w:sz w:val="18"/>
              </w:rPr>
              <w:t xml:space="preserve"> </w:t>
            </w:r>
            <w:r>
              <w:rPr>
                <w:rFonts w:ascii="Consolas" w:hAnsi="Consolas"/>
                <w:sz w:val="18"/>
              </w:rPr>
              <w:t xml:space="preserve">[secondary — PitchBook deliberately publishes nothing]</w:t>
            </w:r>
          </w:p>
        </w:tc>
        <w:tc>
          <w:tcPr>
            <w:tcW w:w="1680" w:type="dxa"/>
          </w:tcPr>
          <w:p>
            <w:pPr>
              <w:spacing w:before="40" w:after="40"/>
            </w:pPr>
            <w:r>
              <w:rPr>
                <w:sz w:val="18"/>
              </w:rPr>
              <w:t xml:space="preserve">1. Private-market company/fund/deal data 2. Benchmarks, comps, VC Exit Predictor 3. AI natural-language deal screening (added 2025)</w:t>
            </w:r>
          </w:p>
        </w:tc>
        <w:tc>
          <w:tcPr>
            <w:tcW w:w="1680" w:type="dxa"/>
          </w:tcPr>
          <w:p>
            <w:pPr>
              <w:spacing w:before="40" w:after="40"/>
            </w:pPr>
            <w:r>
              <w:rPr>
                <w:sz w:val="18"/>
              </w:rPr>
              <w:t xml:space="preserve">Institutional investors, bankers, advisors, corporates</w:t>
            </w:r>
          </w:p>
        </w:tc>
        <w:tc>
          <w:tcPr>
            <w:tcW w:w="1680" w:type="dxa"/>
          </w:tcPr>
          <w:p>
            <w:pPr>
              <w:spacing w:before="40" w:after="40"/>
            </w:pPr>
            <w:r>
              <w:rPr>
                <w:b/>
                <w:sz w:val="18"/>
              </w:rPr>
              <w:t xml:space="preserve">Owned by Morningstar (NASDAQ: MORN)</w:t>
            </w:r>
            <w:r>
              <w:rPr>
                <w:sz w:val="18"/>
              </w:rPr>
              <w:t xml:space="preserve"> — acquired the remaining ~80% for </w:t>
            </w:r>
            <w:r>
              <w:rPr>
                <w:b/>
                <w:sz w:val="18"/>
              </w:rPr>
              <w:t xml:space="preserve">~$180M at a $225M valuation</w:t>
            </w:r>
            <w:r>
              <w:rPr>
                <w:sz w:val="18"/>
              </w:rPr>
              <w:t xml:space="preserve">, Oct 2016 (</w:t>
            </w:r>
            <w:hyperlink r:id="rHl58">
              <w:r>
                <w:rPr>
                  <w:rStyle w:val="Hyperlink"/>
                  <w:sz w:val="18"/>
                </w:rPr>
                <w:t xml:space="preserve">Morningstar</w:t>
              </w:r>
            </w:hyperlink>
            <w:r>
              <w:rPr>
                <w:sz w:val="18"/>
              </w:rPr>
              <w:t xml:space="preserve">)</w:t>
            </w:r>
          </w:p>
        </w:tc>
        <w:tc>
          <w:tcPr>
            <w:tcW w:w="1680" w:type="dxa"/>
          </w:tcPr>
          <w:p>
            <w:pPr>
              <w:spacing w:before="40" w:after="40"/>
            </w:pPr>
            <w:r>
              <w:rPr>
                <w:sz w:val="18"/>
              </w:rPr>
              <w:t xml:space="preserve">Data accuracy dismissed outright (Oct 2025); "free trial" advertised then denied by reps (Mar 2025); profiles maintained without consent / GDPR objections (Feb 2024). </w:t>
            </w:r>
            <w:r>
              <w:rPr>
                <w:b/>
                <w:sz w:val="18"/>
              </w:rPr>
              <w:t xml:space="preserve">Trustpilot 1.7★, 87% one-star</w:t>
            </w:r>
          </w:p>
        </w:tc>
      </w:tr>
      <w:tr>
        <w:tc>
          <w:tcPr>
            <w:tcW w:w="1680" w:type="dxa"/>
          </w:tcPr>
          <w:p>
            <w:pPr>
              <w:spacing w:before="40" w:after="40"/>
            </w:pPr>
            <w:r>
              <w:rPr>
                <w:b/>
                <w:sz w:val="18"/>
              </w:rPr>
              <w:t xml:space="preserve">Foundersuite</w:t>
            </w:r>
          </w:p>
        </w:tc>
        <w:tc>
          <w:tcPr>
            <w:tcW w:w="1680" w:type="dxa"/>
          </w:tcPr>
          <w:p>
            <w:pPr>
              <w:spacing w:before="40" w:after="40"/>
            </w:pPr>
            <w:r>
              <w:rPr>
                <w:b/>
                <w:sz w:val="18"/>
              </w:rPr>
              <w:t xml:space="preserve">Published.</w:t>
            </w:r>
            <w:r>
              <w:rPr>
                <w:sz w:val="18"/>
              </w:rPr>
              <w:t xml:space="preserve"> Basic </w:t>
            </w:r>
            <w:r>
              <w:rPr>
                <w:b/>
                <w:sz w:val="18"/>
              </w:rPr>
              <w:t xml:space="preserve">free</w:t>
            </w:r>
            <w:r>
              <w:rPr>
                <w:sz w:val="18"/>
              </w:rPr>
              <w:t xml:space="preserve"> (75 investors/pipeline); </w:t>
            </w:r>
            <w:r>
              <w:rPr>
                <w:b/>
                <w:sz w:val="18"/>
              </w:rPr>
              <w:t xml:space="preserve">Silver $745/yr</w:t>
            </w:r>
            <w:r>
              <w:rPr>
                <w:sz w:val="18"/>
              </w:rPr>
              <w:t xml:space="preserve">; </w:t>
            </w:r>
            <w:r>
              <w:rPr>
                <w:b/>
                <w:sz w:val="18"/>
              </w:rPr>
              <w:t xml:space="preserve">Gold $1,069/yr</w:t>
            </w:r>
            <w:r>
              <w:rPr>
                <w:sz w:val="18"/>
              </w:rPr>
              <w:t xml:space="preserve">; </w:t>
            </w:r>
            <w:r>
              <w:rPr>
                <w:b/>
                <w:sz w:val="18"/>
              </w:rPr>
              <w:t xml:space="preserve">Platinum $1,609/yr</w:t>
            </w:r>
            <w:r>
              <w:rPr>
                <w:sz w:val="18"/>
              </w:rPr>
              <w:t xml:space="preserve">. All tiers include the full </w:t>
            </w:r>
            <w:r>
              <w:rPr>
                <w:b/>
                <w:sz w:val="18"/>
              </w:rPr>
              <w:t xml:space="preserve">227,000-investor database with contact info</w:t>
            </w:r>
            <w:r>
              <w:rPr>
                <w:sz w:val="18"/>
              </w:rPr>
              <w:t xml:space="preserve"> — </w:t>
            </w:r>
            <w:hyperlink r:id="rHl59">
              <w:r>
                <w:rPr>
                  <w:rStyle w:val="Hyperlink"/>
                  <w:sz w:val="18"/>
                </w:rPr>
                <w:t xml:space="preserve">pricing page</w:t>
              </w:r>
            </w:hyperlink>
          </w:p>
        </w:tc>
        <w:tc>
          <w:tcPr>
            <w:tcW w:w="1680" w:type="dxa"/>
          </w:tcPr>
          <w:p>
            <w:pPr>
              <w:spacing w:before="40" w:after="40"/>
            </w:pPr>
            <w:r>
              <w:rPr>
                <w:sz w:val="18"/>
              </w:rPr>
              <w:t xml:space="preserve">1. Investor database + CRM pipelines 2. Investor updates and deck hosting with view tracking 3. AI email generation, "Get Intro" warm-intro requests</w:t>
            </w:r>
          </w:p>
        </w:tc>
        <w:tc>
          <w:tcPr>
            <w:tcW w:w="1680" w:type="dxa"/>
          </w:tcPr>
          <w:p>
            <w:pPr>
              <w:spacing w:before="40" w:after="40"/>
            </w:pPr>
            <w:r>
              <w:rPr>
                <w:b/>
                <w:sz w:val="18"/>
              </w:rPr>
              <w:t xml:space="preserve">Founders actively raising</w:t>
            </w:r>
            <w:r>
              <w:rPr>
                <w:sz w:val="18"/>
              </w:rPr>
              <w:t xml:space="preserve"> — the only investor-side tool in this set priced for founders</w:t>
            </w:r>
          </w:p>
        </w:tc>
        <w:tc>
          <w:tcPr>
            <w:tcW w:w="1680" w:type="dxa"/>
          </w:tcPr>
          <w:p>
            <w:pPr>
              <w:spacing w:before="40" w:after="40"/>
            </w:pPr>
            <w:r>
              <w:rPr>
                <w:sz w:val="18"/>
              </w:rPr>
              <w:t xml:space="preserve">Founded 2015, San Francisco; last round reported </w:t>
            </w:r>
            <w:r>
              <w:rPr>
                <w:b/>
                <w:sz w:val="18"/>
              </w:rPr>
              <w:t xml:space="preserve">$13M, Sept 30 2024</w:t>
            </w:r>
            <w:r>
              <w:rPr>
                <w:sz w:val="18"/>
              </w:rPr>
              <w:t xml:space="preserve"> </w:t>
            </w:r>
            <w:r>
              <w:rPr>
                <w:rFonts w:ascii="Consolas" w:hAnsi="Consolas"/>
                <w:sz w:val="18"/>
              </w:rPr>
              <w:t xml:space="preserve">[UNVERIFIED — aggregator profile; unusually large for this company, treat with suspicion]</w:t>
            </w:r>
          </w:p>
        </w:tc>
        <w:tc>
          <w:tcPr>
            <w:tcW w:w="1680" w:type="dxa"/>
          </w:tcPr>
          <w:p>
            <w:pPr>
              <w:spacing w:before="40" w:after="40"/>
            </w:pPr>
            <w:r>
              <w:rPr>
                <w:sz w:val="18"/>
              </w:rPr>
              <w:t xml:space="preserve">Incomplete data when searching for investors; can't send email from inside the system; "clunky and overpriced for early stage"; no cap table</w:t>
            </w:r>
          </w:p>
        </w:tc>
      </w:tr>
    </w:tbl>
    <w:p>
      <w:pPr>
        <w:spacing w:after="0"/>
      </w:pPr>
    </w:p>
    <w:p>
      <w:pPr>
        <w:pStyle w:val="Heading2"/>
      </w:pPr>
      <w:r>
        <w:t xml:space="preserve">Review bases, for calibration</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2520"/>
        <w:gridCol w:w="2520"/>
        <w:gridCol w:w="2520"/>
        <w:gridCol w:w="2520"/>
      </w:tblGrid>
      <w:tr>
        <w:trPr>
          <w:tblHeader/>
        </w:trPr>
        <w:tc>
          <w:tcPr>
            <w:tcW w:w="2520" w:type="dxa"/>
            <w:shd w:val="clear" w:color="auto" w:fill="EFF1F3"/>
          </w:tcPr>
          <w:p>
            <w:pPr>
              <w:spacing w:before="40" w:after="40"/>
            </w:pPr>
            <w:r>
              <w:rPr>
                <w:b/>
                <w:sz w:val="18"/>
              </w:rPr>
              <w:t xml:space="preserve">Platform</w:t>
            </w:r>
          </w:p>
        </w:tc>
        <w:tc>
          <w:tcPr>
            <w:tcW w:w="2520" w:type="dxa"/>
            <w:shd w:val="clear" w:color="auto" w:fill="EFF1F3"/>
          </w:tcPr>
          <w:p>
            <w:pPr>
              <w:spacing w:before="40" w:after="40"/>
            </w:pPr>
            <w:r>
              <w:rPr>
                <w:b/>
                <w:sz w:val="18"/>
              </w:rPr>
              <w:t xml:space="preserve">Trustpilot</w:t>
            </w:r>
          </w:p>
        </w:tc>
        <w:tc>
          <w:tcPr>
            <w:tcW w:w="2520" w:type="dxa"/>
            <w:shd w:val="clear" w:color="auto" w:fill="EFF1F3"/>
          </w:tcPr>
          <w:p>
            <w:pPr>
              <w:spacing w:before="40" w:after="40"/>
            </w:pPr>
            <w:r>
              <w:rPr>
                <w:b/>
                <w:sz w:val="18"/>
              </w:rPr>
              <w:t xml:space="preserve">Capterra</w:t>
            </w:r>
          </w:p>
        </w:tc>
        <w:tc>
          <w:tcPr>
            <w:tcW w:w="2520" w:type="dxa"/>
            <w:shd w:val="clear" w:color="auto" w:fill="EFF1F3"/>
          </w:tcPr>
          <w:p>
            <w:pPr>
              <w:spacing w:before="40" w:after="40"/>
            </w:pPr>
            <w:r>
              <w:rPr>
                <w:b/>
                <w:sz w:val="18"/>
              </w:rPr>
              <w:t xml:space="preserve">Note</w:t>
            </w:r>
          </w:p>
        </w:tc>
      </w:tr>
      <w:tr>
        <w:tc>
          <w:tcPr>
            <w:tcW w:w="2520" w:type="dxa"/>
          </w:tcPr>
          <w:p>
            <w:pPr>
              <w:spacing w:before="40" w:after="40"/>
            </w:pPr>
            <w:r>
              <w:rPr>
                <w:sz w:val="18"/>
              </w:rPr>
              <w:t xml:space="preserve">Crunchbase</w:t>
            </w:r>
          </w:p>
        </w:tc>
        <w:tc>
          <w:tcPr>
            <w:tcW w:w="2520" w:type="dxa"/>
          </w:tcPr>
          <w:p>
            <w:pPr>
              <w:spacing w:before="40" w:after="40"/>
            </w:pPr>
            <w:r>
              <w:rPr>
                <w:b/>
                <w:sz w:val="18"/>
              </w:rPr>
              <w:t xml:space="preserve">1.4★ / 51</w:t>
            </w:r>
          </w:p>
        </w:tc>
        <w:tc>
          <w:tcPr>
            <w:tcW w:w="2520" w:type="dxa"/>
          </w:tcPr>
          <w:p>
            <w:pPr>
              <w:spacing w:before="40" w:after="40"/>
            </w:pPr>
            <w:r>
              <w:rPr>
                <w:sz w:val="18"/>
              </w:rPr>
              <w:t xml:space="preserve">—</w:t>
            </w:r>
          </w:p>
        </w:tc>
        <w:tc>
          <w:tcPr>
            <w:tcW w:w="2520" w:type="dxa"/>
          </w:tcPr>
          <w:p>
            <w:pPr>
              <w:spacing w:before="40" w:after="40"/>
            </w:pPr>
            <w:r>
              <w:rPr>
                <w:sz w:val="18"/>
              </w:rPr>
              <w:t xml:space="preserve">88% one-star in past 12 months</w:t>
            </w:r>
          </w:p>
        </w:tc>
      </w:tr>
      <w:tr>
        <w:tc>
          <w:tcPr>
            <w:tcW w:w="2520" w:type="dxa"/>
          </w:tcPr>
          <w:p>
            <w:pPr>
              <w:spacing w:before="40" w:after="40"/>
            </w:pPr>
            <w:r>
              <w:rPr>
                <w:sz w:val="18"/>
              </w:rPr>
              <w:t xml:space="preserve">PitchBook</w:t>
            </w:r>
          </w:p>
        </w:tc>
        <w:tc>
          <w:tcPr>
            <w:tcW w:w="2520" w:type="dxa"/>
          </w:tcPr>
          <w:p>
            <w:pPr>
              <w:spacing w:before="40" w:after="40"/>
            </w:pPr>
            <w:r>
              <w:rPr>
                <w:b/>
                <w:sz w:val="18"/>
              </w:rPr>
              <w:t xml:space="preserve">1.7★ / 23</w:t>
            </w:r>
          </w:p>
        </w:tc>
        <w:tc>
          <w:tcPr>
            <w:tcW w:w="2520" w:type="dxa"/>
          </w:tcPr>
          <w:p>
            <w:pPr>
              <w:spacing w:before="40" w:after="40"/>
            </w:pPr>
            <w:r>
              <w:rPr>
                <w:sz w:val="18"/>
              </w:rPr>
              <w:t xml:space="preserve">—</w:t>
            </w:r>
          </w:p>
        </w:tc>
        <w:tc>
          <w:tcPr>
            <w:tcW w:w="2520" w:type="dxa"/>
          </w:tcPr>
          <w:p>
            <w:pPr>
              <w:spacing w:before="40" w:after="40"/>
            </w:pPr>
            <w:r>
              <w:rPr>
                <w:sz w:val="18"/>
              </w:rPr>
              <w:t xml:space="preserve">87% one-star</w:t>
            </w:r>
          </w:p>
        </w:tc>
      </w:tr>
      <w:tr>
        <w:tc>
          <w:tcPr>
            <w:tcW w:w="2520" w:type="dxa"/>
          </w:tcPr>
          <w:p>
            <w:pPr>
              <w:spacing w:before="40" w:after="40"/>
            </w:pPr>
            <w:r>
              <w:rPr>
                <w:sz w:val="18"/>
              </w:rPr>
              <w:t xml:space="preserve">Carta</w:t>
            </w:r>
          </w:p>
        </w:tc>
        <w:tc>
          <w:tcPr>
            <w:tcW w:w="2520" w:type="dxa"/>
          </w:tcPr>
          <w:p>
            <w:pPr>
              <w:spacing w:before="40" w:after="40"/>
            </w:pPr>
            <w:r>
              <w:rPr>
                <w:b/>
                <w:sz w:val="18"/>
              </w:rPr>
              <w:t xml:space="preserve">2.1★ / 18</w:t>
            </w:r>
          </w:p>
        </w:tc>
        <w:tc>
          <w:tcPr>
            <w:tcW w:w="2520" w:type="dxa"/>
          </w:tcPr>
          <w:p>
            <w:pPr>
              <w:spacing w:before="40" w:after="40"/>
            </w:pPr>
            <w:r>
              <w:rPr>
                <w:sz w:val="18"/>
              </w:rPr>
              <w:t xml:space="preserve">4.2★ / 65</w:t>
            </w:r>
          </w:p>
        </w:tc>
        <w:tc>
          <w:tcPr>
            <w:tcW w:w="2520" w:type="dxa"/>
          </w:tcPr>
          <w:p>
            <w:pPr>
              <w:spacing w:before="40" w:after="40"/>
            </w:pPr>
            <w:r>
              <w:rPr>
                <w:sz w:val="18"/>
              </w:rPr>
              <w:t xml:space="preserve">App Store 4.8★ / 9,461 (employee-facing app)</w:t>
            </w:r>
          </w:p>
        </w:tc>
      </w:tr>
      <w:tr>
        <w:tc>
          <w:tcPr>
            <w:tcW w:w="2520" w:type="dxa"/>
          </w:tcPr>
          <w:p>
            <w:pPr>
              <w:spacing w:before="40" w:after="40"/>
            </w:pPr>
            <w:r>
              <w:rPr>
                <w:sz w:val="18"/>
              </w:rPr>
              <w:t xml:space="preserve">Equidam</w:t>
            </w:r>
          </w:p>
        </w:tc>
        <w:tc>
          <w:tcPr>
            <w:tcW w:w="2520" w:type="dxa"/>
          </w:tcPr>
          <w:p>
            <w:pPr>
              <w:spacing w:before="40" w:after="40"/>
            </w:pPr>
            <w:r>
              <w:rPr>
                <w:b/>
                <w:sz w:val="18"/>
              </w:rPr>
              <w:t xml:space="preserve">4.5★ / 15</w:t>
            </w:r>
          </w:p>
        </w:tc>
        <w:tc>
          <w:tcPr>
            <w:tcW w:w="2520" w:type="dxa"/>
          </w:tcPr>
          <w:p>
            <w:pPr>
              <w:spacing w:before="40" w:after="40"/>
            </w:pPr>
            <w:r>
              <w:rPr>
                <w:sz w:val="18"/>
              </w:rPr>
              <w:t xml:space="preserve">—</w:t>
            </w:r>
          </w:p>
        </w:tc>
        <w:tc>
          <w:tcPr>
            <w:tcW w:w="2520" w:type="dxa"/>
          </w:tcPr>
          <w:p>
            <w:pPr>
              <w:spacing w:before="40" w:after="40"/>
            </w:pPr>
            <w:r>
              <w:rPr>
                <w:sz w:val="18"/>
              </w:rPr>
              <w:t xml:space="preserve">Only 2 reviews in past 12 months</w:t>
            </w:r>
          </w:p>
        </w:tc>
      </w:tr>
      <w:tr>
        <w:tc>
          <w:tcPr>
            <w:tcW w:w="2520" w:type="dxa"/>
          </w:tcPr>
          <w:p>
            <w:pPr>
              <w:spacing w:before="40" w:after="40"/>
            </w:pPr>
            <w:r>
              <w:rPr>
                <w:sz w:val="18"/>
              </w:rPr>
              <w:t xml:space="preserve">Eqvista</w:t>
            </w:r>
          </w:p>
        </w:tc>
        <w:tc>
          <w:tcPr>
            <w:tcW w:w="2520" w:type="dxa"/>
          </w:tcPr>
          <w:p>
            <w:pPr>
              <w:spacing w:before="40" w:after="40"/>
            </w:pPr>
            <w:r>
              <w:rPr>
                <w:sz w:val="18"/>
              </w:rPr>
              <w:t xml:space="preserve">4.0★ / 3</w:t>
            </w:r>
          </w:p>
        </w:tc>
        <w:tc>
          <w:tcPr>
            <w:tcW w:w="2520" w:type="dxa"/>
          </w:tcPr>
          <w:p>
            <w:pPr>
              <w:spacing w:before="40" w:after="40"/>
            </w:pPr>
            <w:r>
              <w:rPr>
                <w:b/>
                <w:sz w:val="18"/>
              </w:rPr>
              <w:t xml:space="preserve">4.9★ / 31</w:t>
            </w:r>
          </w:p>
        </w:tc>
        <w:tc>
          <w:tcPr>
            <w:tcW w:w="2520" w:type="dxa"/>
          </w:tcPr>
          <w:p>
            <w:pPr>
              <w:spacing w:before="40" w:after="40"/>
            </w:pPr>
            <w:r>
              <w:rPr>
                <w:sz w:val="18"/>
              </w:rPr>
              <w:t xml:space="preserve">Tiny sample</w:t>
            </w:r>
          </w:p>
        </w:tc>
      </w:tr>
      <w:tr>
        <w:tc>
          <w:tcPr>
            <w:tcW w:w="2520" w:type="dxa"/>
          </w:tcPr>
          <w:p>
            <w:pPr>
              <w:spacing w:before="40" w:after="40"/>
            </w:pPr>
            <w:r>
              <w:rPr>
                <w:sz w:val="18"/>
              </w:rPr>
              <w:t xml:space="preserve">Valutico</w:t>
            </w:r>
          </w:p>
        </w:tc>
        <w:tc>
          <w:tcPr>
            <w:tcW w:w="2520" w:type="dxa"/>
          </w:tcPr>
          <w:p>
            <w:pPr>
              <w:spacing w:before="40" w:after="40"/>
            </w:pPr>
            <w:r>
              <w:rPr>
                <w:sz w:val="18"/>
              </w:rPr>
              <w:t xml:space="preserve">—</w:t>
            </w:r>
          </w:p>
        </w:tc>
        <w:tc>
          <w:tcPr>
            <w:tcW w:w="2520" w:type="dxa"/>
          </w:tcPr>
          <w:p>
            <w:pPr>
              <w:spacing w:before="40" w:after="40"/>
            </w:pPr>
            <w:r>
              <w:rPr>
                <w:b/>
                <w:sz w:val="18"/>
              </w:rPr>
              <w:t xml:space="preserve">4.4★ / 38</w:t>
            </w:r>
          </w:p>
        </w:tc>
        <w:tc>
          <w:tcPr>
            <w:tcW w:w="2520" w:type="dxa"/>
          </w:tcPr>
          <w:p>
            <w:pPr>
              <w:spacing w:before="40" w:after="40"/>
            </w:pPr>
            <w:r>
              <w:rPr>
                <w:sz w:val="18"/>
              </w:rPr>
              <w:t xml:space="preserve">Advisor-heavy reviewer base</w:t>
            </w:r>
          </w:p>
        </w:tc>
      </w:tr>
      <w:tr>
        <w:tc>
          <w:tcPr>
            <w:tcW w:w="2520" w:type="dxa"/>
          </w:tcPr>
          <w:p>
            <w:pPr>
              <w:spacing w:before="40" w:after="40"/>
            </w:pPr>
            <w:r>
              <w:rPr>
                <w:sz w:val="18"/>
              </w:rPr>
              <w:t xml:space="preserve">Foundersuite</w:t>
            </w:r>
          </w:p>
        </w:tc>
        <w:tc>
          <w:tcPr>
            <w:tcW w:w="2520" w:type="dxa"/>
          </w:tcPr>
          <w:p>
            <w:pPr>
              <w:spacing w:before="40" w:after="40"/>
            </w:pPr>
            <w:r>
              <w:rPr>
                <w:sz w:val="18"/>
              </w:rPr>
              <w:t xml:space="preserve">—</w:t>
            </w:r>
          </w:p>
        </w:tc>
        <w:tc>
          <w:tcPr>
            <w:tcW w:w="2520" w:type="dxa"/>
          </w:tcPr>
          <w:p>
            <w:pPr>
              <w:spacing w:before="40" w:after="40"/>
            </w:pPr>
            <w:r>
              <w:rPr>
                <w:b/>
                <w:sz w:val="18"/>
              </w:rPr>
              <w:t xml:space="preserve">4.7★ / 110</w:t>
            </w:r>
          </w:p>
        </w:tc>
        <w:tc>
          <w:tcPr>
            <w:tcW w:w="2520" w:type="dxa"/>
          </w:tcPr>
          <w:p>
            <w:pPr>
              <w:spacing w:before="40" w:after="40"/>
            </w:pPr>
            <w:r>
              <w:rPr>
                <w:sz w:val="18"/>
              </w:rPr>
              <w:t xml:space="preserve">Largest founder-side sample here</w:t>
            </w:r>
          </w:p>
        </w:tc>
      </w:tr>
    </w:tbl>
    <w:p>
      <w:pPr>
        <w:spacing w:after="0"/>
      </w:pPr>
    </w:p>
    <w:p>
      <w:r>
        <w:rPr>
          <w:b/>
        </w:rPr>
        <w:t xml:space="preserve">The pattern is stark:</w:t>
      </w:r>
      <w:r>
        <w:t xml:space="preserve"> the two big *data* platforms are rated ~1.5★ by the public; the small *valuation* tools are rated 4.4–4.9★ by tiny samples. High ratings on 15–38 reviews are not evidence of quality — they're evidence of low usage.</w:t>
      </w:r>
    </w:p>
    <w:p>
      <w:pPr>
        <w:pBdr>
          <w:bottom w:val="single" w:sz="6" w:space="6" w:color="C9CCD1"/>
        </w:pBdr>
      </w:pPr>
    </w:p>
    <w:p>
      <w:pPr>
        <w:pStyle w:val="Heading1"/>
      </w:pPr>
      <w:r>
        <w:t xml:space="preserve">Per-platform notes</w:t>
      </w:r>
    </w:p>
    <w:p>
      <w:pPr>
        <w:pStyle w:val="Heading2"/>
      </w:pPr>
      <w:r>
        <w:t xml:space="preserve">Carta — the default, and the most expensive to leave</w:t>
      </w:r>
    </w:p>
    <w:p>
      <w:r>
        <w:t xml:space="preserve">Carta is an equity *administration* system that sells valuations as an attached service, not a valuation product. Its free Launch tier (≤25 stakeholders, ≤$1M raised) is a deliberate funnel: the moment you raise a real round, you're into contact-sales pricing that reviewers describe in the thousands. It is also the only platform here that is an SEC-registered transfer agent — a genuine moat that has nothing to do with valuation quality.</w:t>
      </w:r>
    </w:p>
    <w:p>
      <w:pPr>
        <w:pStyle w:val="Heading2"/>
      </w:pPr>
      <w:r>
        <w:t xml:space="preserve">Equidam — the closest thing to this project that already exists</w:t>
      </w:r>
    </w:p>
    <w:p>
      <w:r>
        <w:t xml:space="preserve">Five-method valuation, founder-facing, published prices, free tier, benchmark data, and a $1,990 409A option. </w:t>
      </w:r>
      <w:r>
        <w:rPr>
          <w:b/>
        </w:rPr>
        <w:t xml:space="preserve">If you build a founder-facing valuation app, this is your direct competitor</w:t>
      </w:r>
      <w:r>
        <w:t xml:space="preserve"> — and its review base (15 lifetime, 2 in the past year) says almost nobody is using it. That is either the opening or the warning, and the same ambiguity flagged in Section 2. </w:t>
      </w:r>
      <w:r>
        <w:rPr>
          <w:rFonts w:ascii="Consolas" w:hAnsi="Consolas"/>
        </w:rPr>
        <w:t xml:space="preserve">[UNVERIFIED: no usage data beyond their marketing claim of 140,000+ founders served]</w:t>
      </w:r>
    </w:p>
    <w:p>
      <w:pPr>
        <w:pStyle w:val="Heading2"/>
      </w:pPr>
      <w:r>
        <w:t xml:space="preserve">Valutico — proof the professional tier is a different market</w:t>
      </w:r>
    </w:p>
    <w:p>
      <w:r>
        <w:t xml:space="preserve">28 techniques, a serious comps database, quote-only pricing, and a reviewer base of bankers and valuation analysts. A 5★ reviewer states plainly it suits larger enterprises rather than small business. </w:t>
      </w:r>
      <w:r>
        <w:rPr>
          <w:b/>
        </w:rPr>
        <w:t xml:space="preserve">Not a competitor for founders — a reminder that the good comps data lives where founders can't afford it.</w:t>
      </w:r>
    </w:p>
    <w:p>
      <w:pPr>
        <w:pStyle w:val="Heading2"/>
      </w:pPr>
      <w:r>
        <w:t xml:space="preserve">Eqvista — the price floor for compliance</w:t>
      </w:r>
    </w:p>
    <w:p>
      <w:r>
        <w:t xml:space="preserve">$990/yr for a pre-revenue 409A *with unlimited updates and a cap table* is the number that any valuation-adjacent product has to beat or route around. It also shows where the category is heading: valuation as a subscription commodity, not a per-report engagement.</w:t>
      </w:r>
    </w:p>
    <w:p>
      <w:pPr>
        <w:pStyle w:val="Heading2"/>
      </w:pPr>
      <w:r>
        <w:t xml:space="preserve">Crunchbase — has already shipped the investor-matching half</w:t>
      </w:r>
    </w:p>
    <w:p>
      <w:r>
        <w:t xml:space="preserve">Ranked investor matches off predictive funding signals, $588/yr, free tier for discovery. The product risk for this project is not that matching is hard — it's that a $588/yr incumbent with 4M company profiles already does it. The opening is their reputation: </w:t>
      </w:r>
      <w:r>
        <w:rPr>
          <w:b/>
        </w:rPr>
        <w:t xml:space="preserve">1.4★, with billing and data-accuracy complaints dominating.</w:t>
      </w:r>
    </w:p>
    <w:p>
      <w:pPr>
        <w:pStyle w:val="Heading2"/>
      </w:pPr>
      <w:r>
        <w:t xml:space="preserve">PitchBook — the data everyone wants, at a price founders won't pay</w:t>
      </w:r>
    </w:p>
    <w:p>
      <w:r>
        <w:t xml:space="preserve">$15k–$20k for a seat, owned by a public company, no published price, 1.7★ public reputation. Founders are not customers and will never be. </w:t>
      </w:r>
      <w:r>
        <w:rPr>
          <w:b/>
        </w:rPr>
        <w:t xml:space="preserve">Any product that gives founders defensible comps at a founder price is competing with PitchBook's data, not its business model.</w:t>
      </w:r>
    </w:p>
    <w:p>
      <w:pPr>
        <w:pStyle w:val="Heading2"/>
      </w:pPr>
      <w:r>
        <w:t xml:space="preserve">Foundersuite — the one built for the founder, and the one with real reviews</w:t>
      </w:r>
    </w:p>
    <w:p>
      <w:r>
        <w:t xml:space="preserve">$745–$1,609/yr, 227,000 investors, free tier, 110 Capterra reviews at 4.7★. Its gaps are precise and documented: </w:t>
      </w:r>
      <w:r>
        <w:rPr>
          <w:b/>
        </w:rPr>
        <w:t xml:space="preserve">incomplete investor data, no cap table, no valuation.</w:t>
      </w:r>
    </w:p>
    <w:p>
      <w:pPr>
        <w:pBdr>
          <w:bottom w:val="single" w:sz="6" w:space="6" w:color="C9CCD1"/>
        </w:pBdr>
      </w:pPr>
    </w:p>
    <w:p>
      <w:pPr>
        <w:pStyle w:val="Heading1"/>
      </w:pPr>
      <w:r>
        <w:t xml:space="preserve">What does nobody serve well?</w:t>
      </w:r>
    </w:p>
    <w:p>
      <w:r>
        <w:rPr>
          <w:b/>
        </w:rPr>
        <w:t xml:space="preserve">1. The negotiation number.</w:t>
      </w:r>
      <w:r>
        <w:t xml:space="preserve"> Every platform here produces either a *compliance* number (409A — Carta, Eqvista, Equidam's $1,990 tier) or a *professional* number (Valutico, for advisors valuing someone else's company). </w:t>
      </w:r>
      <w:r>
        <w:rPr>
          <w:b/>
        </w:rPr>
        <w:t xml:space="preserve">Nobody produces the number a founder argues for in a room</w:t>
      </w:r>
      <w:r>
        <w:t xml:space="preserve"> — the pre-money they should ask for, with comparables attached, at their stage, sector and geography. The 409A is deliberately lower than the preferred-share price; handing a founder their 409A as "your valuation" is actively misleading.</w:t>
      </w:r>
    </w:p>
    <w:p>
      <w:r>
        <w:rPr>
          <w:b/>
        </w:rPr>
        <w:t xml:space="preserve">2. Valuation joined to investor targeting.</w:t>
      </w:r>
      <w:r>
        <w:t xml:space="preserve"> Carta and Eqvista know your equity and nothing about investors. Crunchbase and PitchBook know investors and nothing about you. Foundersuite has the investors but </w:t>
      </w:r>
      <w:r>
        <w:rPr>
          <w:b/>
        </w:rPr>
        <w:t xml:space="preserve">no cap table and no valuation</w:t>
      </w:r>
      <w:r>
        <w:t xml:space="preserve"> — its own reviewers say so. </w:t>
      </w:r>
      <w:r>
        <w:rPr>
          <w:b/>
        </w:rPr>
        <w:t xml:space="preserve">No product in this set answers "here's what you're worth, here's who funds companies worth that, at your stage, in your sector."</w:t>
      </w:r>
      <w:r>
        <w:t xml:space="preserve"> That specific join is empty.</w:t>
      </w:r>
    </w:p>
    <w:p>
      <w:r>
        <w:rPr>
          <w:b/>
        </w:rPr>
        <w:t xml:space="preserve">3. Continuous valuation.</w:t>
      </w:r>
      <w:r>
        <w:t xml:space="preserve"> Everything here is point-in-time: a 409A is annual, Equidam runs a 12-month valuation cycle, Valutico is engagement-based. </w:t>
      </w:r>
      <w:r>
        <w:rPr>
          <w:b/>
        </w:rPr>
        <w:t xml:space="preserve">Nobody answers "what am I worth today?" continuously as revenue, headcount and the market move</w:t>
      </w:r>
      <w:r>
        <w:t xml:space="preserve"> — which is precisely what the project proposes.</w:t>
      </w:r>
    </w:p>
    <w:p>
      <w:r>
        <w:rPr>
          <w:b/>
        </w:rPr>
        <w:t xml:space="preserve">4. The pre-institutional founder.</w:t>
      </w:r>
      <w:r>
        <w:t xml:space="preserve"> Carta's free tier caps at $1M raised. PitchBook starts at $15,000. Valutico is built for enterprises. Crunchbase is sold to salespeople. </w:t>
      </w:r>
      <w:r>
        <w:rPr>
          <w:b/>
        </w:rPr>
        <w:t xml:space="preserve">The 40,000 annual Shark Tank applicants, the 1.7M high-propensity new businesses, and the founders raising their first $250k have no product in this comparison built for them</w:t>
      </w:r>
      <w:r>
        <w:t xml:space="preserve"> — they have spreadsheets.</w:t>
      </w:r>
    </w:p>
    <w:p>
      <w:r>
        <w:rPr>
          <w:b/>
        </w:rPr>
        <w:t xml:space="preserve">5. Published outcomes.</w:t>
      </w:r>
      <w:r>
        <w:t xml:space="preserve"> Not one of these platforms publishes how many of its users actually raised money. Section 2 showed that's exactly the grievance that turns paying users hostile ("I applied to 60 programs and got nothing").</w:t>
      </w:r>
    </w:p>
    <w:p>
      <w:r>
        <w:rPr>
          <w:b/>
        </w:rPr>
        <w:t xml:space="preserve">6. Honest pricing.</w:t>
      </w:r>
      <w:r>
        <w:t xml:space="preserve"> </w:t>
      </w:r>
      <w:r>
        <w:rPr>
          <w:b/>
        </w:rPr>
        <w:t xml:space="preserve">Three of seven don't publish a price at all</w:t>
      </w:r>
      <w:r>
        <w:t xml:space="preserve">, and the two that dominate the category are rated 1.4★ and 1.7★ largely over billing conduct. In a market this opaque, a published price is a product feature.</w:t>
      </w:r>
    </w:p>
    <w:p>
      <w:r>
        <w:rPr>
          <w:b/>
        </w:rPr>
        <w:t xml:space="preserve">7. Non-equity capital paths.</w:t>
      </w:r>
      <w:r>
        <w:t xml:space="preserve"> All seven assume a priced equity round. None routes a founder toward revenue-based financing, grants, SBA lending or crowdfunding when that's the better fit — even though most of the 5.67M annual business applicants will never be VC-fundable.</w:t>
      </w:r>
    </w:p>
    <w:p>
      <w:pPr>
        <w:pStyle w:val="Heading2"/>
      </w:pPr>
      <w:r>
        <w:t xml:space="preserve">The sharpest wedge</w:t>
      </w:r>
    </w:p>
    <w:p>
      <w:r>
        <w:rPr>
          <w:b/>
        </w:rPr>
        <w:t xml:space="preserve">Continuous, defensible, founder-facing valuation joined to ranked investor targeting, at a published price under $1,000/year, for companies below the institutional threshold.</w:t>
      </w:r>
      <w:r>
        <w:t xml:space="preserve"> Every element of that sentence is empty in the table above. The two hard parts are comparables data (PitchBook's moat) and proving outcomes (nobody's doing it, and it's what users punish you for).</w:t>
      </w:r>
    </w:p>
    <w:p>
      <w:pPr>
        <w:pBdr>
          <w:bottom w:val="single" w:sz="6" w:space="6" w:color="C9CCD1"/>
        </w:pBdr>
      </w:pPr>
    </w:p>
    <w:p>
      <w:pPr>
        <w:pStyle w:val="Heading1"/>
      </w:pPr>
      <w:r>
        <w:t xml:space="preserve">Flags</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5040"/>
        <w:gridCol w:w="5040"/>
      </w:tblGrid>
      <w:tr>
        <w:trPr>
          <w:tblHeader/>
        </w:trPr>
        <w:tc>
          <w:tcPr>
            <w:tcW w:w="5040" w:type="dxa"/>
            <w:shd w:val="clear" w:color="auto" w:fill="EFF1F3"/>
          </w:tcPr>
          <w:p>
            <w:pPr>
              <w:spacing w:before="40" w:after="40"/>
            </w:pPr>
            <w:r>
              <w:rPr>
                <w:b/>
                <w:sz w:val="18"/>
              </w:rPr>
              <w:t xml:space="preserve">Item</w:t>
            </w:r>
          </w:p>
        </w:tc>
        <w:tc>
          <w:tcPr>
            <w:tcW w:w="5040" w:type="dxa"/>
            <w:shd w:val="clear" w:color="auto" w:fill="EFF1F3"/>
          </w:tcPr>
          <w:p>
            <w:pPr>
              <w:spacing w:before="40" w:after="40"/>
            </w:pPr>
            <w:r>
              <w:rPr>
                <w:b/>
                <w:sz w:val="18"/>
              </w:rPr>
              <w:t xml:space="preserve">Status</w:t>
            </w:r>
          </w:p>
        </w:tc>
      </w:tr>
      <w:tr>
        <w:tc>
          <w:tcPr>
            <w:tcW w:w="5040" w:type="dxa"/>
          </w:tcPr>
          <w:p>
            <w:pPr>
              <w:spacing w:before="40" w:after="40"/>
            </w:pPr>
            <w:r>
              <w:rPr>
                <w:b/>
                <w:sz w:val="18"/>
              </w:rPr>
              <w:t xml:space="preserve">Carta prices beyond the free tier</w:t>
            </w:r>
          </w:p>
        </w:tc>
        <w:tc>
          <w:tcPr>
            <w:tcW w:w="5040" w:type="dxa"/>
          </w:tcPr>
          <w:p>
            <w:pPr>
              <w:spacing w:before="40" w:after="40"/>
            </w:pPr>
            <w:r>
              <w:rPr>
                <w:sz w:val="18"/>
              </w:rPr>
              <w:t xml:space="preserve">❌ Not published. The page states per-stakeholder pricing with a minimum annual fee and routes to sales. Dollar figures in reviews ($8,000/yr) and third-party guides ($2,800/yr Starter) are </w:t>
            </w:r>
            <w:r>
              <w:rPr>
                <w:rFonts w:ascii="Consolas" w:hAnsi="Consolas"/>
                <w:sz w:val="18"/>
              </w:rPr>
              <w:t xml:space="preserve">[UNVERIFIED]</w:t>
            </w:r>
            <w:r>
              <w:rPr>
                <w:sz w:val="18"/>
              </w:rPr>
              <w:t xml:space="preserve"> and may describe older packaging.</w:t>
            </w:r>
          </w:p>
        </w:tc>
      </w:tr>
      <w:tr>
        <w:tc>
          <w:tcPr>
            <w:tcW w:w="5040" w:type="dxa"/>
          </w:tcPr>
          <w:p>
            <w:pPr>
              <w:spacing w:before="40" w:after="40"/>
            </w:pPr>
            <w:r>
              <w:rPr>
                <w:b/>
                <w:sz w:val="18"/>
              </w:rPr>
              <w:t xml:space="preserve">Crunchbase pricing page</w:t>
            </w:r>
          </w:p>
        </w:tc>
        <w:tc>
          <w:tcPr>
            <w:tcW w:w="5040" w:type="dxa"/>
          </w:tcPr>
          <w:p>
            <w:pPr>
              <w:spacing w:before="40" w:after="40"/>
            </w:pPr>
            <w:r>
              <w:rPr>
                <w:sz w:val="18"/>
              </w:rPr>
              <w:t xml:space="preserve">⚠️ Cloudflare challenge blocked direct access; prices are from G2/Vendr/secondary write-ups and corroborated by a Trustpilot complaint citing $588.</w:t>
            </w:r>
          </w:p>
        </w:tc>
      </w:tr>
      <w:tr>
        <w:tc>
          <w:tcPr>
            <w:tcW w:w="5040" w:type="dxa"/>
          </w:tcPr>
          <w:p>
            <w:pPr>
              <w:spacing w:before="40" w:after="40"/>
            </w:pPr>
            <w:r>
              <w:rPr>
                <w:b/>
                <w:sz w:val="18"/>
              </w:rPr>
              <w:t xml:space="preserve">PitchBook pricing</w:t>
            </w:r>
          </w:p>
        </w:tc>
        <w:tc>
          <w:tcPr>
            <w:tcW w:w="5040" w:type="dxa"/>
          </w:tcPr>
          <w:p>
            <w:pPr>
              <w:spacing w:before="40" w:after="40"/>
            </w:pPr>
            <w:r>
              <w:rPr>
                <w:sz w:val="18"/>
              </w:rPr>
              <w:t xml:space="preserve">⚠️ Entirely third-party. PitchBook publishes nothing.</w:t>
            </w:r>
          </w:p>
        </w:tc>
      </w:tr>
      <w:tr>
        <w:tc>
          <w:tcPr>
            <w:tcW w:w="5040" w:type="dxa"/>
          </w:tcPr>
          <w:p>
            <w:pPr>
              <w:spacing w:before="40" w:after="40"/>
            </w:pPr>
            <w:r>
              <w:rPr>
                <w:b/>
                <w:sz w:val="18"/>
              </w:rPr>
              <w:t xml:space="preserve">Valutico data-scale claims</w:t>
            </w:r>
            <w:r>
              <w:rPr>
                <w:sz w:val="18"/>
              </w:rPr>
              <w:t xml:space="preserve"> (1M+ transactions, 53k+ peers, 28 techniques)</w:t>
            </w:r>
          </w:p>
        </w:tc>
        <w:tc>
          <w:tcPr>
            <w:tcW w:w="5040" w:type="dxa"/>
          </w:tcPr>
          <w:p>
            <w:pPr>
              <w:spacing w:before="40" w:after="40"/>
            </w:pPr>
            <w:r>
              <w:rPr>
                <w:sz w:val="18"/>
              </w:rPr>
              <w:t xml:space="preserve">⚠️ Vendor-stated, not independently verified.</w:t>
            </w:r>
          </w:p>
        </w:tc>
      </w:tr>
      <w:tr>
        <w:tc>
          <w:tcPr>
            <w:tcW w:w="5040" w:type="dxa"/>
          </w:tcPr>
          <w:p>
            <w:pPr>
              <w:spacing w:before="40" w:after="40"/>
            </w:pPr>
            <w:r>
              <w:rPr>
                <w:b/>
                <w:sz w:val="18"/>
              </w:rPr>
              <w:t xml:space="preserve">Foundersuite $13M round (Sept 2024)</w:t>
            </w:r>
          </w:p>
        </w:tc>
        <w:tc>
          <w:tcPr>
            <w:tcW w:w="5040" w:type="dxa"/>
          </w:tcPr>
          <w:p>
            <w:pPr>
              <w:spacing w:before="40" w:after="40"/>
            </w:pPr>
            <w:r>
              <w:rPr>
                <w:rFonts w:ascii="Consolas" w:hAnsi="Consolas"/>
                <w:sz w:val="18"/>
              </w:rPr>
              <w:t xml:space="preserve">[UNVERIFIED]</w:t>
            </w:r>
            <w:r>
              <w:rPr>
                <w:sz w:val="18"/>
              </w:rPr>
              <w:t xml:space="preserve"> — from an aggregator snippet, not a press release or SEC filing. Implausibly large for this company's size; </w:t>
            </w:r>
            <w:r>
              <w:rPr>
                <w:b/>
                <w:sz w:val="18"/>
              </w:rPr>
              <w:t xml:space="preserve">do not cite without confirming</w:t>
            </w:r>
            <w:r>
              <w:rPr>
                <w:sz w:val="18"/>
              </w:rPr>
              <w:t xml:space="preserve">.</w:t>
            </w:r>
          </w:p>
        </w:tc>
      </w:tr>
      <w:tr>
        <w:tc>
          <w:tcPr>
            <w:tcW w:w="5040" w:type="dxa"/>
          </w:tcPr>
          <w:p>
            <w:pPr>
              <w:spacing w:before="40" w:after="40"/>
            </w:pPr>
            <w:r>
              <w:rPr>
                <w:b/>
                <w:sz w:val="18"/>
              </w:rPr>
              <w:t xml:space="preserve">Carta's current valuation (~$3.5B) and ARR (~$500M)</w:t>
            </w:r>
          </w:p>
        </w:tc>
        <w:tc>
          <w:tcPr>
            <w:tcW w:w="5040" w:type="dxa"/>
          </w:tcPr>
          <w:p>
            <w:pPr>
              <w:spacing w:before="40" w:after="40"/>
            </w:pPr>
            <w:r>
              <w:rPr>
                <w:rFonts w:ascii="Consolas" w:hAnsi="Consolas"/>
                <w:sz w:val="18"/>
              </w:rPr>
              <w:t xml:space="preserve">[UNVERIFIED]</w:t>
            </w:r>
            <w:r>
              <w:rPr>
                <w:sz w:val="18"/>
              </w:rPr>
              <w:t xml:space="preserve"> — secondary market trackers, not company disclosure. The $7.4B / Series G / $1.29B figures are from 2021 reporting.</w:t>
            </w:r>
          </w:p>
        </w:tc>
      </w:tr>
      <w:tr>
        <w:tc>
          <w:tcPr>
            <w:tcW w:w="5040" w:type="dxa"/>
          </w:tcPr>
          <w:p>
            <w:pPr>
              <w:spacing w:before="40" w:after="40"/>
            </w:pPr>
            <w:r>
              <w:rPr>
                <w:b/>
                <w:sz w:val="18"/>
              </w:rPr>
              <w:t xml:space="preserve">Eqvista funding ($5M, Series A)</w:t>
            </w:r>
          </w:p>
        </w:tc>
        <w:tc>
          <w:tcPr>
            <w:tcW w:w="5040" w:type="dxa"/>
          </w:tcPr>
          <w:p>
            <w:pPr>
              <w:spacing w:before="40" w:after="40"/>
            </w:pPr>
            <w:r>
              <w:rPr>
                <w:rFonts w:ascii="Consolas" w:hAnsi="Consolas"/>
                <w:sz w:val="18"/>
              </w:rPr>
              <w:t xml:space="preserve">[UNVERIFIED]</w:t>
            </w:r>
            <w:r>
              <w:rPr>
                <w:sz w:val="18"/>
              </w:rPr>
              <w:t xml:space="preserve"> — aggregator profile.</w:t>
            </w:r>
          </w:p>
        </w:tc>
      </w:tr>
      <w:tr>
        <w:tc>
          <w:tcPr>
            <w:tcW w:w="5040" w:type="dxa"/>
          </w:tcPr>
          <w:p>
            <w:pPr>
              <w:spacing w:before="40" w:after="40"/>
            </w:pPr>
            <w:r>
              <w:rPr>
                <w:b/>
                <w:sz w:val="18"/>
              </w:rPr>
              <w:t xml:space="preserve">Equidam / Share Council merger (Feb 2026)</w:t>
            </w:r>
          </w:p>
        </w:tc>
        <w:tc>
          <w:tcPr>
            <w:tcW w:w="5040" w:type="dxa"/>
          </w:tcPr>
          <w:p>
            <w:pPr>
              <w:spacing w:before="40" w:after="40"/>
            </w:pPr>
            <w:r>
              <w:rPr>
                <w:sz w:val="18"/>
              </w:rPr>
              <w:t xml:space="preserve">⚠️ Company blog and secondary coverage; no filing reviewed.</w:t>
            </w:r>
          </w:p>
        </w:tc>
      </w:tr>
      <w:tr>
        <w:tc>
          <w:tcPr>
            <w:tcW w:w="5040" w:type="dxa"/>
          </w:tcPr>
          <w:p>
            <w:pPr>
              <w:spacing w:before="40" w:after="40"/>
            </w:pPr>
            <w:r>
              <w:rPr>
                <w:b/>
                <w:sz w:val="18"/>
              </w:rPr>
              <w:t xml:space="preserve">Equidam's "140,000+ founders"</w:t>
            </w:r>
          </w:p>
        </w:tc>
        <w:tc>
          <w:tcPr>
            <w:tcW w:w="5040" w:type="dxa"/>
          </w:tcPr>
          <w:p>
            <w:pPr>
              <w:spacing w:before="40" w:after="40"/>
            </w:pPr>
            <w:r>
              <w:rPr>
                <w:sz w:val="18"/>
              </w:rPr>
              <w:t xml:space="preserve">⚠️ Marketing claim; the 15-review Trustpilot base suggests low active engagement </w:t>
            </w:r>
            <w:r>
              <w:rPr>
                <w:rFonts w:ascii="Consolas" w:hAnsi="Consolas"/>
                <w:sz w:val="18"/>
              </w:rPr>
              <w:t xml:space="preserve">[inference]</w:t>
            </w:r>
            <w:r>
              <w:rPr>
                <w:sz w:val="18"/>
              </w:rPr>
              <w:t xml:space="preserve">.</w:t>
            </w:r>
          </w:p>
        </w:tc>
      </w:tr>
      <w:tr>
        <w:tc>
          <w:tcPr>
            <w:tcW w:w="5040" w:type="dxa"/>
          </w:tcPr>
          <w:p>
            <w:pPr>
              <w:spacing w:before="40" w:after="40"/>
            </w:pPr>
            <w:r>
              <w:rPr>
                <w:b/>
                <w:sz w:val="18"/>
              </w:rPr>
              <w:t xml:space="preserve">G2 / Reddit</w:t>
            </w:r>
          </w:p>
        </w:tc>
        <w:tc>
          <w:tcPr>
            <w:tcW w:w="5040" w:type="dxa"/>
          </w:tcPr>
          <w:p>
            <w:pPr>
              <w:spacing w:before="40" w:after="40"/>
            </w:pPr>
            <w:r>
              <w:rPr>
                <w:sz w:val="18"/>
              </w:rPr>
              <w:t xml:space="preserve">❌ Both blocked. G2 ratings quoted anywhere in this file would be secondhand; none are included.</w:t>
            </w:r>
          </w:p>
        </w:tc>
      </w:tr>
      <w:tr>
        <w:tc>
          <w:tcPr>
            <w:tcW w:w="5040" w:type="dxa"/>
          </w:tcPr>
          <w:p>
            <w:pPr>
              <w:spacing w:before="40" w:after="40"/>
            </w:pPr>
            <w:r>
              <w:rPr>
                <w:b/>
                <w:sz w:val="18"/>
              </w:rPr>
              <w:t xml:space="preserve">Review sample sizes</w:t>
            </w:r>
          </w:p>
        </w:tc>
        <w:tc>
          <w:tcPr>
            <w:tcW w:w="5040" w:type="dxa"/>
          </w:tcPr>
          <w:p>
            <w:pPr>
              <w:spacing w:before="40" w:after="40"/>
            </w:pPr>
            <w:r>
              <w:rPr>
                <w:sz w:val="18"/>
              </w:rPr>
              <w:t xml:space="preserve">⚠️ 15–110 reviews per platform, self-selected. Directional only.</w:t>
            </w:r>
          </w:p>
        </w:tc>
      </w:tr>
    </w:tbl>
    <w:p>
      <w:pPr>
        <w:spacing w:after="0"/>
      </w:pPr>
    </w:p>
    <w:p>
      <w:r>
        <w:br w:type="page"/>
      </w:r>
    </w:p>
    <w:p>
      <w:pPr>
        <w:pStyle w:val="Title"/>
      </w:pPr>
      <w:r>
        <w:t xml:space="preserve">Bottom-Up Market Size — $1,000/year Founder Valuation App</w:t>
      </w:r>
    </w:p>
    <w:p>
      <w:r>
        <w:rPr>
          <w:b/>
        </w:rPr>
        <w:t xml:space="preserve">Prepared:</w:t>
      </w:r>
      <w:r>
        <w:t xml:space="preserve"> September 22, 2026</w:t>
      </w:r>
    </w:p>
    <w:p>
      <w:r>
        <w:rPr>
          <w:b/>
        </w:rPr>
        <w:t xml:space="preserve">Method:</w:t>
      </w:r>
      <w:r>
        <w:t xml:space="preserve"> Population → behavioral gates → adoption → revenue. Every population figure comes from a named government, university or industry-association source. </w:t>
      </w:r>
      <w:r>
        <w:rPr>
          <w:b/>
        </w:rPr>
        <w:t xml:space="preserve">No top-down percentages of any market total appear anywhere in this model.</w:t>
      </w:r>
    </w:p>
    <w:p>
      <w:pPr>
        <w:pBdr>
          <w:bottom w:val="single" w:sz="6" w:space="6" w:color="C9CCD1"/>
        </w:pBdr>
      </w:pPr>
    </w:p>
    <w:p>
      <w:pPr>
        <w:pStyle w:val="Heading1"/>
      </w:pPr>
      <w:r>
        <w:t xml:space="preserve">Why the funnel starts where it does</w:t>
      </w:r>
    </w:p>
    <w:p>
      <w:r>
        <w:t xml:space="preserve">A founder buys a valuation-and-investor-matching product </w:t>
      </w:r>
      <w:r>
        <w:rPr>
          <w:b/>
        </w:rPr>
        <w:t xml:space="preserve">when they are trying to raise</w:t>
      </w:r>
      <w:r>
        <w:t xml:space="preserve">. So the population is not "startups" — it's </w:t>
      </w:r>
      <w:r>
        <w:rPr>
          <w:b/>
        </w:rPr>
        <w:t xml:space="preserve">companies attempting an outside raise in a given year</w:t>
      </w:r>
      <w:r>
        <w:t xml:space="preserve">. Three independent counts bracket that number:</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2520"/>
        <w:gridCol w:w="2520"/>
        <w:gridCol w:w="2520"/>
        <w:gridCol w:w="2520"/>
      </w:tblGrid>
      <w:tr>
        <w:trPr>
          <w:tblHeader/>
        </w:trPr>
        <w:tc>
          <w:tcPr>
            <w:tcW w:w="2520" w:type="dxa"/>
            <w:shd w:val="clear" w:color="auto" w:fill="EFF1F3"/>
          </w:tcPr>
          <w:p>
            <w:pPr>
              <w:spacing w:before="40" w:after="40"/>
            </w:pPr>
            <w:r>
              <w:rPr>
                <w:b/>
                <w:sz w:val="18"/>
              </w:rPr>
              <w:t xml:space="preserve">Measure</w:t>
            </w:r>
          </w:p>
        </w:tc>
        <w:tc>
          <w:tcPr>
            <w:tcW w:w="2520" w:type="dxa"/>
            <w:shd w:val="clear" w:color="auto" w:fill="EFF1F3"/>
          </w:tcPr>
          <w:p>
            <w:pPr>
              <w:spacing w:before="40" w:after="40"/>
            </w:pPr>
            <w:r>
              <w:rPr>
                <w:b/>
                <w:sz w:val="18"/>
              </w:rPr>
              <w:t xml:space="preserve">US figure</w:t>
            </w:r>
          </w:p>
        </w:tc>
        <w:tc>
          <w:tcPr>
            <w:tcW w:w="2520" w:type="dxa"/>
            <w:shd w:val="clear" w:color="auto" w:fill="EFF1F3"/>
          </w:tcPr>
          <w:p>
            <w:pPr>
              <w:spacing w:before="40" w:after="40"/>
            </w:pPr>
            <w:r>
              <w:rPr>
                <w:b/>
                <w:sz w:val="18"/>
              </w:rPr>
              <w:t xml:space="preserve">What it counts</w:t>
            </w:r>
          </w:p>
        </w:tc>
        <w:tc>
          <w:tcPr>
            <w:tcW w:w="2520" w:type="dxa"/>
            <w:shd w:val="clear" w:color="auto" w:fill="EFF1F3"/>
          </w:tcPr>
          <w:p>
            <w:pPr>
              <w:spacing w:before="40" w:after="40"/>
            </w:pPr>
            <w:r>
              <w:rPr>
                <w:b/>
                <w:sz w:val="18"/>
              </w:rPr>
              <w:t xml:space="preserve">Source</w:t>
            </w:r>
          </w:p>
        </w:tc>
      </w:tr>
      <w:tr>
        <w:tc>
          <w:tcPr>
            <w:tcW w:w="2520" w:type="dxa"/>
          </w:tcPr>
          <w:p>
            <w:pPr>
              <w:spacing w:before="40" w:after="40"/>
            </w:pPr>
            <w:r>
              <w:rPr>
                <w:sz w:val="18"/>
              </w:rPr>
              <w:t xml:space="preserve">Initial Form D filings</w:t>
            </w:r>
          </w:p>
        </w:tc>
        <w:tc>
          <w:tcPr>
            <w:tcW w:w="2520" w:type="dxa"/>
          </w:tcPr>
          <w:p>
            <w:pPr>
              <w:spacing w:before="40" w:after="40"/>
            </w:pPr>
            <w:r>
              <w:rPr>
                <w:b/>
                <w:sz w:val="18"/>
              </w:rPr>
              <w:t xml:space="preserve">34,553</w:t>
            </w:r>
            <w:r>
              <w:rPr>
                <w:sz w:val="18"/>
              </w:rPr>
              <w:t xml:space="preserve"> (2025 YTD); 32,554 (2024)</w:t>
            </w:r>
          </w:p>
        </w:tc>
        <w:tc>
          <w:tcPr>
            <w:tcW w:w="2520" w:type="dxa"/>
          </w:tcPr>
          <w:p>
            <w:pPr>
              <w:spacing w:before="40" w:after="40"/>
            </w:pPr>
            <w:r>
              <w:rPr>
                <w:sz w:val="18"/>
              </w:rPr>
              <w:t xml:space="preserve">Companies that *completed* a private raise under a Reg D exemption — a legal filing, so a hard floor</w:t>
            </w:r>
          </w:p>
        </w:tc>
        <w:tc>
          <w:tcPr>
            <w:tcW w:w="2520" w:type="dxa"/>
          </w:tcPr>
          <w:p>
            <w:pPr>
              <w:spacing w:before="40" w:after="40"/>
            </w:pPr>
            <w:hyperlink r:id="rHl4">
              <w:r>
                <w:rPr>
                  <w:rStyle w:val="Hyperlink"/>
                  <w:sz w:val="18"/>
                </w:rPr>
                <w:t xml:space="preserve">SEC Reg D statistics</w:t>
              </w:r>
            </w:hyperlink>
          </w:p>
        </w:tc>
      </w:tr>
      <w:tr>
        <w:tc>
          <w:tcPr>
            <w:tcW w:w="2520" w:type="dxa"/>
          </w:tcPr>
          <w:p>
            <w:pPr>
              <w:spacing w:before="40" w:after="40"/>
            </w:pPr>
            <w:r>
              <w:rPr>
                <w:sz w:val="18"/>
              </w:rPr>
              <w:t xml:space="preserve">Ventures receiving angel funding</w:t>
            </w:r>
          </w:p>
        </w:tc>
        <w:tc>
          <w:tcPr>
            <w:tcW w:w="2520" w:type="dxa"/>
          </w:tcPr>
          <w:p>
            <w:pPr>
              <w:spacing w:before="40" w:after="40"/>
            </w:pPr>
            <w:r>
              <w:rPr>
                <w:b/>
                <w:sz w:val="18"/>
              </w:rPr>
              <w:t xml:space="preserve">54,735</w:t>
            </w:r>
            <w:r>
              <w:rPr>
                <w:sz w:val="18"/>
              </w:rPr>
              <w:t xml:space="preserve"> (2023)</w:t>
            </w:r>
          </w:p>
        </w:tc>
        <w:tc>
          <w:tcPr>
            <w:tcW w:w="2520" w:type="dxa"/>
          </w:tcPr>
          <w:p>
            <w:pPr>
              <w:spacing w:before="40" w:after="40"/>
            </w:pPr>
            <w:r>
              <w:rPr>
                <w:sz w:val="18"/>
              </w:rPr>
              <w:t xml:space="preserve">Companies funded by angels, including raises that never file</w:t>
            </w:r>
          </w:p>
        </w:tc>
        <w:tc>
          <w:tcPr>
            <w:tcW w:w="2520" w:type="dxa"/>
          </w:tcPr>
          <w:p>
            <w:pPr>
              <w:spacing w:before="40" w:after="40"/>
            </w:pPr>
            <w:hyperlink r:id="rHl5">
              <w:r>
                <w:rPr>
                  <w:rStyle w:val="Hyperlink"/>
                  <w:sz w:val="18"/>
                </w:rPr>
                <w:t xml:space="preserve">UNH Center for Venture Research</w:t>
              </w:r>
            </w:hyperlink>
          </w:p>
        </w:tc>
      </w:tr>
      <w:tr>
        <w:tc>
          <w:tcPr>
            <w:tcW w:w="2520" w:type="dxa"/>
          </w:tcPr>
          <w:p>
            <w:pPr>
              <w:spacing w:before="40" w:after="40"/>
            </w:pPr>
            <w:r>
              <w:rPr>
                <w:sz w:val="18"/>
              </w:rPr>
              <w:t xml:space="preserve">US VC deals closed</w:t>
            </w:r>
          </w:p>
        </w:tc>
        <w:tc>
          <w:tcPr>
            <w:tcW w:w="2520" w:type="dxa"/>
          </w:tcPr>
          <w:p>
            <w:pPr>
              <w:spacing w:before="40" w:after="40"/>
            </w:pPr>
            <w:r>
              <w:rPr>
                <w:b/>
                <w:sz w:val="18"/>
              </w:rPr>
              <w:t xml:space="preserve">16,709</w:t>
            </w:r>
            <w:r>
              <w:rPr>
                <w:sz w:val="18"/>
              </w:rPr>
              <w:t xml:space="preserve"> (2025)</w:t>
            </w:r>
          </w:p>
        </w:tc>
        <w:tc>
          <w:tcPr>
            <w:tcW w:w="2520" w:type="dxa"/>
          </w:tcPr>
          <w:p>
            <w:pPr>
              <w:spacing w:before="40" w:after="40"/>
            </w:pPr>
            <w:r>
              <w:rPr>
                <w:sz w:val="18"/>
              </w:rPr>
              <w:t xml:space="preserve">Institutional rounds — mostly a subset of the above</w:t>
            </w:r>
          </w:p>
        </w:tc>
        <w:tc>
          <w:tcPr>
            <w:tcW w:w="2520" w:type="dxa"/>
          </w:tcPr>
          <w:p>
            <w:pPr>
              <w:spacing w:before="40" w:after="40"/>
            </w:pPr>
            <w:hyperlink r:id="rHl6">
              <w:r>
                <w:rPr>
                  <w:rStyle w:val="Hyperlink"/>
                  <w:sz w:val="18"/>
                </w:rPr>
                <w:t xml:space="preserve">PitchBook-NVCA Venture Monitor</w:t>
              </w:r>
            </w:hyperlink>
          </w:p>
        </w:tc>
      </w:tr>
    </w:tbl>
    <w:p>
      <w:pPr>
        <w:spacing w:after="0"/>
      </w:pPr>
    </w:p>
    <w:p>
      <w:r>
        <w:rPr>
          <w:b/>
        </w:rPr>
        <w:t xml:space="preserve">Companies that successfully raise outside equity in a year: ~55,000.</w:t>
      </w:r>
      <w:r>
        <w:t xml:space="preserve"> I use the angel figure as the broad measure because it captures non-institutional raises, which is this product's segment.</w:t>
      </w:r>
    </w:p>
    <w:p>
      <w:pPr>
        <w:pBdr>
          <w:bottom w:val="single" w:sz="6" w:space="6" w:color="C9CCD1"/>
        </w:pBdr>
      </w:pPr>
    </w:p>
    <w:p>
      <w:pPr>
        <w:pStyle w:val="Heading1"/>
      </w:pPr>
      <w:r>
        <w:t xml:space="preserve">The funnel (base case)</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2016"/>
        <w:gridCol w:w="2016"/>
        <w:gridCol w:w="2016"/>
        <w:gridCol w:w="2016"/>
        <w:gridCol w:w="2016"/>
      </w:tblGrid>
      <w:tr>
        <w:trPr>
          <w:tblHeader/>
        </w:trPr>
        <w:tc>
          <w:tcPr>
            <w:tcW w:w="2016" w:type="dxa"/>
            <w:shd w:val="clear" w:color="auto" w:fill="EFF1F3"/>
          </w:tcPr>
          <w:p>
            <w:pPr>
              <w:spacing w:before="40" w:after="40"/>
            </w:pPr>
            <w:r>
              <w:rPr>
                <w:b/>
                <w:sz w:val="18"/>
              </w:rPr>
              <w:t xml:space="preserve">Step</w:t>
            </w:r>
          </w:p>
        </w:tc>
        <w:tc>
          <w:tcPr>
            <w:tcW w:w="2016" w:type="dxa"/>
            <w:shd w:val="clear" w:color="auto" w:fill="EFF1F3"/>
          </w:tcPr>
          <w:p>
            <w:pPr>
              <w:spacing w:before="40" w:after="40"/>
            </w:pPr>
            <w:r>
              <w:rPr>
                <w:b/>
                <w:sz w:val="18"/>
              </w:rPr>
              <w:t xml:space="preserve">Filter</w:t>
            </w:r>
          </w:p>
        </w:tc>
        <w:tc>
          <w:tcPr>
            <w:tcW w:w="2016" w:type="dxa"/>
            <w:shd w:val="clear" w:color="auto" w:fill="EFF1F3"/>
          </w:tcPr>
          <w:p>
            <w:pPr>
              <w:spacing w:before="40" w:after="40"/>
            </w:pPr>
            <w:r>
              <w:rPr>
                <w:b/>
                <w:sz w:val="18"/>
              </w:rPr>
              <w:t xml:space="preserve">Multiplier</w:t>
            </w:r>
          </w:p>
        </w:tc>
        <w:tc>
          <w:tcPr>
            <w:tcW w:w="2016" w:type="dxa"/>
            <w:shd w:val="clear" w:color="auto" w:fill="EFF1F3"/>
          </w:tcPr>
          <w:p>
            <w:pPr>
              <w:spacing w:before="40" w:after="40"/>
            </w:pPr>
            <w:r>
              <w:rPr>
                <w:b/>
                <w:sz w:val="18"/>
              </w:rPr>
              <w:t xml:space="preserve">Population</w:t>
            </w:r>
          </w:p>
        </w:tc>
        <w:tc>
          <w:tcPr>
            <w:tcW w:w="2016" w:type="dxa"/>
            <w:shd w:val="clear" w:color="auto" w:fill="EFF1F3"/>
          </w:tcPr>
          <w:p>
            <w:pPr>
              <w:spacing w:before="40" w:after="40"/>
            </w:pPr>
            <w:r>
              <w:rPr>
                <w:b/>
                <w:sz w:val="18"/>
              </w:rPr>
              <w:t xml:space="preserve">Source / basis</w:t>
            </w:r>
          </w:p>
        </w:tc>
      </w:tr>
      <w:tr>
        <w:tc>
          <w:tcPr>
            <w:tcW w:w="2016" w:type="dxa"/>
          </w:tcPr>
          <w:p>
            <w:pPr>
              <w:spacing w:before="40" w:after="40"/>
            </w:pPr>
            <w:r>
              <w:rPr>
                <w:sz w:val="18"/>
              </w:rPr>
              <w:t xml:space="preserve">1</w:t>
            </w:r>
          </w:p>
        </w:tc>
        <w:tc>
          <w:tcPr>
            <w:tcW w:w="2016" w:type="dxa"/>
          </w:tcPr>
          <w:p>
            <w:pPr>
              <w:spacing w:before="40" w:after="40"/>
            </w:pPr>
            <w:r>
              <w:rPr>
                <w:sz w:val="18"/>
              </w:rPr>
              <w:t xml:space="preserve">US companies completing an outside raise, per year</w:t>
            </w:r>
          </w:p>
        </w:tc>
        <w:tc>
          <w:tcPr>
            <w:tcW w:w="2016" w:type="dxa"/>
          </w:tcPr>
          <w:p>
            <w:pPr>
              <w:spacing w:before="40" w:after="40"/>
            </w:pPr>
            <w:r>
              <w:rPr>
                <w:sz w:val="18"/>
              </w:rPr>
              <w:t xml:space="preserve">—</w:t>
            </w:r>
          </w:p>
        </w:tc>
        <w:tc>
          <w:tcPr>
            <w:tcW w:w="2016" w:type="dxa"/>
          </w:tcPr>
          <w:p>
            <w:pPr>
              <w:spacing w:before="40" w:after="40"/>
            </w:pPr>
            <w:r>
              <w:rPr>
                <w:b/>
                <w:sz w:val="18"/>
              </w:rPr>
              <w:t xml:space="preserve">54,735</w:t>
            </w:r>
          </w:p>
        </w:tc>
        <w:tc>
          <w:tcPr>
            <w:tcW w:w="2016" w:type="dxa"/>
          </w:tcPr>
          <w:p>
            <w:pPr>
              <w:spacing w:before="40" w:after="40"/>
            </w:pPr>
            <w:hyperlink r:id="rHl5">
              <w:r>
                <w:rPr>
                  <w:rStyle w:val="Hyperlink"/>
                  <w:sz w:val="18"/>
                </w:rPr>
                <w:t xml:space="preserve">UNH CVR</w:t>
              </w:r>
            </w:hyperlink>
          </w:p>
        </w:tc>
      </w:tr>
      <w:tr>
        <w:tc>
          <w:tcPr>
            <w:tcW w:w="2016" w:type="dxa"/>
          </w:tcPr>
          <w:p>
            <w:pPr>
              <w:spacing w:before="40" w:after="40"/>
            </w:pPr>
            <w:r>
              <w:rPr>
                <w:sz w:val="18"/>
              </w:rPr>
              <w:t xml:space="preserve">2</w:t>
            </w:r>
          </w:p>
        </w:tc>
        <w:tc>
          <w:tcPr>
            <w:tcW w:w="2016" w:type="dxa"/>
          </w:tcPr>
          <w:p>
            <w:pPr>
              <w:spacing w:before="40" w:after="40"/>
            </w:pPr>
            <w:r>
              <w:rPr>
                <w:sz w:val="18"/>
              </w:rPr>
              <w:t xml:space="preserve">Companies </w:t>
            </w:r>
            <w:r>
              <w:rPr>
                <w:b/>
                <w:sz w:val="18"/>
              </w:rPr>
              <w:t xml:space="preserve">attempting</w:t>
            </w:r>
            <w:r>
              <w:rPr>
                <w:sz w:val="18"/>
              </w:rPr>
              <w:t xml:space="preserve"> a raise per company that succeeds</w:t>
            </w:r>
          </w:p>
        </w:tc>
        <w:tc>
          <w:tcPr>
            <w:tcW w:w="2016" w:type="dxa"/>
          </w:tcPr>
          <w:p>
            <w:pPr>
              <w:spacing w:before="40" w:after="40"/>
            </w:pPr>
            <w:r>
              <w:rPr>
                <w:b/>
                <w:sz w:val="18"/>
              </w:rPr>
              <w:t xml:space="preserve">×3</w:t>
            </w:r>
          </w:p>
        </w:tc>
        <w:tc>
          <w:tcPr>
            <w:tcW w:w="2016" w:type="dxa"/>
          </w:tcPr>
          <w:p>
            <w:pPr>
              <w:spacing w:before="40" w:after="40"/>
            </w:pPr>
            <w:r>
              <w:rPr>
                <w:b/>
                <w:sz w:val="18"/>
              </w:rPr>
              <w:t xml:space="preserve">164,205</w:t>
            </w:r>
          </w:p>
        </w:tc>
        <w:tc>
          <w:tcPr>
            <w:tcW w:w="2016" w:type="dxa"/>
          </w:tcPr>
          <w:p>
            <w:pPr>
              <w:spacing w:before="40" w:after="40"/>
            </w:pPr>
            <w:r>
              <w:rPr>
                <w:rFonts w:ascii="Consolas" w:hAnsi="Consolas"/>
                <w:sz w:val="18"/>
              </w:rPr>
              <w:t xml:space="preserve">[UNVERIFIED — see A2]</w:t>
            </w:r>
          </w:p>
        </w:tc>
      </w:tr>
      <w:tr>
        <w:tc>
          <w:tcPr>
            <w:tcW w:w="2016" w:type="dxa"/>
          </w:tcPr>
          <w:p>
            <w:pPr>
              <w:spacing w:before="40" w:after="40"/>
            </w:pPr>
            <w:r>
              <w:rPr>
                <w:sz w:val="18"/>
              </w:rPr>
              <w:t xml:space="preserve">3</w:t>
            </w:r>
          </w:p>
        </w:tc>
        <w:tc>
          <w:tcPr>
            <w:tcW w:w="2016" w:type="dxa"/>
          </w:tcPr>
          <w:p>
            <w:pPr>
              <w:spacing w:before="40" w:after="40"/>
            </w:pPr>
            <w:r>
              <w:rPr>
                <w:sz w:val="18"/>
              </w:rPr>
              <w:t xml:space="preserve">Attempting founders who look for *software* rather than only an accountant, lawyer or warm intro</w:t>
            </w:r>
          </w:p>
        </w:tc>
        <w:tc>
          <w:tcPr>
            <w:tcW w:w="2016" w:type="dxa"/>
          </w:tcPr>
          <w:p>
            <w:pPr>
              <w:spacing w:before="40" w:after="40"/>
            </w:pPr>
            <w:r>
              <w:rPr>
                <w:b/>
                <w:sz w:val="18"/>
              </w:rPr>
              <w:t xml:space="preserve">×40%</w:t>
            </w:r>
          </w:p>
        </w:tc>
        <w:tc>
          <w:tcPr>
            <w:tcW w:w="2016" w:type="dxa"/>
          </w:tcPr>
          <w:p>
            <w:pPr>
              <w:spacing w:before="40" w:after="40"/>
            </w:pPr>
            <w:r>
              <w:rPr>
                <w:b/>
                <w:sz w:val="18"/>
              </w:rPr>
              <w:t xml:space="preserve">65,682</w:t>
            </w:r>
          </w:p>
        </w:tc>
        <w:tc>
          <w:tcPr>
            <w:tcW w:w="2016" w:type="dxa"/>
          </w:tcPr>
          <w:p>
            <w:pPr>
              <w:spacing w:before="40" w:after="40"/>
            </w:pPr>
            <w:r>
              <w:rPr>
                <w:rFonts w:ascii="Consolas" w:hAnsi="Consolas"/>
                <w:sz w:val="18"/>
              </w:rPr>
              <w:t xml:space="preserve">[UNVERIFIED — see A3]</w:t>
            </w:r>
          </w:p>
        </w:tc>
      </w:tr>
      <w:tr>
        <w:tc>
          <w:tcPr>
            <w:tcW w:w="2016" w:type="dxa"/>
          </w:tcPr>
          <w:p>
            <w:pPr>
              <w:spacing w:before="40" w:after="40"/>
            </w:pPr>
            <w:r>
              <w:rPr>
                <w:sz w:val="18"/>
              </w:rPr>
              <w:t xml:space="preserve">4</w:t>
            </w:r>
          </w:p>
        </w:tc>
        <w:tc>
          <w:tcPr>
            <w:tcW w:w="2016" w:type="dxa"/>
          </w:tcPr>
          <w:p>
            <w:pPr>
              <w:spacing w:before="40" w:after="40"/>
            </w:pPr>
            <w:r>
              <w:rPr>
                <w:sz w:val="18"/>
              </w:rPr>
              <w:t xml:space="preserve">Of those, the share who reach a product like this in a given year (US, English, online-first)</w:t>
            </w:r>
          </w:p>
        </w:tc>
        <w:tc>
          <w:tcPr>
            <w:tcW w:w="2016" w:type="dxa"/>
          </w:tcPr>
          <w:p>
            <w:pPr>
              <w:spacing w:before="40" w:after="40"/>
            </w:pPr>
            <w:r>
              <w:rPr>
                <w:b/>
                <w:sz w:val="18"/>
              </w:rPr>
              <w:t xml:space="preserve">×90%</w:t>
            </w:r>
          </w:p>
        </w:tc>
        <w:tc>
          <w:tcPr>
            <w:tcW w:w="2016" w:type="dxa"/>
          </w:tcPr>
          <w:p>
            <w:pPr>
              <w:spacing w:before="40" w:after="40"/>
            </w:pPr>
            <w:r>
              <w:rPr>
                <w:b/>
                <w:sz w:val="18"/>
              </w:rPr>
              <w:t xml:space="preserve">59,114</w:t>
            </w:r>
          </w:p>
        </w:tc>
        <w:tc>
          <w:tcPr>
            <w:tcW w:w="2016" w:type="dxa"/>
          </w:tcPr>
          <w:p>
            <w:pPr>
              <w:spacing w:before="40" w:after="40"/>
            </w:pPr>
            <w:r>
              <w:rPr>
                <w:rFonts w:ascii="Consolas" w:hAnsi="Consolas"/>
                <w:sz w:val="18"/>
              </w:rPr>
              <w:t xml:space="preserve">[UNVERIFIED — see A4]</w:t>
            </w:r>
          </w:p>
        </w:tc>
      </w:tr>
    </w:tbl>
    <w:p>
      <w:pPr>
        <w:spacing w:after="0"/>
      </w:pPr>
    </w:p>
    <w:p>
      <w:pPr>
        <w:pStyle w:val="Heading2"/>
      </w:pPr>
      <w:r>
        <w:rPr>
          <w:b/>
        </w:rPr>
        <w:t xml:space="preserve">Serviceable market (SAM) = ~59,000 US founders per year</w:t>
      </w:r>
    </w:p>
    <w:p>
      <w:r>
        <w:t xml:space="preserve">Defined as: *founders actively attempting to raise outside capital this year who would consider buying software to price their company and target investors.*</w:t>
      </w:r>
    </w:p>
    <w:p>
      <w:pPr>
        <w:pBdr>
          <w:bottom w:val="single" w:sz="6" w:space="6" w:color="C9CCD1"/>
        </w:pBdr>
      </w:pPr>
    </w:p>
    <w:p>
      <w:pPr>
        <w:pStyle w:val="Heading1"/>
      </w:pPr>
      <w:r>
        <w:t xml:space="preserve">Three cases</w:t>
      </w:r>
    </w:p>
    <w:p>
      <w:r>
        <w:t xml:space="preserve">The funnel is held constant; only </w:t>
      </w:r>
      <w:r>
        <w:rPr>
          <w:b/>
        </w:rPr>
        <w:t xml:space="preserve">adoption</w:t>
      </w:r>
      <w:r>
        <w:t xml:space="preserve"> varies, so the cases are comparable.</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2520"/>
        <w:gridCol w:w="2520"/>
        <w:gridCol w:w="2520"/>
        <w:gridCol w:w="2520"/>
      </w:tblGrid>
      <w:tr>
        <w:trPr>
          <w:tblHeader/>
        </w:trPr>
        <w:tc>
          <w:tcPr>
            <w:tcW w:w="2520" w:type="dxa"/>
            <w:shd w:val="clear" w:color="auto" w:fill="EFF1F3"/>
          </w:tcPr>
          <w:p>
            <w:pPr>
              <w:spacing w:before="40" w:after="40"/>
            </w:pPr>
          </w:p>
        </w:tc>
        <w:tc>
          <w:tcPr>
            <w:tcW w:w="2520" w:type="dxa"/>
            <w:shd w:val="clear" w:color="auto" w:fill="EFF1F3"/>
          </w:tcPr>
          <w:p>
            <w:pPr>
              <w:spacing w:before="40" w:after="40"/>
            </w:pPr>
            <w:r>
              <w:rPr>
                <w:b/>
                <w:sz w:val="18"/>
              </w:rPr>
              <w:t xml:space="preserve">Conservative</w:t>
            </w:r>
          </w:p>
        </w:tc>
        <w:tc>
          <w:tcPr>
            <w:tcW w:w="2520" w:type="dxa"/>
            <w:shd w:val="clear" w:color="auto" w:fill="EFF1F3"/>
          </w:tcPr>
          <w:p>
            <w:pPr>
              <w:spacing w:before="40" w:after="40"/>
            </w:pPr>
            <w:r>
              <w:rPr>
                <w:b/>
                <w:sz w:val="18"/>
              </w:rPr>
              <w:t xml:space="preserve">Base</w:t>
            </w:r>
          </w:p>
        </w:tc>
        <w:tc>
          <w:tcPr>
            <w:tcW w:w="2520" w:type="dxa"/>
            <w:shd w:val="clear" w:color="auto" w:fill="EFF1F3"/>
          </w:tcPr>
          <w:p>
            <w:pPr>
              <w:spacing w:before="40" w:after="40"/>
            </w:pPr>
            <w:r>
              <w:rPr>
                <w:b/>
                <w:sz w:val="18"/>
              </w:rPr>
              <w:t xml:space="preserve">Optimistic</w:t>
            </w:r>
          </w:p>
        </w:tc>
      </w:tr>
      <w:tr>
        <w:tc>
          <w:tcPr>
            <w:tcW w:w="2520" w:type="dxa"/>
          </w:tcPr>
          <w:p>
            <w:pPr>
              <w:spacing w:before="40" w:after="40"/>
            </w:pPr>
            <w:r>
              <w:rPr>
                <w:sz w:val="18"/>
              </w:rPr>
              <w:t xml:space="preserve">SAM</w:t>
            </w:r>
          </w:p>
        </w:tc>
        <w:tc>
          <w:tcPr>
            <w:tcW w:w="2520" w:type="dxa"/>
          </w:tcPr>
          <w:p>
            <w:pPr>
              <w:spacing w:before="40" w:after="40"/>
            </w:pPr>
            <w:r>
              <w:rPr>
                <w:sz w:val="18"/>
              </w:rPr>
              <w:t xml:space="preserve">59,000</w:t>
            </w:r>
          </w:p>
        </w:tc>
        <w:tc>
          <w:tcPr>
            <w:tcW w:w="2520" w:type="dxa"/>
          </w:tcPr>
          <w:p>
            <w:pPr>
              <w:spacing w:before="40" w:after="40"/>
            </w:pPr>
            <w:r>
              <w:rPr>
                <w:sz w:val="18"/>
              </w:rPr>
              <w:t xml:space="preserve">59,000</w:t>
            </w:r>
          </w:p>
        </w:tc>
        <w:tc>
          <w:tcPr>
            <w:tcW w:w="2520" w:type="dxa"/>
          </w:tcPr>
          <w:p>
            <w:pPr>
              <w:spacing w:before="40" w:after="40"/>
            </w:pPr>
            <w:r>
              <w:rPr>
                <w:sz w:val="18"/>
              </w:rPr>
              <w:t xml:space="preserve">59,000</w:t>
            </w:r>
          </w:p>
        </w:tc>
      </w:tr>
      <w:tr>
        <w:tc>
          <w:tcPr>
            <w:tcW w:w="2520" w:type="dxa"/>
          </w:tcPr>
          <w:p>
            <w:pPr>
              <w:spacing w:before="40" w:after="40"/>
            </w:pPr>
            <w:r>
              <w:rPr>
                <w:b/>
                <w:sz w:val="18"/>
              </w:rPr>
              <w:t xml:space="preserve">Adoption (% of SAM)</w:t>
            </w:r>
          </w:p>
        </w:tc>
        <w:tc>
          <w:tcPr>
            <w:tcW w:w="2520" w:type="dxa"/>
          </w:tcPr>
          <w:p>
            <w:pPr>
              <w:spacing w:before="40" w:after="40"/>
            </w:pPr>
            <w:r>
              <w:rPr>
                <w:b/>
                <w:sz w:val="18"/>
              </w:rPr>
              <w:t xml:space="preserve">1.0%</w:t>
            </w:r>
          </w:p>
        </w:tc>
        <w:tc>
          <w:tcPr>
            <w:tcW w:w="2520" w:type="dxa"/>
          </w:tcPr>
          <w:p>
            <w:pPr>
              <w:spacing w:before="40" w:after="40"/>
            </w:pPr>
            <w:r>
              <w:rPr>
                <w:b/>
                <w:sz w:val="18"/>
              </w:rPr>
              <w:t xml:space="preserve">3.0%</w:t>
            </w:r>
          </w:p>
        </w:tc>
        <w:tc>
          <w:tcPr>
            <w:tcW w:w="2520" w:type="dxa"/>
          </w:tcPr>
          <w:p>
            <w:pPr>
              <w:spacing w:before="40" w:after="40"/>
            </w:pPr>
            <w:r>
              <w:rPr>
                <w:b/>
                <w:sz w:val="18"/>
              </w:rPr>
              <w:t xml:space="preserve">7.0%</w:t>
            </w:r>
          </w:p>
        </w:tc>
      </w:tr>
      <w:tr>
        <w:tc>
          <w:tcPr>
            <w:tcW w:w="2520" w:type="dxa"/>
          </w:tcPr>
          <w:p>
            <w:pPr>
              <w:spacing w:before="40" w:after="40"/>
            </w:pPr>
            <w:r>
              <w:rPr>
                <w:b/>
                <w:sz w:val="18"/>
              </w:rPr>
              <w:t xml:space="preserve">Paying customers</w:t>
            </w:r>
          </w:p>
        </w:tc>
        <w:tc>
          <w:tcPr>
            <w:tcW w:w="2520" w:type="dxa"/>
          </w:tcPr>
          <w:p>
            <w:pPr>
              <w:spacing w:before="40" w:after="40"/>
            </w:pPr>
            <w:r>
              <w:rPr>
                <w:b/>
                <w:sz w:val="18"/>
              </w:rPr>
              <w:t xml:space="preserve">590</w:t>
            </w:r>
          </w:p>
        </w:tc>
        <w:tc>
          <w:tcPr>
            <w:tcW w:w="2520" w:type="dxa"/>
          </w:tcPr>
          <w:p>
            <w:pPr>
              <w:spacing w:before="40" w:after="40"/>
            </w:pPr>
            <w:r>
              <w:rPr>
                <w:b/>
                <w:sz w:val="18"/>
              </w:rPr>
              <w:t xml:space="preserve">1,770</w:t>
            </w:r>
          </w:p>
        </w:tc>
        <w:tc>
          <w:tcPr>
            <w:tcW w:w="2520" w:type="dxa"/>
          </w:tcPr>
          <w:p>
            <w:pPr>
              <w:spacing w:before="40" w:after="40"/>
            </w:pPr>
            <w:r>
              <w:rPr>
                <w:b/>
                <w:sz w:val="18"/>
              </w:rPr>
              <w:t xml:space="preserve">4,130</w:t>
            </w:r>
          </w:p>
        </w:tc>
      </w:tr>
      <w:tr>
        <w:tc>
          <w:tcPr>
            <w:tcW w:w="2520" w:type="dxa"/>
          </w:tcPr>
          <w:p>
            <w:pPr>
              <w:spacing w:before="40" w:after="40"/>
            </w:pPr>
            <w:r>
              <w:rPr>
                <w:sz w:val="18"/>
              </w:rPr>
              <w:t xml:space="preserve">Price</w:t>
            </w:r>
          </w:p>
        </w:tc>
        <w:tc>
          <w:tcPr>
            <w:tcW w:w="2520" w:type="dxa"/>
          </w:tcPr>
          <w:p>
            <w:pPr>
              <w:spacing w:before="40" w:after="40"/>
            </w:pPr>
            <w:r>
              <w:rPr>
                <w:sz w:val="18"/>
              </w:rPr>
              <w:t xml:space="preserve">$1,000/yr</w:t>
            </w:r>
          </w:p>
        </w:tc>
        <w:tc>
          <w:tcPr>
            <w:tcW w:w="2520" w:type="dxa"/>
          </w:tcPr>
          <w:p>
            <w:pPr>
              <w:spacing w:before="40" w:after="40"/>
            </w:pPr>
            <w:r>
              <w:rPr>
                <w:sz w:val="18"/>
              </w:rPr>
              <w:t xml:space="preserve">$1,000/yr</w:t>
            </w:r>
          </w:p>
        </w:tc>
        <w:tc>
          <w:tcPr>
            <w:tcW w:w="2520" w:type="dxa"/>
          </w:tcPr>
          <w:p>
            <w:pPr>
              <w:spacing w:before="40" w:after="40"/>
            </w:pPr>
            <w:r>
              <w:rPr>
                <w:sz w:val="18"/>
              </w:rPr>
              <w:t xml:space="preserve">$1,000/yr</w:t>
            </w:r>
          </w:p>
        </w:tc>
      </w:tr>
      <w:tr>
        <w:tc>
          <w:tcPr>
            <w:tcW w:w="2520" w:type="dxa"/>
          </w:tcPr>
          <w:p>
            <w:pPr>
              <w:spacing w:before="40" w:after="40"/>
            </w:pPr>
            <w:r>
              <w:rPr>
                <w:b/>
                <w:sz w:val="18"/>
              </w:rPr>
              <w:t xml:space="preserve">Gross revenue (ARR)</w:t>
            </w:r>
          </w:p>
        </w:tc>
        <w:tc>
          <w:tcPr>
            <w:tcW w:w="2520" w:type="dxa"/>
          </w:tcPr>
          <w:p>
            <w:pPr>
              <w:spacing w:before="40" w:after="40"/>
            </w:pPr>
            <w:r>
              <w:rPr>
                <w:b/>
                <w:sz w:val="18"/>
              </w:rPr>
              <w:t xml:space="preserve">$590,000</w:t>
            </w:r>
          </w:p>
        </w:tc>
        <w:tc>
          <w:tcPr>
            <w:tcW w:w="2520" w:type="dxa"/>
          </w:tcPr>
          <w:p>
            <w:pPr>
              <w:spacing w:before="40" w:after="40"/>
            </w:pPr>
            <w:r>
              <w:rPr>
                <w:b/>
                <w:sz w:val="18"/>
              </w:rPr>
              <w:t xml:space="preserve">$1.77M</w:t>
            </w:r>
          </w:p>
        </w:tc>
        <w:tc>
          <w:tcPr>
            <w:tcW w:w="2520" w:type="dxa"/>
          </w:tcPr>
          <w:p>
            <w:pPr>
              <w:spacing w:before="40" w:after="40"/>
            </w:pPr>
            <w:r>
              <w:rPr>
                <w:b/>
                <w:sz w:val="18"/>
              </w:rPr>
              <w:t xml:space="preserve">$4.13M</w:t>
            </w:r>
          </w:p>
        </w:tc>
      </w:tr>
      <w:tr>
        <w:tc>
          <w:tcPr>
            <w:tcW w:w="2520" w:type="dxa"/>
          </w:tcPr>
          <w:p>
            <w:pPr>
              <w:spacing w:before="40" w:after="40"/>
            </w:pPr>
            <w:r>
              <w:rPr>
                <w:sz w:val="18"/>
              </w:rPr>
              <w:t xml:space="preserve">Less payment processing (~3%, web checkout)</w:t>
            </w:r>
          </w:p>
        </w:tc>
        <w:tc>
          <w:tcPr>
            <w:tcW w:w="2520" w:type="dxa"/>
          </w:tcPr>
          <w:p>
            <w:pPr>
              <w:spacing w:before="40" w:after="40"/>
            </w:pPr>
            <w:r>
              <w:rPr>
                <w:sz w:val="18"/>
              </w:rPr>
              <w:t xml:space="preserve">−$17,700</w:t>
            </w:r>
          </w:p>
        </w:tc>
        <w:tc>
          <w:tcPr>
            <w:tcW w:w="2520" w:type="dxa"/>
          </w:tcPr>
          <w:p>
            <w:pPr>
              <w:spacing w:before="40" w:after="40"/>
            </w:pPr>
            <w:r>
              <w:rPr>
                <w:sz w:val="18"/>
              </w:rPr>
              <w:t xml:space="preserve">−$53,100</w:t>
            </w:r>
          </w:p>
        </w:tc>
        <w:tc>
          <w:tcPr>
            <w:tcW w:w="2520" w:type="dxa"/>
          </w:tcPr>
          <w:p>
            <w:pPr>
              <w:spacing w:before="40" w:after="40"/>
            </w:pPr>
            <w:r>
              <w:rPr>
                <w:sz w:val="18"/>
              </w:rPr>
              <w:t xml:space="preserve">−$123,900</w:t>
            </w:r>
          </w:p>
        </w:tc>
      </w:tr>
      <w:tr>
        <w:tc>
          <w:tcPr>
            <w:tcW w:w="2520" w:type="dxa"/>
          </w:tcPr>
          <w:p>
            <w:pPr>
              <w:spacing w:before="40" w:after="40"/>
            </w:pPr>
            <w:r>
              <w:rPr>
                <w:b/>
                <w:sz w:val="18"/>
              </w:rPr>
              <w:t xml:space="preserve">Net revenue</w:t>
            </w:r>
          </w:p>
        </w:tc>
        <w:tc>
          <w:tcPr>
            <w:tcW w:w="2520" w:type="dxa"/>
          </w:tcPr>
          <w:p>
            <w:pPr>
              <w:spacing w:before="40" w:after="40"/>
            </w:pPr>
            <w:r>
              <w:rPr>
                <w:b/>
                <w:sz w:val="18"/>
              </w:rPr>
              <w:t xml:space="preserve">$572,300</w:t>
            </w:r>
          </w:p>
        </w:tc>
        <w:tc>
          <w:tcPr>
            <w:tcW w:w="2520" w:type="dxa"/>
          </w:tcPr>
          <w:p>
            <w:pPr>
              <w:spacing w:before="40" w:after="40"/>
            </w:pPr>
            <w:r>
              <w:rPr>
                <w:b/>
                <w:sz w:val="18"/>
              </w:rPr>
              <w:t xml:space="preserve">$1.72M</w:t>
            </w:r>
          </w:p>
        </w:tc>
        <w:tc>
          <w:tcPr>
            <w:tcW w:w="2520" w:type="dxa"/>
          </w:tcPr>
          <w:p>
            <w:pPr>
              <w:spacing w:before="40" w:after="40"/>
            </w:pPr>
            <w:r>
              <w:rPr>
                <w:b/>
                <w:sz w:val="18"/>
              </w:rPr>
              <w:t xml:space="preserve">$4.01M</w:t>
            </w:r>
          </w:p>
        </w:tc>
      </w:tr>
      <w:tr>
        <w:tc>
          <w:tcPr>
            <w:tcW w:w="2520" w:type="dxa"/>
          </w:tcPr>
          <w:p>
            <w:pPr>
              <w:spacing w:before="40" w:after="40"/>
            </w:pPr>
            <w:r>
              <w:rPr>
                <w:sz w:val="18"/>
              </w:rPr>
              <w:t xml:space="preserve">Assumed renewal rate</w:t>
            </w:r>
          </w:p>
        </w:tc>
        <w:tc>
          <w:tcPr>
            <w:tcW w:w="2520" w:type="dxa"/>
          </w:tcPr>
          <w:p>
            <w:pPr>
              <w:spacing w:before="40" w:after="40"/>
            </w:pPr>
            <w:r>
              <w:rPr>
                <w:sz w:val="18"/>
              </w:rPr>
              <w:t xml:space="preserve">20%</w:t>
            </w:r>
          </w:p>
        </w:tc>
        <w:tc>
          <w:tcPr>
            <w:tcW w:w="2520" w:type="dxa"/>
          </w:tcPr>
          <w:p>
            <w:pPr>
              <w:spacing w:before="40" w:after="40"/>
            </w:pPr>
            <w:r>
              <w:rPr>
                <w:sz w:val="18"/>
              </w:rPr>
              <w:t xml:space="preserve">35%</w:t>
            </w:r>
          </w:p>
        </w:tc>
        <w:tc>
          <w:tcPr>
            <w:tcW w:w="2520" w:type="dxa"/>
          </w:tcPr>
          <w:p>
            <w:pPr>
              <w:spacing w:before="40" w:after="40"/>
            </w:pPr>
            <w:r>
              <w:rPr>
                <w:sz w:val="18"/>
              </w:rPr>
              <w:t xml:space="preserve">55%</w:t>
            </w:r>
          </w:p>
        </w:tc>
      </w:tr>
      <w:tr>
        <w:tc>
          <w:tcPr>
            <w:tcW w:w="2520" w:type="dxa"/>
          </w:tcPr>
          <w:p>
            <w:pPr>
              <w:spacing w:before="40" w:after="40"/>
            </w:pPr>
            <w:r>
              <w:rPr>
                <w:b/>
                <w:sz w:val="18"/>
              </w:rPr>
              <w:t xml:space="preserve">New customers needed each year to hold that base</w:t>
            </w:r>
          </w:p>
        </w:tc>
        <w:tc>
          <w:tcPr>
            <w:tcW w:w="2520" w:type="dxa"/>
          </w:tcPr>
          <w:p>
            <w:pPr>
              <w:spacing w:before="40" w:after="40"/>
            </w:pPr>
            <w:r>
              <w:rPr>
                <w:b/>
                <w:sz w:val="18"/>
              </w:rPr>
              <w:t xml:space="preserve">~472</w:t>
            </w:r>
          </w:p>
        </w:tc>
        <w:tc>
          <w:tcPr>
            <w:tcW w:w="2520" w:type="dxa"/>
          </w:tcPr>
          <w:p>
            <w:pPr>
              <w:spacing w:before="40" w:after="40"/>
            </w:pPr>
            <w:r>
              <w:rPr>
                <w:b/>
                <w:sz w:val="18"/>
              </w:rPr>
              <w:t xml:space="preserve">~1,151</w:t>
            </w:r>
          </w:p>
        </w:tc>
        <w:tc>
          <w:tcPr>
            <w:tcW w:w="2520" w:type="dxa"/>
          </w:tcPr>
          <w:p>
            <w:pPr>
              <w:spacing w:before="40" w:after="40"/>
            </w:pPr>
            <w:r>
              <w:rPr>
                <w:b/>
                <w:sz w:val="18"/>
              </w:rPr>
              <w:t xml:space="preserve">~1,859</w:t>
            </w:r>
          </w:p>
        </w:tc>
      </w:tr>
    </w:tbl>
    <w:p>
      <w:pPr>
        <w:spacing w:after="0"/>
      </w:pPr>
    </w:p>
    <w:p>
      <w:pPr>
        <w:pStyle w:val="Heading2"/>
      </w:pPr>
      <w:r>
        <w:t xml:space="preserve">The structural problem this model exposes</w:t>
      </w:r>
    </w:p>
    <w:p>
      <w:r>
        <w:rPr>
          <w:b/>
        </w:rPr>
        <w:t xml:space="preserve">Fundraising is episodic. Diets are chronic.</w:t>
      </w:r>
      <w:r>
        <w:t xml:space="preserve"> A founder raises, closes (or gives up), and stops needing the product. At a 35% renewal rate, holding 1,770 customers requires acquiring </w:t>
      </w:r>
      <w:r>
        <w:rPr>
          <w:b/>
        </w:rPr>
        <w:t xml:space="preserve">~1,150 new paying founders every year, forever.</w:t>
      </w:r>
      <w:r>
        <w:t xml:space="preserve"> Revenue is real but replacement-heavy, and customer acquisition cost is the number that decides the business — not the algorithm.</w:t>
      </w:r>
    </w:p>
    <w:p>
      <w:r>
        <w:rPr>
          <w:b/>
        </w:rPr>
        <w:t xml:space="preserve">This is the argument for the "continuous valuation" wedge from Section 3.</w:t>
      </w:r>
      <w:r>
        <w:t xml:space="preserve"> A product that answers *"what am I worth today"* every month — not once per raise — is the only version of this that renews. That feature is not a nice-to-have; it is the business model.</w:t>
      </w:r>
    </w:p>
    <w:p>
      <w:pPr>
        <w:pBdr>
          <w:bottom w:val="single" w:sz="6" w:space="6" w:color="C9CCD1"/>
        </w:pBdr>
      </w:pPr>
    </w:p>
    <w:p>
      <w:pPr>
        <w:pStyle w:val="Heading1"/>
      </w:pPr>
      <w:r>
        <w:t xml:space="preserve">Why those adoption rates are defensible</w:t>
      </w:r>
    </w:p>
    <w:p>
      <w:r>
        <w:t xml:space="preserve">Anchored on how many US companies demonstrably pay for valuation-adjacent software each year.</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3360"/>
        <w:gridCol w:w="3360"/>
        <w:gridCol w:w="3360"/>
      </w:tblGrid>
      <w:tr>
        <w:trPr>
          <w:tblHeader/>
        </w:trPr>
        <w:tc>
          <w:tcPr>
            <w:tcW w:w="3360" w:type="dxa"/>
            <w:shd w:val="clear" w:color="auto" w:fill="EFF1F3"/>
          </w:tcPr>
          <w:p>
            <w:pPr>
              <w:spacing w:before="40" w:after="40"/>
            </w:pPr>
            <w:r>
              <w:rPr>
                <w:b/>
                <w:sz w:val="18"/>
              </w:rPr>
              <w:t xml:space="preserve">Comparable</w:t>
            </w:r>
          </w:p>
        </w:tc>
        <w:tc>
          <w:tcPr>
            <w:tcW w:w="3360" w:type="dxa"/>
            <w:shd w:val="clear" w:color="auto" w:fill="EFF1F3"/>
          </w:tcPr>
          <w:p>
            <w:pPr>
              <w:spacing w:before="40" w:after="40"/>
            </w:pPr>
            <w:r>
              <w:rPr>
                <w:b/>
                <w:sz w:val="18"/>
              </w:rPr>
              <w:t xml:space="preserve">Observed scale</w:t>
            </w:r>
          </w:p>
        </w:tc>
        <w:tc>
          <w:tcPr>
            <w:tcW w:w="3360" w:type="dxa"/>
            <w:shd w:val="clear" w:color="auto" w:fill="EFF1F3"/>
          </w:tcPr>
          <w:p>
            <w:pPr>
              <w:spacing w:before="40" w:after="40"/>
            </w:pPr>
            <w:r>
              <w:rPr>
                <w:b/>
                <w:sz w:val="18"/>
              </w:rPr>
              <w:t xml:space="preserve">Implied check on our numbers</w:t>
            </w:r>
          </w:p>
        </w:tc>
      </w:tr>
      <w:tr>
        <w:tc>
          <w:tcPr>
            <w:tcW w:w="3360" w:type="dxa"/>
          </w:tcPr>
          <w:p>
            <w:pPr>
              <w:spacing w:before="40" w:after="40"/>
            </w:pPr>
            <w:r>
              <w:rPr>
                <w:b/>
                <w:sz w:val="18"/>
              </w:rPr>
              <w:t xml:space="preserve">Carta 409A valuations</w:t>
            </w:r>
          </w:p>
        </w:tc>
        <w:tc>
          <w:tcPr>
            <w:tcW w:w="3360" w:type="dxa"/>
          </w:tcPr>
          <w:p>
            <w:pPr>
              <w:spacing w:before="40" w:after="40"/>
            </w:pPr>
            <w:r>
              <w:rPr>
                <w:b/>
                <w:sz w:val="18"/>
              </w:rPr>
              <w:t xml:space="preserve">16,000+/year</w:t>
            </w:r>
            <w:r>
              <w:rPr>
                <w:sz w:val="18"/>
              </w:rPr>
              <w:t xml:space="preserve"> from one vendor (</w:t>
            </w:r>
            <w:hyperlink r:id="rHl7">
              <w:r>
                <w:rPr>
                  <w:rStyle w:val="Hyperlink"/>
                  <w:sz w:val="18"/>
                </w:rPr>
                <w:t xml:space="preserve">Carta</w:t>
              </w:r>
            </w:hyperlink>
            <w:r>
              <w:rPr>
                <w:sz w:val="18"/>
              </w:rPr>
              <w:t xml:space="preserve">)</w:t>
            </w:r>
          </w:p>
        </w:tc>
        <w:tc>
          <w:tcPr>
            <w:tcW w:w="3360" w:type="dxa"/>
          </w:tcPr>
          <w:p>
            <w:pPr>
              <w:spacing w:before="40" w:after="40"/>
            </w:pPr>
            <w:r>
              <w:rPr>
                <w:sz w:val="18"/>
              </w:rPr>
              <w:t xml:space="preserve">Base case (1,770) = </w:t>
            </w:r>
            <w:r>
              <w:rPr>
                <w:b/>
                <w:sz w:val="18"/>
              </w:rPr>
              <w:t xml:space="preserve">~11% of Carta's annual 409A volume</w:t>
            </w:r>
            <w:r>
              <w:rPr>
                <w:sz w:val="18"/>
              </w:rPr>
              <w:t xml:space="preserve">. Plausible for a years-3-to-5 outcome.</w:t>
            </w:r>
          </w:p>
        </w:tc>
      </w:tr>
      <w:tr>
        <w:tc>
          <w:tcPr>
            <w:tcW w:w="3360" w:type="dxa"/>
          </w:tcPr>
          <w:p>
            <w:pPr>
              <w:spacing w:before="40" w:after="40"/>
            </w:pPr>
            <w:r>
              <w:rPr>
                <w:b/>
                <w:sz w:val="18"/>
              </w:rPr>
              <w:t xml:space="preserve">Eqvista 409A + cap table</w:t>
            </w:r>
          </w:p>
        </w:tc>
        <w:tc>
          <w:tcPr>
            <w:tcW w:w="3360" w:type="dxa"/>
          </w:tcPr>
          <w:p>
            <w:pPr>
              <w:spacing w:before="40" w:after="40"/>
            </w:pPr>
            <w:r>
              <w:rPr>
                <w:sz w:val="18"/>
              </w:rPr>
              <w:t xml:space="preserve">$990/yr pre-revenue tier (</w:t>
            </w:r>
            <w:hyperlink r:id="rHl52">
              <w:r>
                <w:rPr>
                  <w:rStyle w:val="Hyperlink"/>
                  <w:sz w:val="18"/>
                </w:rPr>
                <w:t xml:space="preserve">pricing</w:t>
              </w:r>
            </w:hyperlink>
            <w:r>
              <w:rPr>
                <w:sz w:val="18"/>
              </w:rPr>
              <w:t xml:space="preserve">)</w:t>
            </w:r>
          </w:p>
        </w:tc>
        <w:tc>
          <w:tcPr>
            <w:tcW w:w="3360" w:type="dxa"/>
          </w:tcPr>
          <w:p>
            <w:pPr>
              <w:spacing w:before="40" w:after="40"/>
            </w:pPr>
            <w:r>
              <w:rPr>
                <w:sz w:val="18"/>
              </w:rPr>
              <w:t xml:space="preserve">Proves founders will pay ~$1,000/yr for a valuation-adjacent subscription — the exact price point modeled.</w:t>
            </w:r>
          </w:p>
        </w:tc>
      </w:tr>
      <w:tr>
        <w:tc>
          <w:tcPr>
            <w:tcW w:w="3360" w:type="dxa"/>
          </w:tcPr>
          <w:p>
            <w:pPr>
              <w:spacing w:before="40" w:after="40"/>
            </w:pPr>
            <w:r>
              <w:rPr>
                <w:b/>
                <w:sz w:val="18"/>
              </w:rPr>
              <w:t xml:space="preserve">Foundersuite</w:t>
            </w:r>
          </w:p>
        </w:tc>
        <w:tc>
          <w:tcPr>
            <w:tcW w:w="3360" w:type="dxa"/>
          </w:tcPr>
          <w:p>
            <w:pPr>
              <w:spacing w:before="40" w:after="40"/>
            </w:pPr>
            <w:r>
              <w:rPr>
                <w:sz w:val="18"/>
              </w:rPr>
              <w:t xml:space="preserve">110 Capterra reviews; $745–$1,609/yr (</w:t>
            </w:r>
            <w:hyperlink r:id="rHl59">
              <w:r>
                <w:rPr>
                  <w:rStyle w:val="Hyperlink"/>
                  <w:sz w:val="18"/>
                </w:rPr>
                <w:t xml:space="preserve">pricing</w:t>
              </w:r>
            </w:hyperlink>
            <w:r>
              <w:rPr>
                <w:sz w:val="18"/>
              </w:rPr>
              <w:t xml:space="preserve">)</w:t>
            </w:r>
          </w:p>
        </w:tc>
        <w:tc>
          <w:tcPr>
            <w:tcW w:w="3360" w:type="dxa"/>
          </w:tcPr>
          <w:p>
            <w:pPr>
              <w:spacing w:before="40" w:after="40"/>
            </w:pPr>
            <w:r>
              <w:rPr>
                <w:sz w:val="18"/>
              </w:rPr>
              <w:t xml:space="preserve">A founder-facing fundraising tool at this price sustains a business </w:t>
            </w:r>
            <w:r>
              <w:rPr>
                <w:rFonts w:ascii="Consolas" w:hAnsi="Consolas"/>
                <w:sz w:val="18"/>
              </w:rPr>
              <w:t xml:space="preserve">[UNVERIFIED — customer count not disclosed]</w:t>
            </w:r>
            <w:r>
              <w:rPr>
                <w:sz w:val="18"/>
              </w:rPr>
              <w:t xml:space="preserve">.</w:t>
            </w:r>
          </w:p>
        </w:tc>
      </w:tr>
      <w:tr>
        <w:tc>
          <w:tcPr>
            <w:tcW w:w="3360" w:type="dxa"/>
          </w:tcPr>
          <w:p>
            <w:pPr>
              <w:spacing w:before="40" w:after="40"/>
            </w:pPr>
            <w:r>
              <w:rPr>
                <w:b/>
                <w:sz w:val="18"/>
              </w:rPr>
              <w:t xml:space="preserve">Equidam</w:t>
            </w:r>
          </w:p>
        </w:tc>
        <w:tc>
          <w:tcPr>
            <w:tcW w:w="3360" w:type="dxa"/>
          </w:tcPr>
          <w:p>
            <w:pPr>
              <w:spacing w:before="40" w:after="40"/>
            </w:pPr>
            <w:r>
              <w:rPr>
                <w:sz w:val="18"/>
              </w:rPr>
              <w:t xml:space="preserve">15 lifetime Trustpilot reviews, 2 in the past year (</w:t>
            </w:r>
            <w:hyperlink r:id="rHl35">
              <w:r>
                <w:rPr>
                  <w:rStyle w:val="Hyperlink"/>
                  <w:sz w:val="18"/>
                </w:rPr>
                <w:t xml:space="preserve">Trustpilot</w:t>
              </w:r>
            </w:hyperlink>
            <w:r>
              <w:rPr>
                <w:sz w:val="18"/>
              </w:rPr>
              <w:t xml:space="preserve">)</w:t>
            </w:r>
          </w:p>
        </w:tc>
        <w:tc>
          <w:tcPr>
            <w:tcW w:w="3360" w:type="dxa"/>
          </w:tcPr>
          <w:p>
            <w:pPr>
              <w:spacing w:before="40" w:after="40"/>
            </w:pPr>
            <w:r>
              <w:rPr>
                <w:b/>
                <w:sz w:val="18"/>
              </w:rPr>
              <w:t xml:space="preserve">The cautionary anchor.</w:t>
            </w:r>
            <w:r>
              <w:rPr>
                <w:sz w:val="18"/>
              </w:rPr>
              <w:t xml:space="preserve"> The closest existing competitor shows very little usage. If Equidam's actual paying base is in the hundreds, the conservative case is the realistic one.</w:t>
            </w:r>
          </w:p>
        </w:tc>
      </w:tr>
      <w:tr>
        <w:tc>
          <w:tcPr>
            <w:tcW w:w="3360" w:type="dxa"/>
          </w:tcPr>
          <w:p>
            <w:pPr>
              <w:spacing w:before="40" w:after="40"/>
            </w:pPr>
            <w:r>
              <w:rPr>
                <w:b/>
                <w:sz w:val="18"/>
              </w:rPr>
              <w:t xml:space="preserve">Crunchbase Pro</w:t>
            </w:r>
          </w:p>
        </w:tc>
        <w:tc>
          <w:tcPr>
            <w:tcW w:w="3360" w:type="dxa"/>
          </w:tcPr>
          <w:p>
            <w:pPr>
              <w:spacing w:before="40" w:after="40"/>
            </w:pPr>
            <w:r>
              <w:rPr>
                <w:sz w:val="18"/>
              </w:rPr>
              <w:t xml:space="preserve">$588/yr, 4M+ company profiles</w:t>
            </w:r>
          </w:p>
        </w:tc>
        <w:tc>
          <w:tcPr>
            <w:tcW w:w="3360" w:type="dxa"/>
          </w:tcPr>
          <w:p>
            <w:pPr>
              <w:spacing w:before="40" w:after="40"/>
            </w:pPr>
            <w:r>
              <w:rPr>
                <w:sz w:val="18"/>
              </w:rPr>
              <w:t xml:space="preserve">An incumbent already sells ranked investor matching below our price.</w:t>
            </w:r>
          </w:p>
        </w:tc>
      </w:tr>
    </w:tbl>
    <w:p>
      <w:pPr>
        <w:spacing w:after="0"/>
      </w:pPr>
    </w:p>
    <w:p>
      <w:r>
        <w:rPr>
          <w:b/>
        </w:rPr>
        <w:t xml:space="preserve">Read across:</w:t>
      </w:r>
      <w:r>
        <w:t xml:space="preserve"> 1,770 paying founders is ~3% of the attempting pool and ~11% of one vendor's annual 409A volume. Conservative (590) is "a small, real business." Optimistic (4,130) is "the category leader for founder-facing valuation" — a position </w:t>
      </w:r>
      <w:r>
        <w:rPr>
          <w:b/>
        </w:rPr>
        <w:t xml:space="preserve">currently vacant</w:t>
      </w:r>
      <w:r>
        <w:t xml:space="preserve">, since Equidam's usage looks thin.</w:t>
      </w:r>
    </w:p>
    <w:p>
      <w:pPr>
        <w:pBdr>
          <w:bottom w:val="single" w:sz="6" w:space="6" w:color="C9CCD1"/>
        </w:pBdr>
      </w:pPr>
    </w:p>
    <w:p>
      <w:pPr>
        <w:pStyle w:val="Heading1"/>
      </w:pPr>
      <w:r>
        <w:t xml:space="preserve">Independent cross-check: the non-institutional founder</w:t>
      </w:r>
    </w:p>
    <w:p>
      <w:r>
        <w:t xml:space="preserve">A separate population, different source, same method.</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2520"/>
        <w:gridCol w:w="2520"/>
        <w:gridCol w:w="2520"/>
        <w:gridCol w:w="2520"/>
      </w:tblGrid>
      <w:tr>
        <w:trPr>
          <w:tblHeader/>
        </w:trPr>
        <w:tc>
          <w:tcPr>
            <w:tcW w:w="2520" w:type="dxa"/>
            <w:shd w:val="clear" w:color="auto" w:fill="EFF1F3"/>
          </w:tcPr>
          <w:p>
            <w:pPr>
              <w:spacing w:before="40" w:after="40"/>
            </w:pPr>
            <w:r>
              <w:rPr>
                <w:b/>
                <w:sz w:val="18"/>
              </w:rPr>
              <w:t xml:space="preserve">Step</w:t>
            </w:r>
          </w:p>
        </w:tc>
        <w:tc>
          <w:tcPr>
            <w:tcW w:w="2520" w:type="dxa"/>
            <w:shd w:val="clear" w:color="auto" w:fill="EFF1F3"/>
          </w:tcPr>
          <w:p>
            <w:pPr>
              <w:spacing w:before="40" w:after="40"/>
            </w:pPr>
            <w:r>
              <w:rPr>
                <w:b/>
                <w:sz w:val="18"/>
              </w:rPr>
              <w:t xml:space="preserve">Filter</w:t>
            </w:r>
          </w:p>
        </w:tc>
        <w:tc>
          <w:tcPr>
            <w:tcW w:w="2520" w:type="dxa"/>
            <w:shd w:val="clear" w:color="auto" w:fill="EFF1F3"/>
          </w:tcPr>
          <w:p>
            <w:pPr>
              <w:spacing w:before="40" w:after="40"/>
            </w:pPr>
            <w:r>
              <w:rPr>
                <w:b/>
                <w:sz w:val="18"/>
              </w:rPr>
              <w:t xml:space="preserve">Multiplier</w:t>
            </w:r>
          </w:p>
        </w:tc>
        <w:tc>
          <w:tcPr>
            <w:tcW w:w="2520" w:type="dxa"/>
            <w:shd w:val="clear" w:color="auto" w:fill="EFF1F3"/>
          </w:tcPr>
          <w:p>
            <w:pPr>
              <w:spacing w:before="40" w:after="40"/>
            </w:pPr>
            <w:r>
              <w:rPr>
                <w:b/>
                <w:sz w:val="18"/>
              </w:rPr>
              <w:t xml:space="preserve">Remaining</w:t>
            </w:r>
          </w:p>
        </w:tc>
      </w:tr>
      <w:tr>
        <w:tc>
          <w:tcPr>
            <w:tcW w:w="2520" w:type="dxa"/>
          </w:tcPr>
          <w:p>
            <w:pPr>
              <w:spacing w:before="40" w:after="40"/>
            </w:pPr>
            <w:r>
              <w:rPr>
                <w:sz w:val="18"/>
              </w:rPr>
              <w:t xml:space="preserve">1</w:t>
            </w:r>
          </w:p>
        </w:tc>
        <w:tc>
          <w:tcPr>
            <w:tcW w:w="2520" w:type="dxa"/>
          </w:tcPr>
          <w:p>
            <w:pPr>
              <w:spacing w:before="40" w:after="40"/>
            </w:pPr>
            <w:r>
              <w:rPr>
                <w:sz w:val="18"/>
              </w:rPr>
              <w:t xml:space="preserve">*Shark Tank* applications per year — founders publicly valuing their business who are overwhelmingly </w:t>
            </w:r>
            <w:r>
              <w:rPr>
                <w:b/>
                <w:sz w:val="18"/>
              </w:rPr>
              <w:t xml:space="preserve">not</w:t>
            </w:r>
            <w:r>
              <w:rPr>
                <w:sz w:val="18"/>
              </w:rPr>
              <w:t xml:space="preserve"> VC-track</w:t>
            </w:r>
          </w:p>
        </w:tc>
        <w:tc>
          <w:tcPr>
            <w:tcW w:w="2520" w:type="dxa"/>
          </w:tcPr>
          <w:p>
            <w:pPr>
              <w:spacing w:before="40" w:after="40"/>
            </w:pPr>
            <w:r>
              <w:rPr>
                <w:sz w:val="18"/>
              </w:rPr>
              <w:t xml:space="preserve">—</w:t>
            </w:r>
          </w:p>
        </w:tc>
        <w:tc>
          <w:tcPr>
            <w:tcW w:w="2520" w:type="dxa"/>
          </w:tcPr>
          <w:p>
            <w:pPr>
              <w:spacing w:before="40" w:after="40"/>
            </w:pPr>
            <w:r>
              <w:rPr>
                <w:b/>
                <w:sz w:val="18"/>
              </w:rPr>
              <w:t xml:space="preserve">40,000</w:t>
            </w:r>
            <w:r>
              <w:rPr>
                <w:sz w:val="18"/>
              </w:rPr>
              <w:t xml:space="preserve"> (</w:t>
            </w:r>
            <w:hyperlink r:id="rHl8">
              <w:r>
                <w:rPr>
                  <w:rStyle w:val="Hyperlink"/>
                  <w:sz w:val="18"/>
                </w:rPr>
                <w:t xml:space="preserve">Shark Tank Blog</w:t>
              </w:r>
            </w:hyperlink>
            <w:r>
              <w:rPr>
                <w:sz w:val="18"/>
              </w:rPr>
              <w:t xml:space="preserve">)</w:t>
            </w:r>
          </w:p>
        </w:tc>
      </w:tr>
      <w:tr>
        <w:tc>
          <w:tcPr>
            <w:tcW w:w="2520" w:type="dxa"/>
          </w:tcPr>
          <w:p>
            <w:pPr>
              <w:spacing w:before="40" w:after="40"/>
            </w:pPr>
            <w:r>
              <w:rPr>
                <w:sz w:val="18"/>
              </w:rPr>
              <w:t xml:space="preserve">2</w:t>
            </w:r>
          </w:p>
        </w:tc>
        <w:tc>
          <w:tcPr>
            <w:tcW w:w="2520" w:type="dxa"/>
          </w:tcPr>
          <w:p>
            <w:pPr>
              <w:spacing w:before="40" w:after="40"/>
            </w:pPr>
            <w:r>
              <w:rPr>
                <w:sz w:val="18"/>
              </w:rPr>
              <w:t xml:space="preserve">Adoption at 3%</w:t>
            </w:r>
          </w:p>
        </w:tc>
        <w:tc>
          <w:tcPr>
            <w:tcW w:w="2520" w:type="dxa"/>
          </w:tcPr>
          <w:p>
            <w:pPr>
              <w:spacing w:before="40" w:after="40"/>
            </w:pPr>
          </w:p>
        </w:tc>
        <w:tc>
          <w:tcPr>
            <w:tcW w:w="2520" w:type="dxa"/>
          </w:tcPr>
          <w:p>
            <w:pPr>
              <w:spacing w:before="40" w:after="40"/>
            </w:pPr>
            <w:r>
              <w:rPr>
                <w:b/>
                <w:sz w:val="18"/>
              </w:rPr>
              <w:t xml:space="preserve">1,200 customers</w:t>
            </w:r>
          </w:p>
        </w:tc>
      </w:tr>
      <w:tr>
        <w:tc>
          <w:tcPr>
            <w:tcW w:w="2520" w:type="dxa"/>
          </w:tcPr>
          <w:p>
            <w:pPr>
              <w:spacing w:before="40" w:after="40"/>
            </w:pPr>
          </w:p>
        </w:tc>
        <w:tc>
          <w:tcPr>
            <w:tcW w:w="2520" w:type="dxa"/>
          </w:tcPr>
          <w:p>
            <w:pPr>
              <w:spacing w:before="40" w:after="40"/>
            </w:pPr>
            <w:r>
              <w:rPr>
                <w:b/>
                <w:sz w:val="18"/>
              </w:rPr>
              <w:t xml:space="preserve">Revenue at $1,000/yr</w:t>
            </w:r>
          </w:p>
        </w:tc>
        <w:tc>
          <w:tcPr>
            <w:tcW w:w="2520" w:type="dxa"/>
          </w:tcPr>
          <w:p>
            <w:pPr>
              <w:spacing w:before="40" w:after="40"/>
            </w:pPr>
          </w:p>
        </w:tc>
        <w:tc>
          <w:tcPr>
            <w:tcW w:w="2520" w:type="dxa"/>
          </w:tcPr>
          <w:p>
            <w:pPr>
              <w:spacing w:before="40" w:after="40"/>
            </w:pPr>
            <w:r>
              <w:rPr>
                <w:b/>
                <w:sz w:val="18"/>
              </w:rPr>
              <w:t xml:space="preserve">$1.2M</w:t>
            </w:r>
          </w:p>
        </w:tc>
      </w:tr>
    </w:tbl>
    <w:p>
      <w:pPr>
        <w:spacing w:after="0"/>
      </w:pPr>
    </w:p>
    <w:p>
      <w:r>
        <w:t xml:space="preserve">This single, entirely separate segment supports </w:t>
      </w:r>
      <w:r>
        <w:rPr>
          <w:b/>
        </w:rPr>
        <w:t xml:space="preserve">~68% of the base case on its own</w:t>
      </w:r>
      <w:r>
        <w:t xml:space="preserve"> — and it is a segment Section 3 showed no competitor serves (Carta caps its free tier at $1M raised; PitchBook starts at $15,000).</w:t>
      </w:r>
    </w:p>
    <w:p>
      <w:pPr>
        <w:pBdr>
          <w:bottom w:val="single" w:sz="6" w:space="6" w:color="C9CCD1"/>
        </w:pBdr>
      </w:pPr>
    </w:p>
    <w:p>
      <w:pPr>
        <w:pStyle w:val="Heading1"/>
      </w:pPr>
      <w:r>
        <w:t xml:space="preserve">Every assumption, stated</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1680"/>
        <w:gridCol w:w="1680"/>
        <w:gridCol w:w="1680"/>
        <w:gridCol w:w="1680"/>
        <w:gridCol w:w="1680"/>
        <w:gridCol w:w="1680"/>
      </w:tblGrid>
      <w:tr>
        <w:trPr>
          <w:tblHeader/>
        </w:trPr>
        <w:tc>
          <w:tcPr>
            <w:tcW w:w="1680" w:type="dxa"/>
            <w:shd w:val="clear" w:color="auto" w:fill="EFF1F3"/>
          </w:tcPr>
          <w:p>
            <w:pPr>
              <w:spacing w:before="40" w:after="40"/>
            </w:pPr>
            <w:r>
              <w:rPr>
                <w:b/>
                <w:sz w:val="18"/>
              </w:rPr>
              <w:t xml:space="preserve">#</w:t>
            </w:r>
          </w:p>
        </w:tc>
        <w:tc>
          <w:tcPr>
            <w:tcW w:w="1680" w:type="dxa"/>
            <w:shd w:val="clear" w:color="auto" w:fill="EFF1F3"/>
          </w:tcPr>
          <w:p>
            <w:pPr>
              <w:spacing w:before="40" w:after="40"/>
            </w:pPr>
            <w:r>
              <w:rPr>
                <w:b/>
                <w:sz w:val="18"/>
              </w:rPr>
              <w:t xml:space="preserve">Assumption</w:t>
            </w:r>
          </w:p>
        </w:tc>
        <w:tc>
          <w:tcPr>
            <w:tcW w:w="1680" w:type="dxa"/>
            <w:shd w:val="clear" w:color="auto" w:fill="EFF1F3"/>
          </w:tcPr>
          <w:p>
            <w:pPr>
              <w:spacing w:before="40" w:after="40"/>
            </w:pPr>
            <w:r>
              <w:rPr>
                <w:b/>
                <w:sz w:val="18"/>
              </w:rPr>
              <w:t xml:space="preserve">Value</w:t>
            </w:r>
          </w:p>
        </w:tc>
        <w:tc>
          <w:tcPr>
            <w:tcW w:w="1680" w:type="dxa"/>
            <w:shd w:val="clear" w:color="auto" w:fill="EFF1F3"/>
          </w:tcPr>
          <w:p>
            <w:pPr>
              <w:spacing w:before="40" w:after="40"/>
            </w:pPr>
            <w:r>
              <w:rPr>
                <w:b/>
                <w:sz w:val="18"/>
              </w:rPr>
              <w:t xml:space="preserve">Source / basis</w:t>
            </w:r>
          </w:p>
        </w:tc>
        <w:tc>
          <w:tcPr>
            <w:tcW w:w="1680" w:type="dxa"/>
            <w:shd w:val="clear" w:color="auto" w:fill="EFF1F3"/>
          </w:tcPr>
          <w:p>
            <w:pPr>
              <w:spacing w:before="40" w:after="40"/>
            </w:pPr>
            <w:r>
              <w:rPr>
                <w:b/>
                <w:sz w:val="18"/>
              </w:rPr>
              <w:t xml:space="preserve">Type</w:t>
            </w:r>
          </w:p>
        </w:tc>
        <w:tc>
          <w:tcPr>
            <w:tcW w:w="1680" w:type="dxa"/>
            <w:shd w:val="clear" w:color="auto" w:fill="EFF1F3"/>
          </w:tcPr>
          <w:p>
            <w:pPr>
              <w:spacing w:before="40" w:after="40"/>
            </w:pPr>
            <w:r>
              <w:rPr>
                <w:b/>
                <w:sz w:val="18"/>
              </w:rPr>
              <w:t xml:space="preserve">If it's wrong</w:t>
            </w:r>
          </w:p>
        </w:tc>
      </w:tr>
      <w:tr>
        <w:tc>
          <w:tcPr>
            <w:tcW w:w="1680" w:type="dxa"/>
          </w:tcPr>
          <w:p>
            <w:pPr>
              <w:spacing w:before="40" w:after="40"/>
            </w:pPr>
            <w:r>
              <w:rPr>
                <w:sz w:val="18"/>
              </w:rPr>
              <w:t xml:space="preserve">A1</w:t>
            </w:r>
          </w:p>
        </w:tc>
        <w:tc>
          <w:tcPr>
            <w:tcW w:w="1680" w:type="dxa"/>
          </w:tcPr>
          <w:p>
            <w:pPr>
              <w:spacing w:before="40" w:after="40"/>
            </w:pPr>
            <w:r>
              <w:rPr>
                <w:sz w:val="18"/>
              </w:rPr>
              <w:t xml:space="preserve">Companies completing an outside raise, per year</w:t>
            </w:r>
          </w:p>
        </w:tc>
        <w:tc>
          <w:tcPr>
            <w:tcW w:w="1680" w:type="dxa"/>
          </w:tcPr>
          <w:p>
            <w:pPr>
              <w:spacing w:before="40" w:after="40"/>
            </w:pPr>
            <w:r>
              <w:rPr>
                <w:sz w:val="18"/>
              </w:rPr>
              <w:t xml:space="preserve">54,735</w:t>
            </w:r>
          </w:p>
        </w:tc>
        <w:tc>
          <w:tcPr>
            <w:tcW w:w="1680" w:type="dxa"/>
          </w:tcPr>
          <w:p>
            <w:pPr>
              <w:spacing w:before="40" w:after="40"/>
            </w:pPr>
            <w:r>
              <w:rPr>
                <w:sz w:val="18"/>
              </w:rPr>
              <w:t xml:space="preserve">UNH Center for Venture Research, 2023</w:t>
            </w:r>
          </w:p>
        </w:tc>
        <w:tc>
          <w:tcPr>
            <w:tcW w:w="1680" w:type="dxa"/>
          </w:tcPr>
          <w:p>
            <w:pPr>
              <w:spacing w:before="40" w:after="40"/>
            </w:pPr>
            <w:r>
              <w:rPr>
                <w:b/>
                <w:sz w:val="18"/>
              </w:rPr>
              <w:t xml:space="preserve">Verified</w:t>
            </w:r>
            <w:r>
              <w:rPr>
                <w:sz w:val="18"/>
              </w:rPr>
              <w:t xml:space="preserve"> (survey-based industry estimate)</w:t>
            </w:r>
          </w:p>
        </w:tc>
        <w:tc>
          <w:tcPr>
            <w:tcW w:w="1680" w:type="dxa"/>
          </w:tcPr>
          <w:p>
            <w:pPr>
              <w:spacing w:before="40" w:after="40"/>
            </w:pPr>
            <w:r>
              <w:rPr>
                <w:sz w:val="18"/>
              </w:rPr>
              <w:t xml:space="preserve">Using SEC Form D initial filings (34,553) instead cuts SAM to ~37,000 and every case by </w:t>
            </w:r>
            <w:r>
              <w:rPr>
                <w:b/>
                <w:sz w:val="18"/>
              </w:rPr>
              <w:t xml:space="preserve">37%</w:t>
            </w:r>
          </w:p>
        </w:tc>
      </w:tr>
      <w:tr>
        <w:tc>
          <w:tcPr>
            <w:tcW w:w="1680" w:type="dxa"/>
          </w:tcPr>
          <w:p>
            <w:pPr>
              <w:spacing w:before="40" w:after="40"/>
            </w:pPr>
            <w:r>
              <w:rPr>
                <w:sz w:val="18"/>
              </w:rPr>
              <w:t xml:space="preserve">A2</w:t>
            </w:r>
          </w:p>
        </w:tc>
        <w:tc>
          <w:tcPr>
            <w:tcW w:w="1680" w:type="dxa"/>
          </w:tcPr>
          <w:p>
            <w:pPr>
              <w:spacing w:before="40" w:after="40"/>
            </w:pPr>
            <w:r>
              <w:rPr>
                <w:sz w:val="18"/>
              </w:rPr>
              <w:t xml:space="preserve">Attempt-to-success multiplier</w:t>
            </w:r>
          </w:p>
        </w:tc>
        <w:tc>
          <w:tcPr>
            <w:tcW w:w="1680" w:type="dxa"/>
          </w:tcPr>
          <w:p>
            <w:pPr>
              <w:spacing w:before="40" w:after="40"/>
            </w:pPr>
            <w:r>
              <w:rPr>
                <w:b/>
                <w:sz w:val="18"/>
              </w:rPr>
              <w:t xml:space="preserve">×3</w:t>
            </w:r>
          </w:p>
        </w:tc>
        <w:tc>
          <w:tcPr>
            <w:tcW w:w="1680" w:type="dxa"/>
          </w:tcPr>
          <w:p>
            <w:pPr>
              <w:spacing w:before="40" w:after="40"/>
            </w:pPr>
            <w:r>
              <w:rPr>
                <w:sz w:val="18"/>
              </w:rPr>
              <w:t xml:space="preserve">No survey found. Reported pre-seed funnel is ~100 first meetings → 6–8 checks, implying many attempts per success</w:t>
            </w:r>
          </w:p>
        </w:tc>
        <w:tc>
          <w:tcPr>
            <w:tcW w:w="1680" w:type="dxa"/>
          </w:tcPr>
          <w:p>
            <w:pPr>
              <w:spacing w:before="40" w:after="40"/>
            </w:pPr>
            <w:r>
              <w:rPr>
                <w:rFonts w:ascii="Consolas" w:hAnsi="Consolas"/>
                <w:sz w:val="18"/>
              </w:rPr>
              <w:t xml:space="preserve">[UNVERIFIED]</w:t>
            </w:r>
          </w:p>
        </w:tc>
        <w:tc>
          <w:tcPr>
            <w:tcW w:w="1680" w:type="dxa"/>
          </w:tcPr>
          <w:p>
            <w:pPr>
              <w:spacing w:before="40" w:after="40"/>
            </w:pPr>
            <w:r>
              <w:rPr>
                <w:sz w:val="18"/>
              </w:rPr>
              <w:t xml:space="preserve">×2 → SAM 39,000 (cases −33%); ×4 → SAM 79,000 (cases +33%). </w:t>
            </w:r>
            <w:r>
              <w:rPr>
                <w:b/>
                <w:sz w:val="18"/>
              </w:rPr>
              <w:t xml:space="preserve">Most sensitive structural input.</w:t>
            </w:r>
          </w:p>
        </w:tc>
      </w:tr>
      <w:tr>
        <w:tc>
          <w:tcPr>
            <w:tcW w:w="1680" w:type="dxa"/>
          </w:tcPr>
          <w:p>
            <w:pPr>
              <w:spacing w:before="40" w:after="40"/>
            </w:pPr>
            <w:r>
              <w:rPr>
                <w:sz w:val="18"/>
              </w:rPr>
              <w:t xml:space="preserve">A3</w:t>
            </w:r>
          </w:p>
        </w:tc>
        <w:tc>
          <w:tcPr>
            <w:tcW w:w="1680" w:type="dxa"/>
          </w:tcPr>
          <w:p>
            <w:pPr>
              <w:spacing w:before="40" w:after="40"/>
            </w:pPr>
            <w:r>
              <w:rPr>
                <w:sz w:val="18"/>
              </w:rPr>
              <w:t xml:space="preserve">Share of attempting founders who will buy software at all</w:t>
            </w:r>
          </w:p>
        </w:tc>
        <w:tc>
          <w:tcPr>
            <w:tcW w:w="1680" w:type="dxa"/>
          </w:tcPr>
          <w:p>
            <w:pPr>
              <w:spacing w:before="40" w:after="40"/>
            </w:pPr>
            <w:r>
              <w:rPr>
                <w:sz w:val="18"/>
              </w:rPr>
              <w:t xml:space="preserve">40%</w:t>
            </w:r>
          </w:p>
        </w:tc>
        <w:tc>
          <w:tcPr>
            <w:tcW w:w="1680" w:type="dxa"/>
          </w:tcPr>
          <w:p>
            <w:pPr>
              <w:spacing w:before="40" w:after="40"/>
            </w:pPr>
            <w:r>
              <w:rPr>
                <w:sz w:val="18"/>
              </w:rPr>
              <w:t xml:space="preserve">Section 1 showed the true incumbent is spreadsheets, warm intros and advisors</w:t>
            </w:r>
          </w:p>
        </w:tc>
        <w:tc>
          <w:tcPr>
            <w:tcW w:w="1680" w:type="dxa"/>
          </w:tcPr>
          <w:p>
            <w:pPr>
              <w:spacing w:before="40" w:after="40"/>
            </w:pPr>
            <w:r>
              <w:rPr>
                <w:rFonts w:ascii="Consolas" w:hAnsi="Consolas"/>
                <w:sz w:val="18"/>
              </w:rPr>
              <w:t xml:space="preserve">[UNVERIFIED]</w:t>
            </w:r>
          </w:p>
        </w:tc>
        <w:tc>
          <w:tcPr>
            <w:tcW w:w="1680" w:type="dxa"/>
          </w:tcPr>
          <w:p>
            <w:pPr>
              <w:spacing w:before="40" w:after="40"/>
            </w:pPr>
            <w:r>
              <w:rPr>
                <w:sz w:val="18"/>
              </w:rPr>
              <w:t xml:space="preserve">At 25%, base case falls to ~1,100 customers / $1.1M</w:t>
            </w:r>
          </w:p>
        </w:tc>
      </w:tr>
      <w:tr>
        <w:tc>
          <w:tcPr>
            <w:tcW w:w="1680" w:type="dxa"/>
          </w:tcPr>
          <w:p>
            <w:pPr>
              <w:spacing w:before="40" w:after="40"/>
            </w:pPr>
            <w:r>
              <w:rPr>
                <w:sz w:val="18"/>
              </w:rPr>
              <w:t xml:space="preserve">A4</w:t>
            </w:r>
          </w:p>
        </w:tc>
        <w:tc>
          <w:tcPr>
            <w:tcW w:w="1680" w:type="dxa"/>
          </w:tcPr>
          <w:p>
            <w:pPr>
              <w:spacing w:before="40" w:after="40"/>
            </w:pPr>
            <w:r>
              <w:rPr>
                <w:sz w:val="18"/>
              </w:rPr>
              <w:t xml:space="preserve">US/online reachable share</w:t>
            </w:r>
          </w:p>
        </w:tc>
        <w:tc>
          <w:tcPr>
            <w:tcW w:w="1680" w:type="dxa"/>
          </w:tcPr>
          <w:p>
            <w:pPr>
              <w:spacing w:before="40" w:after="40"/>
            </w:pPr>
            <w:r>
              <w:rPr>
                <w:sz w:val="18"/>
              </w:rPr>
              <w:t xml:space="preserve">90%</w:t>
            </w:r>
          </w:p>
        </w:tc>
        <w:tc>
          <w:tcPr>
            <w:tcW w:w="1680" w:type="dxa"/>
          </w:tcPr>
          <w:p>
            <w:pPr>
              <w:spacing w:before="40" w:after="40"/>
            </w:pPr>
            <w:r>
              <w:rPr>
                <w:sz w:val="18"/>
              </w:rPr>
              <w:t xml:space="preserve">Product is US-focused and online-only</w:t>
            </w:r>
          </w:p>
        </w:tc>
        <w:tc>
          <w:tcPr>
            <w:tcW w:w="1680" w:type="dxa"/>
          </w:tcPr>
          <w:p>
            <w:pPr>
              <w:spacing w:before="40" w:after="40"/>
            </w:pPr>
            <w:r>
              <w:rPr>
                <w:rFonts w:ascii="Consolas" w:hAnsi="Consolas"/>
                <w:sz w:val="18"/>
              </w:rPr>
              <w:t xml:space="preserve">[UNVERIFIED — reasonable]</w:t>
            </w:r>
          </w:p>
        </w:tc>
        <w:tc>
          <w:tcPr>
            <w:tcW w:w="1680" w:type="dxa"/>
          </w:tcPr>
          <w:p>
            <w:pPr>
              <w:spacing w:before="40" w:after="40"/>
            </w:pPr>
            <w:r>
              <w:rPr>
                <w:sz w:val="18"/>
              </w:rPr>
              <w:t xml:space="preserve">Immaterial</w:t>
            </w:r>
          </w:p>
        </w:tc>
      </w:tr>
      <w:tr>
        <w:tc>
          <w:tcPr>
            <w:tcW w:w="1680" w:type="dxa"/>
          </w:tcPr>
          <w:p>
            <w:pPr>
              <w:spacing w:before="40" w:after="40"/>
            </w:pPr>
            <w:r>
              <w:rPr>
                <w:sz w:val="18"/>
              </w:rPr>
              <w:t xml:space="preserve">A5</w:t>
            </w:r>
          </w:p>
        </w:tc>
        <w:tc>
          <w:tcPr>
            <w:tcW w:w="1680" w:type="dxa"/>
          </w:tcPr>
          <w:p>
            <w:pPr>
              <w:spacing w:before="40" w:after="40"/>
            </w:pPr>
            <w:r>
              <w:rPr>
                <w:sz w:val="18"/>
              </w:rPr>
              <w:t xml:space="preserve">Adoption of SAM</w:t>
            </w:r>
          </w:p>
        </w:tc>
        <w:tc>
          <w:tcPr>
            <w:tcW w:w="1680" w:type="dxa"/>
          </w:tcPr>
          <w:p>
            <w:pPr>
              <w:spacing w:before="40" w:after="40"/>
            </w:pPr>
            <w:r>
              <w:rPr>
                <w:sz w:val="18"/>
              </w:rPr>
              <w:t xml:space="preserve">1% / 3% / 7%</w:t>
            </w:r>
          </w:p>
        </w:tc>
        <w:tc>
          <w:tcPr>
            <w:tcW w:w="1680" w:type="dxa"/>
          </w:tcPr>
          <w:p>
            <w:pPr>
              <w:spacing w:before="40" w:after="40"/>
            </w:pPr>
            <w:r>
              <w:rPr>
                <w:sz w:val="18"/>
              </w:rPr>
              <w:t xml:space="preserve">Calibrated against Carta's 16,000 409As/yr and Eqvista's $990 price point</w:t>
            </w:r>
          </w:p>
        </w:tc>
        <w:tc>
          <w:tcPr>
            <w:tcW w:w="1680" w:type="dxa"/>
          </w:tcPr>
          <w:p>
            <w:pPr>
              <w:spacing w:before="40" w:after="40"/>
            </w:pPr>
            <w:r>
              <w:rPr>
                <w:rFonts w:ascii="Consolas" w:hAnsi="Consolas"/>
                <w:sz w:val="18"/>
              </w:rPr>
              <w:t xml:space="preserve">[UNVERIFIED]</w:t>
            </w:r>
          </w:p>
        </w:tc>
        <w:tc>
          <w:tcPr>
            <w:tcW w:w="1680" w:type="dxa"/>
          </w:tcPr>
          <w:p>
            <w:pPr>
              <w:spacing w:before="40" w:after="40"/>
            </w:pPr>
            <w:r>
              <w:rPr>
                <w:sz w:val="18"/>
              </w:rPr>
              <w:t xml:space="preserve">See sensitivity table</w:t>
            </w:r>
          </w:p>
        </w:tc>
      </w:tr>
      <w:tr>
        <w:tc>
          <w:tcPr>
            <w:tcW w:w="1680" w:type="dxa"/>
          </w:tcPr>
          <w:p>
            <w:pPr>
              <w:spacing w:before="40" w:after="40"/>
            </w:pPr>
            <w:r>
              <w:rPr>
                <w:sz w:val="18"/>
              </w:rPr>
              <w:t xml:space="preserve">A6</w:t>
            </w:r>
          </w:p>
        </w:tc>
        <w:tc>
          <w:tcPr>
            <w:tcW w:w="1680" w:type="dxa"/>
          </w:tcPr>
          <w:p>
            <w:pPr>
              <w:spacing w:before="40" w:after="40"/>
            </w:pPr>
            <w:r>
              <w:rPr>
                <w:sz w:val="18"/>
              </w:rPr>
              <w:t xml:space="preserve">Price</w:t>
            </w:r>
          </w:p>
        </w:tc>
        <w:tc>
          <w:tcPr>
            <w:tcW w:w="1680" w:type="dxa"/>
          </w:tcPr>
          <w:p>
            <w:pPr>
              <w:spacing w:before="40" w:after="40"/>
            </w:pPr>
            <w:r>
              <w:rPr>
                <w:sz w:val="18"/>
              </w:rPr>
              <w:t xml:space="preserve">$1,000/yr flat, no tiers</w:t>
            </w:r>
          </w:p>
        </w:tc>
        <w:tc>
          <w:tcPr>
            <w:tcW w:w="1680" w:type="dxa"/>
          </w:tcPr>
          <w:p>
            <w:pPr>
              <w:spacing w:before="40" w:after="40"/>
            </w:pPr>
            <w:r>
              <w:rPr>
                <w:sz w:val="18"/>
              </w:rPr>
              <w:t xml:space="preserve">Your input. Sits between Crunchbase ($588), Foundersuite ($745–$1,609), Eqvista 409A ($990) and Equidam 409A ($1,990)</w:t>
            </w:r>
          </w:p>
        </w:tc>
        <w:tc>
          <w:tcPr>
            <w:tcW w:w="1680" w:type="dxa"/>
          </w:tcPr>
          <w:p>
            <w:pPr>
              <w:spacing w:before="40" w:after="40"/>
            </w:pPr>
            <w:r>
              <w:rPr>
                <w:b/>
                <w:sz w:val="18"/>
              </w:rPr>
              <w:t xml:space="preserve">Verified as a live market price band</w:t>
            </w:r>
          </w:p>
        </w:tc>
        <w:tc>
          <w:tcPr>
            <w:tcW w:w="1680" w:type="dxa"/>
          </w:tcPr>
          <w:p>
            <w:pPr>
              <w:spacing w:before="40" w:after="40"/>
            </w:pPr>
            <w:r>
              <w:rPr>
                <w:sz w:val="18"/>
              </w:rPr>
              <w:t xml:space="preserve">A $49/mo plan ($588/yr) would raise conversion but cut ARPU 41%</w:t>
            </w:r>
          </w:p>
        </w:tc>
      </w:tr>
      <w:tr>
        <w:tc>
          <w:tcPr>
            <w:tcW w:w="1680" w:type="dxa"/>
          </w:tcPr>
          <w:p>
            <w:pPr>
              <w:spacing w:before="40" w:after="40"/>
            </w:pPr>
            <w:r>
              <w:rPr>
                <w:sz w:val="18"/>
              </w:rPr>
              <w:t xml:space="preserve">A7</w:t>
            </w:r>
          </w:p>
        </w:tc>
        <w:tc>
          <w:tcPr>
            <w:tcW w:w="1680" w:type="dxa"/>
          </w:tcPr>
          <w:p>
            <w:pPr>
              <w:spacing w:before="40" w:after="40"/>
            </w:pPr>
            <w:r>
              <w:rPr>
                <w:sz w:val="18"/>
              </w:rPr>
              <w:t xml:space="preserve">Renewal rate</w:t>
            </w:r>
          </w:p>
        </w:tc>
        <w:tc>
          <w:tcPr>
            <w:tcW w:w="1680" w:type="dxa"/>
          </w:tcPr>
          <w:p>
            <w:pPr>
              <w:spacing w:before="40" w:after="40"/>
            </w:pPr>
            <w:r>
              <w:rPr>
                <w:sz w:val="18"/>
              </w:rPr>
              <w:t xml:space="preserve">20% / 35% / 55%</w:t>
            </w:r>
          </w:p>
        </w:tc>
        <w:tc>
          <w:tcPr>
            <w:tcW w:w="1680" w:type="dxa"/>
          </w:tcPr>
          <w:p>
            <w:pPr>
              <w:spacing w:before="40" w:after="40"/>
            </w:pPr>
            <w:r>
              <w:rPr>
                <w:sz w:val="18"/>
              </w:rPr>
              <w:t xml:space="preserve">Fundraising is episodic; no published renewal benchmark for this category</w:t>
            </w:r>
          </w:p>
        </w:tc>
        <w:tc>
          <w:tcPr>
            <w:tcW w:w="1680" w:type="dxa"/>
          </w:tcPr>
          <w:p>
            <w:pPr>
              <w:spacing w:before="40" w:after="40"/>
            </w:pPr>
            <w:r>
              <w:rPr>
                <w:rFonts w:ascii="Consolas" w:hAnsi="Consolas"/>
                <w:sz w:val="18"/>
              </w:rPr>
              <w:t xml:space="preserve">[UNVERIFIED]</w:t>
            </w:r>
          </w:p>
        </w:tc>
        <w:tc>
          <w:tcPr>
            <w:tcW w:w="1680" w:type="dxa"/>
          </w:tcPr>
          <w:p>
            <w:pPr>
              <w:spacing w:before="40" w:after="40"/>
            </w:pPr>
            <w:r>
              <w:rPr>
                <w:sz w:val="18"/>
              </w:rPr>
              <w:t xml:space="preserve">The single biggest driver of whether this is a business. At 20% renewal the base case needs ~1,400 new customers/yr</w:t>
            </w:r>
          </w:p>
        </w:tc>
      </w:tr>
      <w:tr>
        <w:tc>
          <w:tcPr>
            <w:tcW w:w="1680" w:type="dxa"/>
          </w:tcPr>
          <w:p>
            <w:pPr>
              <w:spacing w:before="40" w:after="40"/>
            </w:pPr>
            <w:r>
              <w:rPr>
                <w:sz w:val="18"/>
              </w:rPr>
              <w:t xml:space="preserve">A8</w:t>
            </w:r>
          </w:p>
        </w:tc>
        <w:tc>
          <w:tcPr>
            <w:tcW w:w="1680" w:type="dxa"/>
          </w:tcPr>
          <w:p>
            <w:pPr>
              <w:spacing w:before="40" w:after="40"/>
            </w:pPr>
            <w:r>
              <w:rPr>
                <w:sz w:val="18"/>
              </w:rPr>
              <w:t xml:space="preserve">Payment processing</w:t>
            </w:r>
          </w:p>
        </w:tc>
        <w:tc>
          <w:tcPr>
            <w:tcW w:w="1680" w:type="dxa"/>
          </w:tcPr>
          <w:p>
            <w:pPr>
              <w:spacing w:before="40" w:after="40"/>
            </w:pPr>
            <w:r>
              <w:rPr>
                <w:sz w:val="18"/>
              </w:rPr>
              <w:t xml:space="preserve">~3%</w:t>
            </w:r>
          </w:p>
        </w:tc>
        <w:tc>
          <w:tcPr>
            <w:tcW w:w="1680" w:type="dxa"/>
          </w:tcPr>
          <w:p>
            <w:pPr>
              <w:spacing w:before="40" w:after="40"/>
            </w:pPr>
            <w:r>
              <w:rPr>
                <w:sz w:val="18"/>
              </w:rPr>
              <w:t xml:space="preserve">Web checkout (Stripe-class), not app-store billing</w:t>
            </w:r>
          </w:p>
        </w:tc>
        <w:tc>
          <w:tcPr>
            <w:tcW w:w="1680" w:type="dxa"/>
          </w:tcPr>
          <w:p>
            <w:pPr>
              <w:spacing w:before="40" w:after="40"/>
            </w:pPr>
            <w:r>
              <w:rPr>
                <w:b/>
                <w:sz w:val="18"/>
              </w:rPr>
              <w:t xml:space="preserve">Verified as standard</w:t>
            </w:r>
          </w:p>
        </w:tc>
        <w:tc>
          <w:tcPr>
            <w:tcW w:w="1680" w:type="dxa"/>
          </w:tcPr>
          <w:p>
            <w:pPr>
              <w:spacing w:before="40" w:after="40"/>
            </w:pPr>
            <w:r>
              <w:rPr>
                <w:sz w:val="18"/>
              </w:rPr>
              <w:t xml:space="preserve">Selling through iOS would cost 15–30%, i.e. 5–10× more</w:t>
            </w:r>
          </w:p>
        </w:tc>
      </w:tr>
      <w:tr>
        <w:tc>
          <w:tcPr>
            <w:tcW w:w="1680" w:type="dxa"/>
          </w:tcPr>
          <w:p>
            <w:pPr>
              <w:spacing w:before="40" w:after="40"/>
            </w:pPr>
            <w:r>
              <w:rPr>
                <w:sz w:val="18"/>
              </w:rPr>
              <w:t xml:space="preserve">A9</w:t>
            </w:r>
          </w:p>
        </w:tc>
        <w:tc>
          <w:tcPr>
            <w:tcW w:w="1680" w:type="dxa"/>
          </w:tcPr>
          <w:p>
            <w:pPr>
              <w:spacing w:before="40" w:after="40"/>
            </w:pPr>
            <w:r>
              <w:rPr>
                <w:sz w:val="18"/>
              </w:rPr>
              <w:t xml:space="preserve">No B2B revenue modeled</w:t>
            </w:r>
          </w:p>
        </w:tc>
        <w:tc>
          <w:tcPr>
            <w:tcW w:w="1680" w:type="dxa"/>
          </w:tcPr>
          <w:p>
            <w:pPr>
              <w:spacing w:before="40" w:after="40"/>
            </w:pPr>
            <w:r>
              <w:rPr>
                <w:sz w:val="18"/>
              </w:rPr>
              <w:t xml:space="preserve">$0</w:t>
            </w:r>
          </w:p>
        </w:tc>
        <w:tc>
          <w:tcPr>
            <w:tcW w:w="1680" w:type="dxa"/>
          </w:tcPr>
          <w:p>
            <w:pPr>
              <w:spacing w:before="40" w:after="40"/>
            </w:pPr>
            <w:r>
              <w:rPr>
                <w:sz w:val="18"/>
              </w:rPr>
              <w:t xml:space="preserve">Accelerators, angel groups, universities and SBDCs could buy seats in bulk</w:t>
            </w:r>
          </w:p>
        </w:tc>
        <w:tc>
          <w:tcPr>
            <w:tcW w:w="1680" w:type="dxa"/>
          </w:tcPr>
          <w:p>
            <w:pPr>
              <w:spacing w:before="40" w:after="40"/>
            </w:pPr>
            <w:r>
              <w:rPr>
                <w:b/>
                <w:sz w:val="18"/>
              </w:rPr>
              <w:t xml:space="preserve">Deliberate omission</w:t>
            </w:r>
          </w:p>
        </w:tc>
        <w:tc>
          <w:tcPr>
            <w:tcW w:w="1680" w:type="dxa"/>
          </w:tcPr>
          <w:p>
            <w:pPr>
              <w:spacing w:before="40" w:after="40"/>
            </w:pPr>
            <w:r>
              <w:rPr>
                <w:sz w:val="18"/>
              </w:rPr>
              <w:t xml:space="preserve">Unmodeled upside; also the most plausible fix for A7's churn problem</w:t>
            </w:r>
          </w:p>
        </w:tc>
      </w:tr>
      <w:tr>
        <w:tc>
          <w:tcPr>
            <w:tcW w:w="1680" w:type="dxa"/>
          </w:tcPr>
          <w:p>
            <w:pPr>
              <w:spacing w:before="40" w:after="40"/>
            </w:pPr>
            <w:r>
              <w:rPr>
                <w:sz w:val="18"/>
              </w:rPr>
              <w:t xml:space="preserve">A10</w:t>
            </w:r>
          </w:p>
        </w:tc>
        <w:tc>
          <w:tcPr>
            <w:tcW w:w="1680" w:type="dxa"/>
          </w:tcPr>
          <w:p>
            <w:pPr>
              <w:spacing w:before="40" w:after="40"/>
            </w:pPr>
            <w:r>
              <w:rPr>
                <w:sz w:val="18"/>
              </w:rPr>
              <w:t xml:space="preserve">Segments are not additive</w:t>
            </w:r>
          </w:p>
        </w:tc>
        <w:tc>
          <w:tcPr>
            <w:tcW w:w="1680" w:type="dxa"/>
          </w:tcPr>
          <w:p>
            <w:pPr>
              <w:spacing w:before="40" w:after="40"/>
            </w:pPr>
            <w:r>
              <w:rPr>
                <w:sz w:val="18"/>
              </w:rPr>
              <w:t xml:space="preserve">—</w:t>
            </w:r>
          </w:p>
        </w:tc>
        <w:tc>
          <w:tcPr>
            <w:tcW w:w="1680" w:type="dxa"/>
          </w:tcPr>
          <w:p>
            <w:pPr>
              <w:spacing w:before="40" w:after="40"/>
            </w:pPr>
            <w:r>
              <w:rPr>
                <w:sz w:val="18"/>
              </w:rPr>
              <w:t xml:space="preserve">Shark Tank applicants overlap the attempting pool; the cross-check is a </w:t>
            </w:r>
            <w:r>
              <w:rPr>
                <w:b/>
                <w:sz w:val="18"/>
              </w:rPr>
              <w:t xml:space="preserve">check</w:t>
            </w:r>
            <w:r>
              <w:rPr>
                <w:sz w:val="18"/>
              </w:rPr>
              <w:t xml:space="preserve">, not an addition</w:t>
            </w:r>
          </w:p>
        </w:tc>
        <w:tc>
          <w:tcPr>
            <w:tcW w:w="1680" w:type="dxa"/>
          </w:tcPr>
          <w:p>
            <w:pPr>
              <w:spacing w:before="40" w:after="40"/>
            </w:pPr>
            <w:r>
              <w:rPr>
                <w:b/>
                <w:sz w:val="18"/>
              </w:rPr>
              <w:t xml:space="preserve">Stated to prevent double-counting</w:t>
            </w:r>
          </w:p>
        </w:tc>
        <w:tc>
          <w:tcPr>
            <w:tcW w:w="1680" w:type="dxa"/>
          </w:tcPr>
          <w:p>
            <w:pPr>
              <w:spacing w:before="40" w:after="40"/>
            </w:pPr>
            <w:r>
              <w:rPr>
                <w:sz w:val="18"/>
              </w:rPr>
              <w:t xml:space="preserve">Adding them would overstate the model</w:t>
            </w:r>
          </w:p>
        </w:tc>
      </w:tr>
      <w:tr>
        <w:tc>
          <w:tcPr>
            <w:tcW w:w="1680" w:type="dxa"/>
          </w:tcPr>
          <w:p>
            <w:pPr>
              <w:spacing w:before="40" w:after="40"/>
            </w:pPr>
            <w:r>
              <w:rPr>
                <w:sz w:val="18"/>
              </w:rPr>
              <w:t xml:space="preserve">A11</w:t>
            </w:r>
          </w:p>
        </w:tc>
        <w:tc>
          <w:tcPr>
            <w:tcW w:w="1680" w:type="dxa"/>
          </w:tcPr>
          <w:p>
            <w:pPr>
              <w:spacing w:before="40" w:after="40"/>
            </w:pPr>
            <w:r>
              <w:rPr>
                <w:sz w:val="18"/>
              </w:rPr>
              <w:t xml:space="preserve">Every customer pays full price</w:t>
            </w:r>
          </w:p>
        </w:tc>
        <w:tc>
          <w:tcPr>
            <w:tcW w:w="1680" w:type="dxa"/>
          </w:tcPr>
          <w:p>
            <w:pPr>
              <w:spacing w:before="40" w:after="40"/>
            </w:pPr>
            <w:r>
              <w:rPr>
                <w:sz w:val="18"/>
              </w:rPr>
              <w:t xml:space="preserve">100%</w:t>
            </w:r>
          </w:p>
        </w:tc>
        <w:tc>
          <w:tcPr>
            <w:tcW w:w="1680" w:type="dxa"/>
          </w:tcPr>
          <w:p>
            <w:pPr>
              <w:spacing w:before="40" w:after="40"/>
            </w:pPr>
            <w:r>
              <w:rPr>
                <w:sz w:val="18"/>
              </w:rPr>
              <w:t xml:space="preserve">No trials, discounts or partial-year customers modeled</w:t>
            </w:r>
          </w:p>
        </w:tc>
        <w:tc>
          <w:tcPr>
            <w:tcW w:w="1680" w:type="dxa"/>
          </w:tcPr>
          <w:p>
            <w:pPr>
              <w:spacing w:before="40" w:after="40"/>
            </w:pPr>
            <w:r>
              <w:rPr>
                <w:b/>
                <w:sz w:val="18"/>
              </w:rPr>
              <w:t xml:space="preserve">Simplification</w:t>
            </w:r>
          </w:p>
        </w:tc>
        <w:tc>
          <w:tcPr>
            <w:tcW w:w="1680" w:type="dxa"/>
          </w:tcPr>
          <w:p>
            <w:pPr>
              <w:spacing w:before="40" w:after="40"/>
            </w:pPr>
            <w:r>
              <w:rPr>
                <w:sz w:val="18"/>
              </w:rPr>
              <w:t xml:space="preserve">Collected revenue typically runs 10–20% below gross billings</w:t>
            </w:r>
          </w:p>
        </w:tc>
      </w:tr>
    </w:tbl>
    <w:p>
      <w:pPr>
        <w:spacing w:after="0"/>
      </w:pPr>
    </w:p>
    <w:p>
      <w:pPr>
        <w:pBdr>
          <w:bottom w:val="single" w:sz="6" w:space="6" w:color="C9CCD1"/>
        </w:pBdr>
      </w:pPr>
    </w:p>
    <w:p>
      <w:pPr>
        <w:pStyle w:val="Heading1"/>
      </w:pPr>
      <w:r>
        <w:t xml:space="preserve">Sensitivity</w:t>
      </w:r>
    </w:p>
    <w:p>
      <w:r>
        <w:rPr>
          <w:b/>
        </w:rPr>
        <w:t xml:space="preserve">Adoption (SAM held at 59,000):</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1680"/>
        <w:gridCol w:w="1680"/>
        <w:gridCol w:w="1680"/>
        <w:gridCol w:w="1680"/>
        <w:gridCol w:w="1680"/>
        <w:gridCol w:w="1680"/>
      </w:tblGrid>
      <w:tr>
        <w:trPr>
          <w:tblHeader/>
        </w:trPr>
        <w:tc>
          <w:tcPr>
            <w:tcW w:w="1680" w:type="dxa"/>
            <w:shd w:val="clear" w:color="auto" w:fill="EFF1F3"/>
          </w:tcPr>
          <w:p>
            <w:pPr>
              <w:spacing w:before="40" w:after="40"/>
            </w:pPr>
            <w:r>
              <w:rPr>
                <w:b/>
                <w:sz w:val="18"/>
              </w:rPr>
              <w:t xml:space="preserve">Adoption →</w:t>
            </w:r>
          </w:p>
        </w:tc>
        <w:tc>
          <w:tcPr>
            <w:tcW w:w="1680" w:type="dxa"/>
            <w:shd w:val="clear" w:color="auto" w:fill="EFF1F3"/>
          </w:tcPr>
          <w:p>
            <w:pPr>
              <w:spacing w:before="40" w:after="40"/>
            </w:pPr>
            <w:r>
              <w:rPr>
                <w:b/>
                <w:sz w:val="18"/>
              </w:rPr>
              <w:t xml:space="preserve">1.0%</w:t>
            </w:r>
          </w:p>
        </w:tc>
        <w:tc>
          <w:tcPr>
            <w:tcW w:w="1680" w:type="dxa"/>
            <w:shd w:val="clear" w:color="auto" w:fill="EFF1F3"/>
          </w:tcPr>
          <w:p>
            <w:pPr>
              <w:spacing w:before="40" w:after="40"/>
            </w:pPr>
            <w:r>
              <w:rPr>
                <w:b/>
                <w:sz w:val="18"/>
              </w:rPr>
              <w:t xml:space="preserve">2.0%</w:t>
            </w:r>
          </w:p>
        </w:tc>
        <w:tc>
          <w:tcPr>
            <w:tcW w:w="1680" w:type="dxa"/>
            <w:shd w:val="clear" w:color="auto" w:fill="EFF1F3"/>
          </w:tcPr>
          <w:p>
            <w:pPr>
              <w:spacing w:before="40" w:after="40"/>
            </w:pPr>
            <w:r>
              <w:rPr>
                <w:b/>
                <w:sz w:val="18"/>
              </w:rPr>
              <w:t xml:space="preserve">3.0%</w:t>
            </w:r>
          </w:p>
        </w:tc>
        <w:tc>
          <w:tcPr>
            <w:tcW w:w="1680" w:type="dxa"/>
            <w:shd w:val="clear" w:color="auto" w:fill="EFF1F3"/>
          </w:tcPr>
          <w:p>
            <w:pPr>
              <w:spacing w:before="40" w:after="40"/>
            </w:pPr>
            <w:r>
              <w:rPr>
                <w:b/>
                <w:sz w:val="18"/>
              </w:rPr>
              <w:t xml:space="preserve">5.0%</w:t>
            </w:r>
          </w:p>
        </w:tc>
        <w:tc>
          <w:tcPr>
            <w:tcW w:w="1680" w:type="dxa"/>
            <w:shd w:val="clear" w:color="auto" w:fill="EFF1F3"/>
          </w:tcPr>
          <w:p>
            <w:pPr>
              <w:spacing w:before="40" w:after="40"/>
            </w:pPr>
            <w:r>
              <w:rPr>
                <w:b/>
                <w:sz w:val="18"/>
              </w:rPr>
              <w:t xml:space="preserve">7.0%</w:t>
            </w:r>
          </w:p>
        </w:tc>
      </w:tr>
      <w:tr>
        <w:tc>
          <w:tcPr>
            <w:tcW w:w="1680" w:type="dxa"/>
          </w:tcPr>
          <w:p>
            <w:pPr>
              <w:spacing w:before="40" w:after="40"/>
            </w:pPr>
            <w:r>
              <w:rPr>
                <w:sz w:val="18"/>
              </w:rPr>
              <w:t xml:space="preserve">Customers</w:t>
            </w:r>
          </w:p>
        </w:tc>
        <w:tc>
          <w:tcPr>
            <w:tcW w:w="1680" w:type="dxa"/>
          </w:tcPr>
          <w:p>
            <w:pPr>
              <w:spacing w:before="40" w:after="40"/>
            </w:pPr>
            <w:r>
              <w:rPr>
                <w:sz w:val="18"/>
              </w:rPr>
              <w:t xml:space="preserve">590</w:t>
            </w:r>
          </w:p>
        </w:tc>
        <w:tc>
          <w:tcPr>
            <w:tcW w:w="1680" w:type="dxa"/>
          </w:tcPr>
          <w:p>
            <w:pPr>
              <w:spacing w:before="40" w:after="40"/>
            </w:pPr>
            <w:r>
              <w:rPr>
                <w:sz w:val="18"/>
              </w:rPr>
              <w:t xml:space="preserve">1,180</w:t>
            </w:r>
          </w:p>
        </w:tc>
        <w:tc>
          <w:tcPr>
            <w:tcW w:w="1680" w:type="dxa"/>
          </w:tcPr>
          <w:p>
            <w:pPr>
              <w:spacing w:before="40" w:after="40"/>
            </w:pPr>
            <w:r>
              <w:rPr>
                <w:sz w:val="18"/>
              </w:rPr>
              <w:t xml:space="preserve">1,770</w:t>
            </w:r>
          </w:p>
        </w:tc>
        <w:tc>
          <w:tcPr>
            <w:tcW w:w="1680" w:type="dxa"/>
          </w:tcPr>
          <w:p>
            <w:pPr>
              <w:spacing w:before="40" w:after="40"/>
            </w:pPr>
            <w:r>
              <w:rPr>
                <w:sz w:val="18"/>
              </w:rPr>
              <w:t xml:space="preserve">2,950</w:t>
            </w:r>
          </w:p>
        </w:tc>
        <w:tc>
          <w:tcPr>
            <w:tcW w:w="1680" w:type="dxa"/>
          </w:tcPr>
          <w:p>
            <w:pPr>
              <w:spacing w:before="40" w:after="40"/>
            </w:pPr>
            <w:r>
              <w:rPr>
                <w:sz w:val="18"/>
              </w:rPr>
              <w:t xml:space="preserve">4,130</w:t>
            </w:r>
          </w:p>
        </w:tc>
      </w:tr>
      <w:tr>
        <w:tc>
          <w:tcPr>
            <w:tcW w:w="1680" w:type="dxa"/>
          </w:tcPr>
          <w:p>
            <w:pPr>
              <w:spacing w:before="40" w:after="40"/>
            </w:pPr>
            <w:r>
              <w:rPr>
                <w:b/>
                <w:sz w:val="18"/>
              </w:rPr>
              <w:t xml:space="preserve">Gross ARR</w:t>
            </w:r>
          </w:p>
        </w:tc>
        <w:tc>
          <w:tcPr>
            <w:tcW w:w="1680" w:type="dxa"/>
          </w:tcPr>
          <w:p>
            <w:pPr>
              <w:spacing w:before="40" w:after="40"/>
            </w:pPr>
            <w:r>
              <w:rPr>
                <w:sz w:val="18"/>
              </w:rPr>
              <w:t xml:space="preserve">$590k</w:t>
            </w:r>
          </w:p>
        </w:tc>
        <w:tc>
          <w:tcPr>
            <w:tcW w:w="1680" w:type="dxa"/>
          </w:tcPr>
          <w:p>
            <w:pPr>
              <w:spacing w:before="40" w:after="40"/>
            </w:pPr>
            <w:r>
              <w:rPr>
                <w:sz w:val="18"/>
              </w:rPr>
              <w:t xml:space="preserve">$1.18M</w:t>
            </w:r>
          </w:p>
        </w:tc>
        <w:tc>
          <w:tcPr>
            <w:tcW w:w="1680" w:type="dxa"/>
          </w:tcPr>
          <w:p>
            <w:pPr>
              <w:spacing w:before="40" w:after="40"/>
            </w:pPr>
            <w:r>
              <w:rPr>
                <w:b/>
                <w:sz w:val="18"/>
              </w:rPr>
              <w:t xml:space="preserve">$1.77M</w:t>
            </w:r>
          </w:p>
        </w:tc>
        <w:tc>
          <w:tcPr>
            <w:tcW w:w="1680" w:type="dxa"/>
          </w:tcPr>
          <w:p>
            <w:pPr>
              <w:spacing w:before="40" w:after="40"/>
            </w:pPr>
            <w:r>
              <w:rPr>
                <w:sz w:val="18"/>
              </w:rPr>
              <w:t xml:space="preserve">$2.95M</w:t>
            </w:r>
          </w:p>
        </w:tc>
        <w:tc>
          <w:tcPr>
            <w:tcW w:w="1680" w:type="dxa"/>
          </w:tcPr>
          <w:p>
            <w:pPr>
              <w:spacing w:before="40" w:after="40"/>
            </w:pPr>
            <w:r>
              <w:rPr>
                <w:sz w:val="18"/>
              </w:rPr>
              <w:t xml:space="preserve">$4.13M</w:t>
            </w:r>
          </w:p>
        </w:tc>
      </w:tr>
    </w:tbl>
    <w:p>
      <w:pPr>
        <w:spacing w:after="0"/>
      </w:pPr>
    </w:p>
    <w:p>
      <w:r>
        <w:rPr>
          <w:b/>
        </w:rPr>
        <w:t xml:space="preserve">The attempt multiplier (A2), at 3% adoption:</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2520"/>
        <w:gridCol w:w="2520"/>
        <w:gridCol w:w="2520"/>
        <w:gridCol w:w="2520"/>
      </w:tblGrid>
      <w:tr>
        <w:trPr>
          <w:tblHeader/>
        </w:trPr>
        <w:tc>
          <w:tcPr>
            <w:tcW w:w="2520" w:type="dxa"/>
            <w:shd w:val="clear" w:color="auto" w:fill="EFF1F3"/>
          </w:tcPr>
          <w:p>
            <w:pPr>
              <w:spacing w:before="40" w:after="40"/>
            </w:pPr>
            <w:r>
              <w:rPr>
                <w:b/>
                <w:sz w:val="18"/>
              </w:rPr>
              <w:t xml:space="preserve">Multiplier →</w:t>
            </w:r>
          </w:p>
        </w:tc>
        <w:tc>
          <w:tcPr>
            <w:tcW w:w="2520" w:type="dxa"/>
            <w:shd w:val="clear" w:color="auto" w:fill="EFF1F3"/>
          </w:tcPr>
          <w:p>
            <w:pPr>
              <w:spacing w:before="40" w:after="40"/>
            </w:pPr>
            <w:r>
              <w:rPr>
                <w:b/>
                <w:sz w:val="18"/>
              </w:rPr>
              <w:t xml:space="preserve">×2</w:t>
            </w:r>
          </w:p>
        </w:tc>
        <w:tc>
          <w:tcPr>
            <w:tcW w:w="2520" w:type="dxa"/>
            <w:shd w:val="clear" w:color="auto" w:fill="EFF1F3"/>
          </w:tcPr>
          <w:p>
            <w:pPr>
              <w:spacing w:before="40" w:after="40"/>
            </w:pPr>
            <w:r>
              <w:rPr>
                <w:b/>
                <w:sz w:val="18"/>
              </w:rPr>
              <w:t xml:space="preserve">×3 (base)</w:t>
            </w:r>
          </w:p>
        </w:tc>
        <w:tc>
          <w:tcPr>
            <w:tcW w:w="2520" w:type="dxa"/>
            <w:shd w:val="clear" w:color="auto" w:fill="EFF1F3"/>
          </w:tcPr>
          <w:p>
            <w:pPr>
              <w:spacing w:before="40" w:after="40"/>
            </w:pPr>
            <w:r>
              <w:rPr>
                <w:b/>
                <w:sz w:val="18"/>
              </w:rPr>
              <w:t xml:space="preserve">×4</w:t>
            </w:r>
          </w:p>
        </w:tc>
      </w:tr>
      <w:tr>
        <w:tc>
          <w:tcPr>
            <w:tcW w:w="2520" w:type="dxa"/>
          </w:tcPr>
          <w:p>
            <w:pPr>
              <w:spacing w:before="40" w:after="40"/>
            </w:pPr>
            <w:r>
              <w:rPr>
                <w:sz w:val="18"/>
              </w:rPr>
              <w:t xml:space="preserve">SAM</w:t>
            </w:r>
          </w:p>
        </w:tc>
        <w:tc>
          <w:tcPr>
            <w:tcW w:w="2520" w:type="dxa"/>
          </w:tcPr>
          <w:p>
            <w:pPr>
              <w:spacing w:before="40" w:after="40"/>
            </w:pPr>
            <w:r>
              <w:rPr>
                <w:sz w:val="18"/>
              </w:rPr>
              <w:t xml:space="preserve">39,000</w:t>
            </w:r>
          </w:p>
        </w:tc>
        <w:tc>
          <w:tcPr>
            <w:tcW w:w="2520" w:type="dxa"/>
          </w:tcPr>
          <w:p>
            <w:pPr>
              <w:spacing w:before="40" w:after="40"/>
            </w:pPr>
            <w:r>
              <w:rPr>
                <w:sz w:val="18"/>
              </w:rPr>
              <w:t xml:space="preserve">59,000</w:t>
            </w:r>
          </w:p>
        </w:tc>
        <w:tc>
          <w:tcPr>
            <w:tcW w:w="2520" w:type="dxa"/>
          </w:tcPr>
          <w:p>
            <w:pPr>
              <w:spacing w:before="40" w:after="40"/>
            </w:pPr>
            <w:r>
              <w:rPr>
                <w:sz w:val="18"/>
              </w:rPr>
              <w:t xml:space="preserve">79,000</w:t>
            </w:r>
          </w:p>
        </w:tc>
      </w:tr>
      <w:tr>
        <w:tc>
          <w:tcPr>
            <w:tcW w:w="2520" w:type="dxa"/>
          </w:tcPr>
          <w:p>
            <w:pPr>
              <w:spacing w:before="40" w:after="40"/>
            </w:pPr>
            <w:r>
              <w:rPr>
                <w:sz w:val="18"/>
              </w:rPr>
              <w:t xml:space="preserve">Customers</w:t>
            </w:r>
          </w:p>
        </w:tc>
        <w:tc>
          <w:tcPr>
            <w:tcW w:w="2520" w:type="dxa"/>
          </w:tcPr>
          <w:p>
            <w:pPr>
              <w:spacing w:before="40" w:after="40"/>
            </w:pPr>
            <w:r>
              <w:rPr>
                <w:sz w:val="18"/>
              </w:rPr>
              <w:t xml:space="preserve">1,170</w:t>
            </w:r>
          </w:p>
        </w:tc>
        <w:tc>
          <w:tcPr>
            <w:tcW w:w="2520" w:type="dxa"/>
          </w:tcPr>
          <w:p>
            <w:pPr>
              <w:spacing w:before="40" w:after="40"/>
            </w:pPr>
            <w:r>
              <w:rPr>
                <w:b/>
                <w:sz w:val="18"/>
              </w:rPr>
              <w:t xml:space="preserve">1,770</w:t>
            </w:r>
          </w:p>
        </w:tc>
        <w:tc>
          <w:tcPr>
            <w:tcW w:w="2520" w:type="dxa"/>
          </w:tcPr>
          <w:p>
            <w:pPr>
              <w:spacing w:before="40" w:after="40"/>
            </w:pPr>
            <w:r>
              <w:rPr>
                <w:sz w:val="18"/>
              </w:rPr>
              <w:t xml:space="preserve">2,370</w:t>
            </w:r>
          </w:p>
        </w:tc>
      </w:tr>
      <w:tr>
        <w:tc>
          <w:tcPr>
            <w:tcW w:w="2520" w:type="dxa"/>
          </w:tcPr>
          <w:p>
            <w:pPr>
              <w:spacing w:before="40" w:after="40"/>
            </w:pPr>
            <w:r>
              <w:rPr>
                <w:sz w:val="18"/>
              </w:rPr>
              <w:t xml:space="preserve">Gross ARR</w:t>
            </w:r>
          </w:p>
        </w:tc>
        <w:tc>
          <w:tcPr>
            <w:tcW w:w="2520" w:type="dxa"/>
          </w:tcPr>
          <w:p>
            <w:pPr>
              <w:spacing w:before="40" w:after="40"/>
            </w:pPr>
            <w:r>
              <w:rPr>
                <w:sz w:val="18"/>
              </w:rPr>
              <w:t xml:space="preserve">$1.17M</w:t>
            </w:r>
          </w:p>
        </w:tc>
        <w:tc>
          <w:tcPr>
            <w:tcW w:w="2520" w:type="dxa"/>
          </w:tcPr>
          <w:p>
            <w:pPr>
              <w:spacing w:before="40" w:after="40"/>
            </w:pPr>
            <w:r>
              <w:rPr>
                <w:b/>
                <w:sz w:val="18"/>
              </w:rPr>
              <w:t xml:space="preserve">$1.77M</w:t>
            </w:r>
          </w:p>
        </w:tc>
        <w:tc>
          <w:tcPr>
            <w:tcW w:w="2520" w:type="dxa"/>
          </w:tcPr>
          <w:p>
            <w:pPr>
              <w:spacing w:before="40" w:after="40"/>
            </w:pPr>
            <w:r>
              <w:rPr>
                <w:sz w:val="18"/>
              </w:rPr>
              <w:t xml:space="preserve">$2.37M</w:t>
            </w:r>
          </w:p>
        </w:tc>
      </w:tr>
    </w:tbl>
    <w:p>
      <w:pPr>
        <w:spacing w:after="0"/>
      </w:pPr>
    </w:p>
    <w:p>
      <w:r>
        <w:rPr>
          <w:b/>
        </w:rPr>
        <w:t xml:space="preserve">Population source (at 3% adoption, ×3 multiplier):</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3360"/>
        <w:gridCol w:w="3360"/>
        <w:gridCol w:w="3360"/>
      </w:tblGrid>
      <w:tr>
        <w:trPr>
          <w:tblHeader/>
        </w:trPr>
        <w:tc>
          <w:tcPr>
            <w:tcW w:w="3360" w:type="dxa"/>
            <w:shd w:val="clear" w:color="auto" w:fill="EFF1F3"/>
          </w:tcPr>
          <w:p>
            <w:pPr>
              <w:spacing w:before="40" w:after="40"/>
            </w:pPr>
            <w:r>
              <w:rPr>
                <w:b/>
                <w:sz w:val="18"/>
              </w:rPr>
              <w:t xml:space="preserve">Base population →</w:t>
            </w:r>
          </w:p>
        </w:tc>
        <w:tc>
          <w:tcPr>
            <w:tcW w:w="3360" w:type="dxa"/>
            <w:shd w:val="clear" w:color="auto" w:fill="EFF1F3"/>
          </w:tcPr>
          <w:p>
            <w:pPr>
              <w:spacing w:before="40" w:after="40"/>
            </w:pPr>
            <w:r>
              <w:rPr>
                <w:b/>
                <w:sz w:val="18"/>
              </w:rPr>
              <w:t xml:space="preserve">SEC Form D (34,553) — strict</w:t>
            </w:r>
          </w:p>
        </w:tc>
        <w:tc>
          <w:tcPr>
            <w:tcW w:w="3360" w:type="dxa"/>
            <w:shd w:val="clear" w:color="auto" w:fill="EFF1F3"/>
          </w:tcPr>
          <w:p>
            <w:pPr>
              <w:spacing w:before="40" w:after="40"/>
            </w:pPr>
            <w:r>
              <w:rPr>
                <w:b/>
                <w:sz w:val="18"/>
              </w:rPr>
              <w:t xml:space="preserve">UNH angel (54,735) — base</w:t>
            </w:r>
          </w:p>
        </w:tc>
      </w:tr>
      <w:tr>
        <w:tc>
          <w:tcPr>
            <w:tcW w:w="3360" w:type="dxa"/>
          </w:tcPr>
          <w:p>
            <w:pPr>
              <w:spacing w:before="40" w:after="40"/>
            </w:pPr>
            <w:r>
              <w:rPr>
                <w:sz w:val="18"/>
              </w:rPr>
              <w:t xml:space="preserve">SAM</w:t>
            </w:r>
          </w:p>
        </w:tc>
        <w:tc>
          <w:tcPr>
            <w:tcW w:w="3360" w:type="dxa"/>
          </w:tcPr>
          <w:p>
            <w:pPr>
              <w:spacing w:before="40" w:after="40"/>
            </w:pPr>
            <w:r>
              <w:rPr>
                <w:sz w:val="18"/>
              </w:rPr>
              <w:t xml:space="preserve">37,300</w:t>
            </w:r>
          </w:p>
        </w:tc>
        <w:tc>
          <w:tcPr>
            <w:tcW w:w="3360" w:type="dxa"/>
          </w:tcPr>
          <w:p>
            <w:pPr>
              <w:spacing w:before="40" w:after="40"/>
            </w:pPr>
            <w:r>
              <w:rPr>
                <w:sz w:val="18"/>
              </w:rPr>
              <w:t xml:space="preserve">59,000</w:t>
            </w:r>
          </w:p>
        </w:tc>
      </w:tr>
      <w:tr>
        <w:tc>
          <w:tcPr>
            <w:tcW w:w="3360" w:type="dxa"/>
          </w:tcPr>
          <w:p>
            <w:pPr>
              <w:spacing w:before="40" w:after="40"/>
            </w:pPr>
            <w:r>
              <w:rPr>
                <w:sz w:val="18"/>
              </w:rPr>
              <w:t xml:space="preserve">Gross ARR</w:t>
            </w:r>
          </w:p>
        </w:tc>
        <w:tc>
          <w:tcPr>
            <w:tcW w:w="3360" w:type="dxa"/>
          </w:tcPr>
          <w:p>
            <w:pPr>
              <w:spacing w:before="40" w:after="40"/>
            </w:pPr>
            <w:r>
              <w:rPr>
                <w:sz w:val="18"/>
              </w:rPr>
              <w:t xml:space="preserve">$1.12M</w:t>
            </w:r>
          </w:p>
        </w:tc>
        <w:tc>
          <w:tcPr>
            <w:tcW w:w="3360" w:type="dxa"/>
          </w:tcPr>
          <w:p>
            <w:pPr>
              <w:spacing w:before="40" w:after="40"/>
            </w:pPr>
            <w:r>
              <w:rPr>
                <w:b/>
                <w:sz w:val="18"/>
              </w:rPr>
              <w:t xml:space="preserve">$1.77M</w:t>
            </w:r>
          </w:p>
        </w:tc>
      </w:tr>
    </w:tbl>
    <w:p>
      <w:pPr>
        <w:spacing w:after="0"/>
      </w:pPr>
    </w:p>
    <w:p>
      <w:r>
        <w:rPr>
          <w:b/>
        </w:rPr>
        <w:t xml:space="preserve">Recommendation for an investor conversation:</w:t>
      </w:r>
      <w:r>
        <w:t xml:space="preserve"> present the </w:t>
      </w:r>
      <w:r>
        <w:rPr>
          <w:b/>
        </w:rPr>
        <w:t xml:space="preserve">Form D version ($1.12M base)</w:t>
      </w:r>
      <w:r>
        <w:t xml:space="preserve"> as the floor and the angel version as the base. Form D is a legal filing — nobody can argue with the count — and volunteering the stricter number first buys credibility for everything after it.</w:t>
      </w:r>
    </w:p>
    <w:p>
      <w:pPr>
        <w:pBdr>
          <w:bottom w:val="single" w:sz="6" w:space="6" w:color="C9CCD1"/>
        </w:pBdr>
      </w:pPr>
    </w:p>
    <w:p>
      <w:pPr>
        <w:pStyle w:val="Heading1"/>
      </w:pPr>
      <w:r>
        <w:t xml:space="preserve">What this model says about the price</w:t>
      </w:r>
    </w:p>
    <w:p>
      <w:r>
        <w:t xml:space="preserve">$1,000/yr is defensible against the category:</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5040"/>
        <w:gridCol w:w="5040"/>
      </w:tblGrid>
      <w:tr>
        <w:trPr>
          <w:tblHeader/>
        </w:trPr>
        <w:tc>
          <w:tcPr>
            <w:tcW w:w="5040" w:type="dxa"/>
            <w:shd w:val="clear" w:color="auto" w:fill="EFF1F3"/>
          </w:tcPr>
          <w:p>
            <w:pPr>
              <w:spacing w:before="40" w:after="40"/>
            </w:pPr>
            <w:r>
              <w:rPr>
                <w:b/>
                <w:sz w:val="18"/>
              </w:rPr>
              <w:t xml:space="preserve">Product</w:t>
            </w:r>
          </w:p>
        </w:tc>
        <w:tc>
          <w:tcPr>
            <w:tcW w:w="5040" w:type="dxa"/>
            <w:shd w:val="clear" w:color="auto" w:fill="EFF1F3"/>
          </w:tcPr>
          <w:p>
            <w:pPr>
              <w:spacing w:before="40" w:after="40"/>
            </w:pPr>
            <w:r>
              <w:rPr>
                <w:b/>
                <w:sz w:val="18"/>
              </w:rPr>
              <w:t xml:space="preserve">Annual price</w:t>
            </w:r>
          </w:p>
        </w:tc>
      </w:tr>
      <w:tr>
        <w:tc>
          <w:tcPr>
            <w:tcW w:w="5040" w:type="dxa"/>
          </w:tcPr>
          <w:p>
            <w:pPr>
              <w:spacing w:before="40" w:after="40"/>
            </w:pPr>
            <w:r>
              <w:rPr>
                <w:sz w:val="18"/>
              </w:rPr>
              <w:t xml:space="preserve">Crunchbase Pro</w:t>
            </w:r>
          </w:p>
        </w:tc>
        <w:tc>
          <w:tcPr>
            <w:tcW w:w="5040" w:type="dxa"/>
          </w:tcPr>
          <w:p>
            <w:pPr>
              <w:spacing w:before="40" w:after="40"/>
            </w:pPr>
            <w:r>
              <w:rPr>
                <w:sz w:val="18"/>
              </w:rPr>
              <w:t xml:space="preserve">$588</w:t>
            </w:r>
          </w:p>
        </w:tc>
      </w:tr>
      <w:tr>
        <w:tc>
          <w:tcPr>
            <w:tcW w:w="5040" w:type="dxa"/>
          </w:tcPr>
          <w:p>
            <w:pPr>
              <w:spacing w:before="40" w:after="40"/>
            </w:pPr>
            <w:r>
              <w:rPr>
                <w:sz w:val="18"/>
              </w:rPr>
              <w:t xml:space="preserve">Foundersuite Silver</w:t>
            </w:r>
          </w:p>
        </w:tc>
        <w:tc>
          <w:tcPr>
            <w:tcW w:w="5040" w:type="dxa"/>
          </w:tcPr>
          <w:p>
            <w:pPr>
              <w:spacing w:before="40" w:after="40"/>
            </w:pPr>
            <w:r>
              <w:rPr>
                <w:sz w:val="18"/>
              </w:rPr>
              <w:t xml:space="preserve">$745</w:t>
            </w:r>
          </w:p>
        </w:tc>
      </w:tr>
      <w:tr>
        <w:tc>
          <w:tcPr>
            <w:tcW w:w="5040" w:type="dxa"/>
          </w:tcPr>
          <w:p>
            <w:pPr>
              <w:spacing w:before="40" w:after="40"/>
            </w:pPr>
            <w:r>
              <w:rPr>
                <w:sz w:val="18"/>
              </w:rPr>
              <w:t xml:space="preserve">Eqvista 409A + cap table (pre-revenue)</w:t>
            </w:r>
          </w:p>
        </w:tc>
        <w:tc>
          <w:tcPr>
            <w:tcW w:w="5040" w:type="dxa"/>
          </w:tcPr>
          <w:p>
            <w:pPr>
              <w:spacing w:before="40" w:after="40"/>
            </w:pPr>
            <w:r>
              <w:rPr>
                <w:sz w:val="18"/>
              </w:rPr>
              <w:t xml:space="preserve">$990</w:t>
            </w:r>
          </w:p>
        </w:tc>
      </w:tr>
      <w:tr>
        <w:tc>
          <w:tcPr>
            <w:tcW w:w="5040" w:type="dxa"/>
          </w:tcPr>
          <w:p>
            <w:pPr>
              <w:spacing w:before="40" w:after="40"/>
            </w:pPr>
            <w:r>
              <w:rPr>
                <w:b/>
                <w:sz w:val="18"/>
              </w:rPr>
              <w:t xml:space="preserve">This app</w:t>
            </w:r>
          </w:p>
        </w:tc>
        <w:tc>
          <w:tcPr>
            <w:tcW w:w="5040" w:type="dxa"/>
          </w:tcPr>
          <w:p>
            <w:pPr>
              <w:spacing w:before="40" w:after="40"/>
            </w:pPr>
            <w:r>
              <w:rPr>
                <w:b/>
                <w:sz w:val="18"/>
              </w:rPr>
              <w:t xml:space="preserve">$1,000</w:t>
            </w:r>
          </w:p>
        </w:tc>
      </w:tr>
      <w:tr>
        <w:tc>
          <w:tcPr>
            <w:tcW w:w="5040" w:type="dxa"/>
          </w:tcPr>
          <w:p>
            <w:pPr>
              <w:spacing w:before="40" w:after="40"/>
            </w:pPr>
            <w:r>
              <w:rPr>
                <w:sz w:val="18"/>
              </w:rPr>
              <w:t xml:space="preserve">Foundersuite Platinum</w:t>
            </w:r>
          </w:p>
        </w:tc>
        <w:tc>
          <w:tcPr>
            <w:tcW w:w="5040" w:type="dxa"/>
          </w:tcPr>
          <w:p>
            <w:pPr>
              <w:spacing w:before="40" w:after="40"/>
            </w:pPr>
            <w:r>
              <w:rPr>
                <w:sz w:val="18"/>
              </w:rPr>
              <w:t xml:space="preserve">$1,609</w:t>
            </w:r>
          </w:p>
        </w:tc>
      </w:tr>
      <w:tr>
        <w:tc>
          <w:tcPr>
            <w:tcW w:w="5040" w:type="dxa"/>
          </w:tcPr>
          <w:p>
            <w:pPr>
              <w:spacing w:before="40" w:after="40"/>
            </w:pPr>
            <w:r>
              <w:rPr>
                <w:sz w:val="18"/>
              </w:rPr>
              <w:t xml:space="preserve">Equidam 409A</w:t>
            </w:r>
          </w:p>
        </w:tc>
        <w:tc>
          <w:tcPr>
            <w:tcW w:w="5040" w:type="dxa"/>
          </w:tcPr>
          <w:p>
            <w:pPr>
              <w:spacing w:before="40" w:after="40"/>
            </w:pPr>
            <w:r>
              <w:rPr>
                <w:sz w:val="18"/>
              </w:rPr>
              <w:t xml:space="preserve">$1,990</w:t>
            </w:r>
          </w:p>
        </w:tc>
      </w:tr>
      <w:tr>
        <w:tc>
          <w:tcPr>
            <w:tcW w:w="5040" w:type="dxa"/>
          </w:tcPr>
          <w:p>
            <w:pPr>
              <w:spacing w:before="40" w:after="40"/>
            </w:pPr>
            <w:r>
              <w:rPr>
                <w:sz w:val="18"/>
              </w:rPr>
              <w:t xml:space="preserve">PitchBook single seat</w:t>
            </w:r>
          </w:p>
        </w:tc>
        <w:tc>
          <w:tcPr>
            <w:tcW w:w="5040" w:type="dxa"/>
          </w:tcPr>
          <w:p>
            <w:pPr>
              <w:spacing w:before="40" w:after="40"/>
            </w:pPr>
            <w:r>
              <w:rPr>
                <w:sz w:val="18"/>
              </w:rPr>
              <w:t xml:space="preserve">~$15,000–$20,000</w:t>
            </w:r>
          </w:p>
        </w:tc>
      </w:tr>
    </w:tbl>
    <w:p>
      <w:pPr>
        <w:spacing w:after="0"/>
      </w:pPr>
    </w:p>
    <w:p>
      <w:r>
        <w:t xml:space="preserve">**But note what $990 buys at Eqvista: a safe-harbor-compliant 409A *plus* a cap table.</w:t>
      </w:r>
      <w:r>
        <w:rPr>
          <w:b/>
        </w:rPr>
        <w:t xml:space="preserve"> At the same price, this product must deliver something a compliance valuation cannot — the negotiation number, continuously updated, plus ranked investor targeting. </w:t>
      </w:r>
      <w:r>
        <w:t xml:space="preserve">That is the whole justification for the price, and it is exactly the gap Section 3 found empty.**</w:t>
      </w:r>
    </w:p>
    <w:p>
      <w:r>
        <w:t xml:space="preserve">Against the human alternative from Section 2 — a fundraising consultant at 3–8% of a $2M raise ($60k–$160k), or a fractional CFO at $3,500–$7,500/month — </w:t>
      </w:r>
      <w:r>
        <w:rPr>
          <w:b/>
        </w:rPr>
        <w:t xml:space="preserve">$1,000/yr is roughly 1–3% of the human cost.</w:t>
      </w:r>
      <w:r>
        <w:t xml:space="preserve"> That is the comparison to lead with.</w:t>
      </w:r>
    </w:p>
    <w:p>
      <w:pPr>
        <w:pBdr>
          <w:bottom w:val="single" w:sz="6" w:space="6" w:color="C9CCD1"/>
        </w:pBdr>
      </w:pPr>
    </w:p>
    <w:p>
      <w:pPr>
        <w:pStyle w:val="Heading1"/>
      </w:pPr>
      <w:r>
        <w:t xml:space="preserve">What this model does *not* claim</w:t>
      </w:r>
    </w:p>
    <w:p>
      <w:pPr>
        <w:numPr>
          <w:ilvl w:val="0"/>
          <w:numId w:val="1"/>
        </w:numPr>
      </w:pPr>
      <w:r>
        <w:t xml:space="preserve">No share of any "$X billion market." No such number is used.</w:t>
      </w:r>
    </w:p>
    <w:p>
      <w:pPr>
        <w:numPr>
          <w:ilvl w:val="0"/>
          <w:numId w:val="1"/>
        </w:numPr>
      </w:pPr>
      <w:r>
        <w:t xml:space="preserve">No credit for the 5.67M annual business applications or the 1.7M high-propensity applications. Most will never seek outside equity; counting them would be the top-down move this brief forbids.</w:t>
      </w:r>
    </w:p>
    <w:p>
      <w:pPr>
        <w:numPr>
          <w:ilvl w:val="0"/>
          <w:numId w:val="1"/>
        </w:numPr>
      </w:pPr>
      <w:r>
        <w:t xml:space="preserve">No B2B, API, data-licensing or transaction-fee revenue.</w:t>
      </w:r>
    </w:p>
    <w:p>
      <w:pPr>
        <w:numPr>
          <w:ilvl w:val="0"/>
          <w:numId w:val="1"/>
        </w:numPr>
      </w:pPr>
      <w:r>
        <w:t xml:space="preserve">No international expansion.</w:t>
      </w:r>
    </w:p>
    <w:p>
      <w:pPr>
        <w:pStyle w:val="Heading1"/>
      </w:pPr>
      <w:r>
        <w:t xml:space="preserve">Flags</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5040"/>
        <w:gridCol w:w="5040"/>
      </w:tblGrid>
      <w:tr>
        <w:trPr>
          <w:tblHeader/>
        </w:trPr>
        <w:tc>
          <w:tcPr>
            <w:tcW w:w="5040" w:type="dxa"/>
            <w:shd w:val="clear" w:color="auto" w:fill="EFF1F3"/>
          </w:tcPr>
          <w:p>
            <w:pPr>
              <w:spacing w:before="40" w:after="40"/>
            </w:pPr>
            <w:r>
              <w:rPr>
                <w:b/>
                <w:sz w:val="18"/>
              </w:rPr>
              <w:t xml:space="preserve">Item</w:t>
            </w:r>
          </w:p>
        </w:tc>
        <w:tc>
          <w:tcPr>
            <w:tcW w:w="5040" w:type="dxa"/>
            <w:shd w:val="clear" w:color="auto" w:fill="EFF1F3"/>
          </w:tcPr>
          <w:p>
            <w:pPr>
              <w:spacing w:before="40" w:after="40"/>
            </w:pPr>
            <w:r>
              <w:rPr>
                <w:b/>
                <w:sz w:val="18"/>
              </w:rPr>
              <w:t xml:space="preserve">Status</w:t>
            </w:r>
          </w:p>
        </w:tc>
      </w:tr>
      <w:tr>
        <w:tc>
          <w:tcPr>
            <w:tcW w:w="5040" w:type="dxa"/>
          </w:tcPr>
          <w:p>
            <w:pPr>
              <w:spacing w:before="40" w:after="40"/>
            </w:pPr>
            <w:r>
              <w:rPr>
                <w:sz w:val="18"/>
              </w:rPr>
              <w:t xml:space="preserve">Attempt multiplier (A2)</w:t>
            </w:r>
          </w:p>
        </w:tc>
        <w:tc>
          <w:tcPr>
            <w:tcW w:w="5040" w:type="dxa"/>
          </w:tcPr>
          <w:p>
            <w:pPr>
              <w:spacing w:before="40" w:after="40"/>
            </w:pPr>
            <w:r>
              <w:rPr>
                <w:rFonts w:ascii="Consolas" w:hAnsi="Consolas"/>
                <w:sz w:val="18"/>
              </w:rPr>
              <w:t xml:space="preserve">[UNVERIFIED]</w:t>
            </w:r>
            <w:r>
              <w:rPr>
                <w:sz w:val="18"/>
              </w:rPr>
              <w:t xml:space="preserve"> — the load-bearing assumption. Worth a primary survey before pitching.</w:t>
            </w:r>
          </w:p>
        </w:tc>
      </w:tr>
      <w:tr>
        <w:tc>
          <w:tcPr>
            <w:tcW w:w="5040" w:type="dxa"/>
          </w:tcPr>
          <w:p>
            <w:pPr>
              <w:spacing w:before="40" w:after="40"/>
            </w:pPr>
            <w:r>
              <w:rPr>
                <w:sz w:val="18"/>
              </w:rPr>
              <w:t xml:space="preserve">Software-purchase propensity (A3)</w:t>
            </w:r>
          </w:p>
        </w:tc>
        <w:tc>
          <w:tcPr>
            <w:tcW w:w="5040" w:type="dxa"/>
          </w:tcPr>
          <w:p>
            <w:pPr>
              <w:spacing w:before="40" w:after="40"/>
            </w:pPr>
            <w:r>
              <w:rPr>
                <w:rFonts w:ascii="Consolas" w:hAnsi="Consolas"/>
                <w:sz w:val="18"/>
              </w:rPr>
              <w:t xml:space="preserve">[UNVERIFIED]</w:t>
            </w:r>
            <w:r>
              <w:rPr>
                <w:sz w:val="18"/>
              </w:rPr>
              <w:t xml:space="preserve"> — no data found on what share of raising founders buy any tool.</w:t>
            </w:r>
          </w:p>
        </w:tc>
      </w:tr>
      <w:tr>
        <w:tc>
          <w:tcPr>
            <w:tcW w:w="5040" w:type="dxa"/>
          </w:tcPr>
          <w:p>
            <w:pPr>
              <w:spacing w:before="40" w:after="40"/>
            </w:pPr>
            <w:r>
              <w:rPr>
                <w:sz w:val="18"/>
              </w:rPr>
              <w:t xml:space="preserve">Renewal rate (A7)</w:t>
            </w:r>
          </w:p>
        </w:tc>
        <w:tc>
          <w:tcPr>
            <w:tcW w:w="5040" w:type="dxa"/>
          </w:tcPr>
          <w:p>
            <w:pPr>
              <w:spacing w:before="40" w:after="40"/>
            </w:pPr>
            <w:r>
              <w:rPr>
                <w:rFonts w:ascii="Consolas" w:hAnsi="Consolas"/>
                <w:sz w:val="18"/>
              </w:rPr>
              <w:t xml:space="preserve">[UNVERIFIED]</w:t>
            </w:r>
            <w:r>
              <w:rPr>
                <w:sz w:val="18"/>
              </w:rPr>
              <w:t xml:space="preserve"> — no published benchmark for episodic fundraising software.</w:t>
            </w:r>
          </w:p>
        </w:tc>
      </w:tr>
      <w:tr>
        <w:tc>
          <w:tcPr>
            <w:tcW w:w="5040" w:type="dxa"/>
          </w:tcPr>
          <w:p>
            <w:pPr>
              <w:spacing w:before="40" w:after="40"/>
            </w:pPr>
            <w:r>
              <w:rPr>
                <w:sz w:val="18"/>
              </w:rPr>
              <w:t xml:space="preserve">Adoption rates (A5)</w:t>
            </w:r>
          </w:p>
        </w:tc>
        <w:tc>
          <w:tcPr>
            <w:tcW w:w="5040" w:type="dxa"/>
          </w:tcPr>
          <w:p>
            <w:pPr>
              <w:spacing w:before="40" w:after="40"/>
            </w:pPr>
            <w:r>
              <w:rPr>
                <w:rFonts w:ascii="Consolas" w:hAnsi="Consolas"/>
                <w:sz w:val="18"/>
              </w:rPr>
              <w:t xml:space="preserve">[UNVERIFIED]</w:t>
            </w:r>
            <w:r>
              <w:rPr>
                <w:sz w:val="18"/>
              </w:rPr>
              <w:t xml:space="preserve"> — reasoned from Carta's 409A volume and Eqvista pricing, not measured.</w:t>
            </w:r>
          </w:p>
        </w:tc>
      </w:tr>
      <w:tr>
        <w:tc>
          <w:tcPr>
            <w:tcW w:w="5040" w:type="dxa"/>
          </w:tcPr>
          <w:p>
            <w:pPr>
              <w:spacing w:before="40" w:after="40"/>
            </w:pPr>
            <w:r>
              <w:rPr>
                <w:sz w:val="18"/>
              </w:rPr>
              <w:t xml:space="preserve">Angel data vintage</w:t>
            </w:r>
          </w:p>
        </w:tc>
        <w:tc>
          <w:tcPr>
            <w:tcW w:w="5040" w:type="dxa"/>
          </w:tcPr>
          <w:p>
            <w:pPr>
              <w:spacing w:before="40" w:after="40"/>
            </w:pPr>
            <w:r>
              <w:rPr>
                <w:sz w:val="18"/>
              </w:rPr>
              <w:t xml:space="preserve">⚠️ UNH CVR figures are </w:t>
            </w:r>
            <w:r>
              <w:rPr>
                <w:b/>
                <w:sz w:val="18"/>
              </w:rPr>
              <w:t xml:space="preserve">2023</w:t>
            </w:r>
            <w:r>
              <w:rPr>
                <w:sz w:val="18"/>
              </w:rPr>
              <w:t xml:space="preserve">, the latest published.</w:t>
            </w:r>
          </w:p>
        </w:tc>
      </w:tr>
      <w:tr>
        <w:tc>
          <w:tcPr>
            <w:tcW w:w="5040" w:type="dxa"/>
          </w:tcPr>
          <w:p>
            <w:pPr>
              <w:spacing w:before="40" w:after="40"/>
            </w:pPr>
            <w:r>
              <w:rPr>
                <w:sz w:val="18"/>
              </w:rPr>
              <w:t xml:space="preserve">Form D vs angel overlap</w:t>
            </w:r>
          </w:p>
        </w:tc>
        <w:tc>
          <w:tcPr>
            <w:tcW w:w="5040" w:type="dxa"/>
          </w:tcPr>
          <w:p>
            <w:pPr>
              <w:spacing w:before="40" w:after="40"/>
            </w:pPr>
            <w:r>
              <w:rPr>
                <w:sz w:val="18"/>
              </w:rPr>
              <w:t xml:space="preserve">⚠️ The two counts overlap and are never added here.</w:t>
            </w:r>
          </w:p>
        </w:tc>
      </w:tr>
      <w:tr>
        <w:tc>
          <w:tcPr>
            <w:tcW w:w="5040" w:type="dxa"/>
          </w:tcPr>
          <w:p>
            <w:pPr>
              <w:spacing w:before="40" w:after="40"/>
            </w:pPr>
            <w:r>
              <w:rPr>
                <w:sz w:val="18"/>
              </w:rPr>
              <w:t xml:space="preserve">Equidam paying customers</w:t>
            </w:r>
          </w:p>
        </w:tc>
        <w:tc>
          <w:tcPr>
            <w:tcW w:w="5040" w:type="dxa"/>
          </w:tcPr>
          <w:p>
            <w:pPr>
              <w:spacing w:before="40" w:after="40"/>
            </w:pPr>
            <w:r>
              <w:rPr>
                <w:sz w:val="18"/>
              </w:rPr>
              <w:t xml:space="preserve">❌ Not disclosed. Its 15-review base is the strongest available signal and it is weak.</w:t>
            </w:r>
          </w:p>
        </w:tc>
      </w:tr>
      <w:tr>
        <w:tc>
          <w:tcPr>
            <w:tcW w:w="5040" w:type="dxa"/>
          </w:tcPr>
          <w:p>
            <w:pPr>
              <w:spacing w:before="40" w:after="40"/>
            </w:pPr>
            <w:r>
              <w:rPr>
                <w:sz w:val="18"/>
              </w:rPr>
              <w:t xml:space="preserve">Foundersuite / Crunchbase customer counts</w:t>
            </w:r>
          </w:p>
        </w:tc>
        <w:tc>
          <w:tcPr>
            <w:tcW w:w="5040" w:type="dxa"/>
          </w:tcPr>
          <w:p>
            <w:pPr>
              <w:spacing w:before="40" w:after="40"/>
            </w:pPr>
            <w:r>
              <w:rPr>
                <w:sz w:val="18"/>
              </w:rPr>
              <w:t xml:space="preserve">❌ Not disclosed by either company.</w:t>
            </w:r>
          </w:p>
        </w:tc>
      </w:tr>
      <w:tr>
        <w:tc>
          <w:tcPr>
            <w:tcW w:w="5040" w:type="dxa"/>
          </w:tcPr>
          <w:p>
            <w:pPr>
              <w:spacing w:before="40" w:after="40"/>
            </w:pPr>
            <w:r>
              <w:rPr>
                <w:sz w:val="18"/>
              </w:rPr>
              <w:t xml:space="preserve">Shark Tank applicant count</w:t>
            </w:r>
          </w:p>
        </w:tc>
        <w:tc>
          <w:tcPr>
            <w:tcW w:w="5040" w:type="dxa"/>
          </w:tcPr>
          <w:p>
            <w:pPr>
              <w:spacing w:before="40" w:after="40"/>
            </w:pPr>
            <w:r>
              <w:rPr>
                <w:sz w:val="18"/>
              </w:rPr>
              <w:t xml:space="preserve">⚠️ From a fan-run statistics site, not ABC. Widely repeated, never officially confirmed.</w:t>
            </w:r>
          </w:p>
        </w:tc>
      </w:tr>
    </w:tbl>
    <w:p>
      <w:pPr>
        <w:spacing w:after="0"/>
      </w:pPr>
    </w:p>
    <w:p>
      <w:r>
        <w:br w:type="page"/>
      </w:r>
    </w:p>
    <w:p>
      <w:pPr>
        <w:pStyle w:val="Title"/>
      </w:pPr>
      <w:r>
        <w:t xml:space="preserve">Testing the Claim: "Continuous Founder-Facing Valuation Is Newly Possible"</w:t>
      </w:r>
    </w:p>
    <w:p>
      <w:r>
        <w:rPr>
          <w:b/>
        </w:rPr>
        <w:t xml:space="preserve">Prepared:</w:t>
      </w:r>
      <w:r>
        <w:t xml:space="preserve"> September 22, 2026</w:t>
      </w:r>
    </w:p>
    <w:p>
      <w:r>
        <w:rPr>
          <w:b/>
        </w:rPr>
        <w:t xml:space="preserve">Window searched:</w:t>
      </w:r>
      <w:r>
        <w:t xml:space="preserve"> March 2025 – September 2026, plus historical evidence needed to test counterargument 1.</w:t>
      </w:r>
    </w:p>
    <w:p>
      <w:pPr>
        <w:pStyle w:val="Heading1"/>
      </w:pPr>
      <w:r>
        <w:t xml:space="preserve">The claim, stated precisely</w:t>
      </w:r>
    </w:p>
    <w:p>
      <w:pPr>
        <w:ind w:left="360"/>
        <w:pBdr>
          <w:left w:val="single" w:sz="18" w:space="8" w:color="9AA0A6"/>
        </w:pBdr>
      </w:pPr>
      <w:r>
        <w:t xml:space="preserve">A founder-facing app that </w:t>
      </w:r>
      <w:r>
        <w:rPr>
          <w:b/>
        </w:rPr>
        <w:t xml:space="preserve">continuously</w:t>
      </w:r>
      <w:r>
        <w:t xml:space="preserve"> values a startup is </w:t>
      </w:r>
      <w:r>
        <w:rPr>
          <w:b/>
        </w:rPr>
        <w:t xml:space="preserve">newly possible</w:t>
      </w:r>
      <w:r>
        <w:t xml:space="preserve">, because an AI agent can now compile the data and produce an ongoing valuation — </w:t>
      </w:r>
      <w:r>
        <w:rPr>
          <w:b/>
        </w:rPr>
        <w:t xml:space="preserve">and this is not currently in the market.</w:t>
      </w:r>
    </w:p>
    <w:p>
      <w:r>
        <w:rPr>
          <w:b/>
        </w:rPr>
        <w:t xml:space="preserve">Verdict up front: the "not currently in the market" half is false, and the "newly possible" half is half-true.</w:t>
      </w:r>
      <w:r>
        <w:t xml:space="preserve"> An automated multi-method valuation engine for founders has existed since 2013, and </w:t>
      </w:r>
      <w:r>
        <w:rPr>
          <w:b/>
        </w:rPr>
        <w:t xml:space="preserve">a competitor shipped an AI-agent-callable version of exactly this on August 8, 2025.</w:t>
      </w:r>
      <w:r>
        <w:t xml:space="preserve"> What is genuinely new is narrower — and stated at the end.</w:t>
      </w:r>
    </w:p>
    <w:p>
      <w:pPr>
        <w:pBdr>
          <w:bottom w:val="single" w:sz="6" w:space="6" w:color="C9CCD1"/>
        </w:pBdr>
      </w:pPr>
    </w:p>
    <w:p>
      <w:pPr>
        <w:pStyle w:val="Heading1"/>
      </w:pPr>
      <w:r>
        <w:t xml:space="preserve">Part 1 — Evidence FOR</w:t>
      </w:r>
    </w:p>
    <w:p>
      <w:pPr>
        <w:pStyle w:val="Heading2"/>
      </w:pPr>
      <w:r>
        <w:t xml:space="preserve">1a. Product launches (last 18 months)</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3360"/>
        <w:gridCol w:w="3360"/>
        <w:gridCol w:w="3360"/>
      </w:tblGrid>
      <w:tr>
        <w:trPr>
          <w:tblHeader/>
        </w:trPr>
        <w:tc>
          <w:tcPr>
            <w:tcW w:w="3360" w:type="dxa"/>
            <w:shd w:val="clear" w:color="auto" w:fill="EFF1F3"/>
          </w:tcPr>
          <w:p>
            <w:pPr>
              <w:spacing w:before="40" w:after="40"/>
            </w:pPr>
            <w:r>
              <w:rPr>
                <w:b/>
                <w:sz w:val="18"/>
              </w:rPr>
              <w:t xml:space="preserve">Date</w:t>
            </w:r>
          </w:p>
        </w:tc>
        <w:tc>
          <w:tcPr>
            <w:tcW w:w="3360" w:type="dxa"/>
            <w:shd w:val="clear" w:color="auto" w:fill="EFF1F3"/>
          </w:tcPr>
          <w:p>
            <w:pPr>
              <w:spacing w:before="40" w:after="40"/>
            </w:pPr>
            <w:r>
              <w:rPr>
                <w:b/>
                <w:sz w:val="18"/>
              </w:rPr>
              <w:t xml:space="preserve">Launch</w:t>
            </w:r>
          </w:p>
        </w:tc>
        <w:tc>
          <w:tcPr>
            <w:tcW w:w="3360" w:type="dxa"/>
            <w:shd w:val="clear" w:color="auto" w:fill="EFF1F3"/>
          </w:tcPr>
          <w:p>
            <w:pPr>
              <w:spacing w:before="40" w:after="40"/>
            </w:pPr>
            <w:r>
              <w:rPr>
                <w:b/>
                <w:sz w:val="18"/>
              </w:rPr>
              <w:t xml:space="preserve">Relevance</w:t>
            </w:r>
          </w:p>
        </w:tc>
      </w:tr>
      <w:tr>
        <w:tc>
          <w:tcPr>
            <w:tcW w:w="3360" w:type="dxa"/>
          </w:tcPr>
          <w:p>
            <w:pPr>
              <w:spacing w:before="40" w:after="40"/>
            </w:pPr>
            <w:r>
              <w:rPr>
                <w:b/>
                <w:sz w:val="18"/>
              </w:rPr>
              <w:t xml:space="preserve">Aug 8, 2025</w:t>
            </w:r>
          </w:p>
        </w:tc>
        <w:tc>
          <w:tcPr>
            <w:tcW w:w="3360" w:type="dxa"/>
          </w:tcPr>
          <w:p>
            <w:pPr>
              <w:spacing w:before="40" w:after="40"/>
            </w:pPr>
            <w:r>
              <w:rPr>
                <w:b/>
                <w:sz w:val="18"/>
              </w:rPr>
              <w:t xml:space="preserve">Equidam MCP server</w:t>
            </w:r>
            <w:r>
              <w:rPr>
                <w:sz w:val="18"/>
              </w:rPr>
              <w:t xml:space="preserve"> — "the first professional-grade valuation tool available through Anthropic's open standard for AI integration." An AI assistant installs </w:t>
            </w:r>
            <w:r>
              <w:rPr>
                <w:rFonts w:ascii="Consolas" w:hAnsi="Consolas"/>
                <w:sz w:val="18"/>
              </w:rPr>
              <w:t xml:space="preserve">@equidam/mcp-server</w:t>
            </w:r>
            <w:r>
              <w:rPr>
                <w:sz w:val="18"/>
              </w:rPr>
              <w:t xml:space="preserve">, classifies the company from a natural-language description, and runs a five-method valuation. Equidam states it moves a valuation from </w:t>
            </w:r>
            <w:r>
              <w:rPr>
                <w:b/>
                <w:sz w:val="18"/>
              </w:rPr>
              <w:t xml:space="preserve">4–8 hours to 30 seconds</w:t>
            </w:r>
            <w:r>
              <w:rPr>
                <w:sz w:val="18"/>
              </w:rPr>
              <w:t xml:space="preserve">.</w:t>
            </w:r>
          </w:p>
        </w:tc>
        <w:tc>
          <w:tcPr>
            <w:tcW w:w="3360" w:type="dxa"/>
          </w:tcPr>
          <w:p>
            <w:pPr>
              <w:spacing w:before="40" w:after="40"/>
            </w:pPr>
            <w:r>
              <w:rPr>
                <w:b/>
                <w:sz w:val="18"/>
              </w:rPr>
              <w:t xml:space="preserve">The capability the claim describes, shipped 13 months ago</w:t>
            </w:r>
            <w:r>
              <w:rPr>
                <w:sz w:val="18"/>
              </w:rPr>
              <w:t xml:space="preserve"> (</w:t>
            </w:r>
            <w:hyperlink r:id="rHl60">
              <w:r>
                <w:rPr>
                  <w:rStyle w:val="Hyperlink"/>
                  <w:sz w:val="18"/>
                </w:rPr>
                <w:t xml:space="preserve">Equidam</w:t>
              </w:r>
            </w:hyperlink>
            <w:r>
              <w:rPr>
                <w:sz w:val="18"/>
              </w:rPr>
              <w:t xml:space="preserve">)</w:t>
            </w:r>
          </w:p>
        </w:tc>
      </w:tr>
      <w:tr>
        <w:tc>
          <w:tcPr>
            <w:tcW w:w="3360" w:type="dxa"/>
          </w:tcPr>
          <w:p>
            <w:pPr>
              <w:spacing w:before="40" w:after="40"/>
            </w:pPr>
            <w:r>
              <w:rPr>
                <w:b/>
                <w:sz w:val="18"/>
              </w:rPr>
              <w:t xml:space="preserve">2025</w:t>
            </w:r>
          </w:p>
        </w:tc>
        <w:tc>
          <w:tcPr>
            <w:tcW w:w="3360" w:type="dxa"/>
          </w:tcPr>
          <w:p>
            <w:pPr>
              <w:spacing w:before="40" w:after="40"/>
            </w:pPr>
            <w:r>
              <w:rPr>
                <w:b/>
                <w:sz w:val="18"/>
              </w:rPr>
              <w:t xml:space="preserve">Crunchbase predictive intelligence</w:t>
            </w:r>
            <w:r>
              <w:rPr>
                <w:sz w:val="18"/>
              </w:rPr>
              <w:t xml:space="preserve"> — funding predictions with </w:t>
            </w:r>
            <w:r>
              <w:rPr>
                <w:b/>
                <w:sz w:val="18"/>
              </w:rPr>
              <w:t xml:space="preserve">ranked investor matches</w:t>
            </w:r>
          </w:p>
        </w:tc>
        <w:tc>
          <w:tcPr>
            <w:tcW w:w="3360" w:type="dxa"/>
          </w:tcPr>
          <w:p>
            <w:pPr>
              <w:spacing w:before="40" w:after="40"/>
            </w:pPr>
            <w:r>
              <w:rPr>
                <w:sz w:val="18"/>
              </w:rPr>
              <w:t xml:space="preserve">The investor-matching half, shipped (</w:t>
            </w:r>
            <w:hyperlink r:id="rHl28">
              <w:r>
                <w:rPr>
                  <w:rStyle w:val="Hyperlink"/>
                  <w:sz w:val="18"/>
                </w:rPr>
                <w:t xml:space="preserve">Crunchbase</w:t>
              </w:r>
            </w:hyperlink>
            <w:r>
              <w:rPr>
                <w:sz w:val="18"/>
              </w:rPr>
              <w:t xml:space="preserve">)</w:t>
            </w:r>
          </w:p>
        </w:tc>
      </w:tr>
      <w:tr>
        <w:tc>
          <w:tcPr>
            <w:tcW w:w="3360" w:type="dxa"/>
          </w:tcPr>
          <w:p>
            <w:pPr>
              <w:spacing w:before="40" w:after="40"/>
            </w:pPr>
            <w:r>
              <w:rPr>
                <w:b/>
                <w:sz w:val="18"/>
              </w:rPr>
              <w:t xml:space="preserve">Feb 20, 2026</w:t>
            </w:r>
          </w:p>
        </w:tc>
        <w:tc>
          <w:tcPr>
            <w:tcW w:w="3360" w:type="dxa"/>
          </w:tcPr>
          <w:p>
            <w:pPr>
              <w:spacing w:before="40" w:after="40"/>
            </w:pPr>
            <w:r>
              <w:rPr>
                <w:b/>
                <w:sz w:val="18"/>
              </w:rPr>
              <w:t xml:space="preserve">Carta 2026 roadmap</w:t>
            </w:r>
            <w:r>
              <w:rPr>
                <w:sz w:val="18"/>
              </w:rPr>
              <w:t xml:space="preserve">: "moving beyond simple record-keeping to deliver a </w:t>
            </w:r>
            <w:r>
              <w:rPr>
                <w:b/>
                <w:sz w:val="18"/>
              </w:rPr>
              <w:t xml:space="preserve">real-time</w:t>
            </w:r>
            <w:r>
              <w:rPr>
                <w:sz w:val="18"/>
              </w:rPr>
              <w:t xml:space="preserve">, interconnected system of record," AI-enabled data collection, expanded valuation methodologies (OPM, public comps, DCF)</w:t>
            </w:r>
          </w:p>
        </w:tc>
        <w:tc>
          <w:tcPr>
            <w:tcW w:w="3360" w:type="dxa"/>
          </w:tcPr>
          <w:p>
            <w:pPr>
              <w:spacing w:before="40" w:after="40"/>
            </w:pPr>
            <w:r>
              <w:rPr>
                <w:sz w:val="18"/>
              </w:rPr>
              <w:t xml:space="preserve">The incumbent is building continuous valuation machinery (</w:t>
            </w:r>
            <w:hyperlink r:id="rHl61">
              <w:r>
                <w:rPr>
                  <w:rStyle w:val="Hyperlink"/>
                  <w:sz w:val="18"/>
                </w:rPr>
                <w:t xml:space="preserve">Carta</w:t>
              </w:r>
            </w:hyperlink>
            <w:r>
              <w:rPr>
                <w:sz w:val="18"/>
              </w:rPr>
              <w:t xml:space="preserve">)</w:t>
            </w:r>
          </w:p>
        </w:tc>
      </w:tr>
      <w:tr>
        <w:tc>
          <w:tcPr>
            <w:tcW w:w="3360" w:type="dxa"/>
          </w:tcPr>
          <w:p>
            <w:pPr>
              <w:spacing w:before="40" w:after="40"/>
            </w:pPr>
            <w:r>
              <w:rPr>
                <w:b/>
                <w:sz w:val="18"/>
              </w:rPr>
              <w:t xml:space="preserve">Apr 6, 2026</w:t>
            </w:r>
          </w:p>
        </w:tc>
        <w:tc>
          <w:tcPr>
            <w:tcW w:w="3360" w:type="dxa"/>
          </w:tcPr>
          <w:p>
            <w:pPr>
              <w:spacing w:before="40" w:after="40"/>
            </w:pPr>
            <w:r>
              <w:rPr>
                <w:b/>
                <w:sz w:val="18"/>
              </w:rPr>
              <w:t xml:space="preserve">Carta AI valuation workflow</w:t>
            </w:r>
            <w:r>
              <w:rPr>
                <w:sz w:val="18"/>
              </w:rPr>
              <w:t xml:space="preserve"> — AI extracts portfolio-company financials and KPIs from uploaded documents and pipes them straight into the valuation engine</w:t>
            </w:r>
          </w:p>
        </w:tc>
        <w:tc>
          <w:tcPr>
            <w:tcW w:w="3360" w:type="dxa"/>
          </w:tcPr>
          <w:p>
            <w:pPr>
              <w:spacing w:before="40" w:after="40"/>
            </w:pPr>
            <w:r>
              <w:rPr>
                <w:sz w:val="18"/>
              </w:rPr>
              <w:t xml:space="preserve">Automated data compilation → valuation, in production (</w:t>
            </w:r>
            <w:hyperlink r:id="rHl62">
              <w:r>
                <w:rPr>
                  <w:rStyle w:val="Hyperlink"/>
                  <w:sz w:val="18"/>
                </w:rPr>
                <w:t xml:space="preserve">Carta</w:t>
              </w:r>
            </w:hyperlink>
            <w:r>
              <w:rPr>
                <w:sz w:val="18"/>
              </w:rPr>
              <w:t xml:space="preserve">)</w:t>
            </w:r>
          </w:p>
        </w:tc>
      </w:tr>
      <w:tr>
        <w:tc>
          <w:tcPr>
            <w:tcW w:w="3360" w:type="dxa"/>
          </w:tcPr>
          <w:p>
            <w:pPr>
              <w:spacing w:before="40" w:after="40"/>
            </w:pPr>
            <w:r>
              <w:rPr>
                <w:b/>
                <w:sz w:val="18"/>
              </w:rPr>
              <w:t xml:space="preserve">2026</w:t>
            </w:r>
          </w:p>
        </w:tc>
        <w:tc>
          <w:tcPr>
            <w:tcW w:w="3360" w:type="dxa"/>
          </w:tcPr>
          <w:p>
            <w:pPr>
              <w:spacing w:before="40" w:after="40"/>
            </w:pPr>
            <w:r>
              <w:rPr>
                <w:b/>
                <w:sz w:val="18"/>
              </w:rPr>
              <w:t xml:space="preserve">AI-powered 409A platforms</w:t>
            </w:r>
            <w:r>
              <w:rPr>
                <w:sz w:val="18"/>
              </w:rPr>
              <w:t xml:space="preserve"> ($499–$2,500) described as "the fastest-growing segment," delivering a completed valuation in </w:t>
            </w:r>
            <w:r>
              <w:rPr>
                <w:b/>
                <w:sz w:val="18"/>
              </w:rPr>
              <w:t xml:space="preserve">3–7 business days</w:t>
            </w:r>
            <w:r>
              <w:rPr>
                <w:sz w:val="18"/>
              </w:rPr>
              <w:t xml:space="preserve">, with a qualified appraiser reviewing and signing</w:t>
            </w:r>
          </w:p>
        </w:tc>
        <w:tc>
          <w:tcPr>
            <w:tcW w:w="3360" w:type="dxa"/>
          </w:tcPr>
          <w:p>
            <w:pPr>
              <w:spacing w:before="40" w:after="40"/>
            </w:pPr>
            <w:r>
              <w:rPr>
                <w:sz w:val="18"/>
              </w:rPr>
              <w:t xml:space="preserve">AI valuation has already commoditized the compliance number (</w:t>
            </w:r>
            <w:hyperlink r:id="rHl39">
              <w:r>
                <w:rPr>
                  <w:rStyle w:val="Hyperlink"/>
                  <w:sz w:val="18"/>
                </w:rPr>
                <w:t xml:space="preserve">409a-valuation.com</w:t>
              </w:r>
            </w:hyperlink>
            <w:r>
              <w:rPr>
                <w:sz w:val="18"/>
              </w:rPr>
              <w:t xml:space="preserve">) </w:t>
            </w:r>
            <w:r>
              <w:rPr>
                <w:rFonts w:ascii="Consolas" w:hAnsi="Consolas"/>
                <w:sz w:val="18"/>
              </w:rPr>
              <w:t xml:space="preserve">[vendor-adjacent source]</w:t>
            </w:r>
          </w:p>
        </w:tc>
      </w:tr>
      <w:tr>
        <w:tc>
          <w:tcPr>
            <w:tcW w:w="3360" w:type="dxa"/>
          </w:tcPr>
          <w:p>
            <w:pPr>
              <w:spacing w:before="40" w:after="40"/>
            </w:pPr>
            <w:r>
              <w:rPr>
                <w:b/>
                <w:sz w:val="18"/>
              </w:rPr>
              <w:t xml:space="preserve">Feb 2, 2025</w:t>
            </w:r>
          </w:p>
        </w:tc>
        <w:tc>
          <w:tcPr>
            <w:tcW w:w="3360" w:type="dxa"/>
          </w:tcPr>
          <w:p>
            <w:pPr>
              <w:spacing w:before="40" w:after="40"/>
            </w:pPr>
            <w:r>
              <w:rPr>
                <w:b/>
                <w:sz w:val="18"/>
              </w:rPr>
              <w:t xml:space="preserve">OpenAI Deep Research</w:t>
            </w:r>
            <w:r>
              <w:rPr>
                <w:sz w:val="18"/>
              </w:rPr>
              <w:t xml:space="preserve"> — autonomous multi-step web research with citations</w:t>
            </w:r>
          </w:p>
        </w:tc>
        <w:tc>
          <w:tcPr>
            <w:tcW w:w="3360" w:type="dxa"/>
          </w:tcPr>
          <w:p>
            <w:pPr>
              <w:spacing w:before="40" w:after="40"/>
            </w:pPr>
            <w:r>
              <w:rPr>
                <w:sz w:val="18"/>
              </w:rPr>
              <w:t xml:space="preserve">The comparables-and-investor legwork (</w:t>
            </w:r>
            <w:hyperlink r:id="rHl26">
              <w:r>
                <w:rPr>
                  <w:rStyle w:val="Hyperlink"/>
                  <w:sz w:val="18"/>
                </w:rPr>
                <w:t xml:space="preserve">OpenAI</w:t>
              </w:r>
            </w:hyperlink>
            <w:r>
              <w:rPr>
                <w:sz w:val="18"/>
              </w:rPr>
              <w:t xml:space="preserve">)</w:t>
            </w:r>
          </w:p>
        </w:tc>
      </w:tr>
    </w:tbl>
    <w:p>
      <w:pPr>
        <w:spacing w:after="0"/>
      </w:pPr>
    </w:p>
    <w:p>
      <w:pPr>
        <w:pStyle w:val="Heading2"/>
      </w:pPr>
      <w:r>
        <w:t xml:space="preserve">1b. The one structural point that genuinely favors the claim</w:t>
      </w:r>
    </w:p>
    <w:p>
      <w:r>
        <w:rPr>
          <w:b/>
        </w:rPr>
        <w:t xml:space="preserve">Carta's AI valuation machinery is pointed at fund middle offices, not founders.</w:t>
      </w:r>
      <w:r>
        <w:t xml:space="preserve"> Read the April 2026 post: it is about *PE and VC teams valuing their portfolio companies* for auditors, LPs and carry — "weeks spent chasing portfolio companies for hundreds of KPIs." The GP/LP side is being automated aggressively. </w:t>
      </w:r>
      <w:r>
        <w:rPr>
          <w:b/>
        </w:rPr>
        <w:t xml:space="preserve">The founder-facing equivalent is not what Carta is building.</w:t>
      </w:r>
      <w:r>
        <w:t xml:space="preserve"> (</w:t>
      </w:r>
      <w:hyperlink r:id="rHl62">
        <w:r>
          <w:rPr>
            <w:rStyle w:val="Hyperlink"/>
          </w:rPr>
          <w:t xml:space="preserve">Carta</w:t>
        </w:r>
      </w:hyperlink>
      <w:r>
        <w:t xml:space="preserve">)</w:t>
      </w:r>
    </w:p>
    <w:p>
      <w:r>
        <w:t xml:space="preserve">So the accurate version of the claim's second half is: *continuous valuation is being built for investors, not for founders.* That is a real, defensible gap — and a much narrower statement than "not currently in the market."</w:t>
      </w:r>
    </w:p>
    <w:p>
      <w:pPr>
        <w:pStyle w:val="Heading2"/>
      </w:pPr>
      <w:r>
        <w:t xml:space="preserve">1c. Adoption</w:t>
      </w:r>
    </w:p>
    <w:p>
      <w:r>
        <w:t xml:space="preserve">Section 1 established that the founder-facing tools that do exist have almost no usage: Equidam has </w:t>
      </w:r>
      <w:r>
        <w:rPr>
          <w:b/>
        </w:rPr>
        <w:t xml:space="preserve">15 lifetime Trustpilot reviews, 2 in the past year</w:t>
      </w:r>
      <w:r>
        <w:t xml:space="preserve">, despite claiming 160,000+ valuations across 90+ countries. </w:t>
      </w:r>
      <w:r>
        <w:rPr>
          <w:rFonts w:ascii="Consolas" w:hAnsi="Consolas"/>
        </w:rPr>
        <w:t xml:space="preserve">[The gap between those two numbers is unexplained and matters — see flags.]</w:t>
      </w:r>
    </w:p>
    <w:p>
      <w:pPr>
        <w:pBdr>
          <w:bottom w:val="single" w:sz="6" w:space="6" w:color="C9CCD1"/>
        </w:pBdr>
      </w:pPr>
    </w:p>
    <w:p>
      <w:pPr>
        <w:pStyle w:val="Heading1"/>
      </w:pPr>
      <w:r>
        <w:t xml:space="preserve">Part 2 — Evidence AGAINST</w:t>
      </w:r>
    </w:p>
    <w:p>
      <w:pPr>
        <w:pStyle w:val="Heading2"/>
      </w:pPr>
      <w:r>
        <w:t xml:space="preserve">2a. Financial reasoning is the specific thing LLMs are worst at</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5040"/>
        <w:gridCol w:w="5040"/>
      </w:tblGrid>
      <w:tr>
        <w:trPr>
          <w:tblHeader/>
        </w:trPr>
        <w:tc>
          <w:tcPr>
            <w:tcW w:w="5040" w:type="dxa"/>
            <w:shd w:val="clear" w:color="auto" w:fill="EFF1F3"/>
          </w:tcPr>
          <w:p>
            <w:pPr>
              <w:spacing w:before="40" w:after="40"/>
            </w:pPr>
            <w:r>
              <w:rPr>
                <w:b/>
                <w:sz w:val="18"/>
              </w:rPr>
              <w:t xml:space="preserve">Finding</w:t>
            </w:r>
          </w:p>
        </w:tc>
        <w:tc>
          <w:tcPr>
            <w:tcW w:w="5040" w:type="dxa"/>
            <w:shd w:val="clear" w:color="auto" w:fill="EFF1F3"/>
          </w:tcPr>
          <w:p>
            <w:pPr>
              <w:spacing w:before="40" w:after="40"/>
            </w:pPr>
            <w:r>
              <w:rPr>
                <w:b/>
                <w:sz w:val="18"/>
              </w:rPr>
              <w:t xml:space="preserve">Source</w:t>
            </w:r>
          </w:p>
        </w:tc>
      </w:tr>
      <w:tr>
        <w:tc>
          <w:tcPr>
            <w:tcW w:w="5040" w:type="dxa"/>
          </w:tcPr>
          <w:p>
            <w:pPr>
              <w:spacing w:before="40" w:after="40"/>
            </w:pPr>
            <w:r>
              <w:rPr>
                <w:b/>
                <w:sz w:val="18"/>
              </w:rPr>
              <w:t xml:space="preserve">Four of six leading models fabricate financial data</w:t>
            </w:r>
            <w:r>
              <w:rPr>
                <w:sz w:val="18"/>
              </w:rPr>
              <w:t xml:space="preserve"> when source documents are incomplete; </w:t>
            </w:r>
            <w:r>
              <w:rPr>
                <w:b/>
                <w:sz w:val="18"/>
              </w:rPr>
              <w:t xml:space="preserve">two do so confidently, without disclosure, in an authoritative format</w:t>
            </w:r>
            <w:r>
              <w:rPr>
                <w:sz w:val="18"/>
              </w:rPr>
              <w:t xml:space="preserve"> (2026 benchmark)</w:t>
            </w:r>
          </w:p>
        </w:tc>
        <w:tc>
          <w:tcPr>
            <w:tcW w:w="5040" w:type="dxa"/>
          </w:tcPr>
          <w:p>
            <w:pPr>
              <w:spacing w:before="40" w:after="40"/>
            </w:pPr>
            <w:hyperlink r:id="rHl63">
              <w:r>
                <w:rPr>
                  <w:rStyle w:val="Hyperlink"/>
                  <w:sz w:val="18"/>
                </w:rPr>
                <w:t xml:space="preserve">JurisTech 2026 LLM hallucination benchmark</w:t>
              </w:r>
            </w:hyperlink>
          </w:p>
        </w:tc>
      </w:tr>
      <w:tr>
        <w:tc>
          <w:tcPr>
            <w:tcW w:w="5040" w:type="dxa"/>
          </w:tcPr>
          <w:p>
            <w:pPr>
              <w:spacing w:before="40" w:after="40"/>
            </w:pPr>
            <w:r>
              <w:rPr>
                <w:sz w:val="18"/>
              </w:rPr>
              <w:t xml:space="preserve">Top models fall from </w:t>
            </w:r>
            <w:r>
              <w:rPr>
                <w:b/>
                <w:sz w:val="18"/>
              </w:rPr>
              <w:t xml:space="preserve">95.6% accuracy on simple lookups to near 0% on multivariate calculations</w:t>
            </w:r>
            <w:r>
              <w:rPr>
                <w:sz w:val="18"/>
              </w:rPr>
              <w:t xml:space="preserve">; perturbing financial statements drops predictive accuracy to chance — evidence of memorization, not reasoning</w:t>
            </w:r>
          </w:p>
        </w:tc>
        <w:tc>
          <w:tcPr>
            <w:tcW w:w="5040" w:type="dxa"/>
          </w:tcPr>
          <w:p>
            <w:pPr>
              <w:spacing w:before="40" w:after="40"/>
            </w:pPr>
            <w:hyperlink r:id="rHl64">
              <w:r>
                <w:rPr>
                  <w:rStyle w:val="Hyperlink"/>
                  <w:sz w:val="18"/>
                </w:rPr>
                <w:t xml:space="preserve">Evaluating Financial Intelligence in LLMs (arXiv 2603.08704)</w:t>
              </w:r>
            </w:hyperlink>
          </w:p>
        </w:tc>
      </w:tr>
      <w:tr>
        <w:tc>
          <w:tcPr>
            <w:tcW w:w="5040" w:type="dxa"/>
          </w:tcPr>
          <w:p>
            <w:pPr>
              <w:spacing w:before="40" w:after="40"/>
            </w:pPr>
            <w:r>
              <w:rPr>
                <w:sz w:val="18"/>
              </w:rPr>
              <w:t xml:space="preserve">On the </w:t>
            </w:r>
            <w:r>
              <w:rPr>
                <w:b/>
                <w:sz w:val="18"/>
              </w:rPr>
              <w:t xml:space="preserve">Finance Agent Benchmark</w:t>
            </w:r>
            <w:r>
              <w:rPr>
                <w:sz w:val="18"/>
              </w:rPr>
              <w:t xml:space="preserve"> of real financial research tasks, the best model (o3) reached </w:t>
            </w:r>
            <w:r>
              <w:rPr>
                <w:b/>
                <w:sz w:val="18"/>
              </w:rPr>
              <w:t xml:space="preserve">46.8%</w:t>
            </w:r>
            <w:r>
              <w:rPr>
                <w:sz w:val="18"/>
              </w:rPr>
              <w:t xml:space="preserve"> at $3.79/query</w:t>
            </w:r>
          </w:p>
        </w:tc>
        <w:tc>
          <w:tcPr>
            <w:tcW w:w="5040" w:type="dxa"/>
          </w:tcPr>
          <w:p>
            <w:pPr>
              <w:spacing w:before="40" w:after="40"/>
            </w:pPr>
            <w:hyperlink r:id="rHl32">
              <w:r>
                <w:rPr>
                  <w:rStyle w:val="Hyperlink"/>
                  <w:sz w:val="18"/>
                </w:rPr>
                <w:t xml:space="preserve">arXiv 2508.00828</w:t>
              </w:r>
            </w:hyperlink>
          </w:p>
        </w:tc>
      </w:tr>
      <w:tr>
        <w:tc>
          <w:tcPr>
            <w:tcW w:w="5040" w:type="dxa"/>
          </w:tcPr>
          <w:p>
            <w:pPr>
              <w:spacing w:before="40" w:after="40"/>
            </w:pPr>
            <w:r>
              <w:rPr>
                <w:b/>
                <w:sz w:val="18"/>
              </w:rPr>
              <w:t xml:space="preserve">FinanceBench (2023):</w:t>
            </w:r>
            <w:r>
              <w:rPr>
                <w:sz w:val="18"/>
              </w:rPr>
              <w:t xml:space="preserve"> GPT-4-Turbo with retrieval was wrong or refused on </w:t>
            </w:r>
            <w:r>
              <w:rPr>
                <w:b/>
                <w:sz w:val="18"/>
              </w:rPr>
              <w:t xml:space="preserve">81%</w:t>
            </w:r>
            <w:r>
              <w:rPr>
                <w:sz w:val="18"/>
              </w:rPr>
              <w:t xml:space="preserve"> of questions grounded in public filings</w:t>
            </w:r>
          </w:p>
        </w:tc>
        <w:tc>
          <w:tcPr>
            <w:tcW w:w="5040" w:type="dxa"/>
          </w:tcPr>
          <w:p>
            <w:pPr>
              <w:spacing w:before="40" w:after="40"/>
            </w:pPr>
            <w:hyperlink r:id="rHl31">
              <w:r>
                <w:rPr>
                  <w:rStyle w:val="Hyperlink"/>
                  <w:sz w:val="18"/>
                </w:rPr>
                <w:t xml:space="preserve">FinanceBench</w:t>
              </w:r>
            </w:hyperlink>
          </w:p>
        </w:tc>
      </w:tr>
      <w:tr>
        <w:tc>
          <w:tcPr>
            <w:tcW w:w="5040" w:type="dxa"/>
          </w:tcPr>
          <w:p>
            <w:pPr>
              <w:spacing w:before="40" w:after="40"/>
            </w:pPr>
            <w:r>
              <w:rPr>
                <w:sz w:val="18"/>
              </w:rPr>
              <w:t xml:space="preserve">A 2024 study found LLMs hallucinate in </w:t>
            </w:r>
            <w:r>
              <w:rPr>
                <w:b/>
                <w:sz w:val="18"/>
              </w:rPr>
              <w:t xml:space="preserve">up to 41% of finance-related queries</w:t>
            </w:r>
          </w:p>
        </w:tc>
        <w:tc>
          <w:tcPr>
            <w:tcW w:w="5040" w:type="dxa"/>
          </w:tcPr>
          <w:p>
            <w:pPr>
              <w:spacing w:before="40" w:after="40"/>
            </w:pPr>
            <w:r>
              <w:rPr>
                <w:sz w:val="18"/>
              </w:rPr>
              <w:t xml:space="preserve">via </w:t>
            </w:r>
            <w:hyperlink r:id="rHl65">
              <w:r>
                <w:rPr>
                  <w:rStyle w:val="Hyperlink"/>
                  <w:sz w:val="18"/>
                </w:rPr>
                <w:t xml:space="preserve">JurisTech</w:t>
              </w:r>
            </w:hyperlink>
            <w:r>
              <w:rPr>
                <w:sz w:val="18"/>
              </w:rPr>
              <w:t xml:space="preserve"> </w:t>
            </w:r>
            <w:r>
              <w:rPr>
                <w:rFonts w:ascii="Consolas" w:hAnsi="Consolas"/>
                <w:sz w:val="18"/>
              </w:rPr>
              <w:t xml:space="preserve">[secondary]</w:t>
            </w:r>
          </w:p>
        </w:tc>
      </w:tr>
    </w:tbl>
    <w:p>
      <w:pPr>
        <w:spacing w:after="0"/>
      </w:pPr>
    </w:p>
    <w:p>
      <w:r>
        <w:rPr>
          <w:b/>
        </w:rPr>
        <w:t xml:space="preserve">A valuation is a multivariate calculation over incomplete documents.</w:t>
      </w:r>
      <w:r>
        <w:t xml:space="preserve"> That is the precise intersection of the two failure modes above.</w:t>
      </w:r>
    </w:p>
    <w:p>
      <w:pPr>
        <w:pStyle w:val="Heading2"/>
      </w:pPr>
      <w:r>
        <w:t xml:space="preserve">2b. The comparables data is gated — I hit the walls myself</w:t>
      </w:r>
    </w:p>
    <w:p>
      <w:r>
        <w:t xml:space="preserve">While researching this dossier: </w:t>
      </w:r>
      <w:r>
        <w:rPr>
          <w:b/>
        </w:rPr>
        <w:t xml:space="preserve">Crunchbase's pricing page returned a Cloudflare bot challenge</w:t>
      </w:r>
      <w:r>
        <w:t xml:space="preserve">, </w:t>
      </w:r>
      <w:r>
        <w:rPr>
          <w:b/>
        </w:rPr>
        <w:t xml:space="preserve">PitchBook returned 403</w:t>
      </w:r>
      <w:r>
        <w:t xml:space="preserve">, </w:t>
      </w:r>
      <w:r>
        <w:rPr>
          <w:b/>
        </w:rPr>
        <w:t xml:space="preserve">Carta's pricing page returned 403</w:t>
      </w:r>
      <w:r>
        <w:t xml:space="preserve"> to a standard fetch, and </w:t>
      </w:r>
      <w:r>
        <w:rPr>
          <w:b/>
        </w:rPr>
        <w:t xml:space="preserve">G2 has blocked every attempt across five sessions.</w:t>
      </w:r>
      <w:r>
        <w:t xml:space="preserve"> A continuous-valuation product needs a continuous comps feed, and the owners of that data block automated access by default and sell seats at $15,000–$20,000. </w:t>
      </w:r>
      <w:r>
        <w:rPr>
          <w:b/>
        </w:rPr>
        <w:t xml:space="preserve">Access is a commercial negotiation, not an engineering task.</w:t>
      </w:r>
    </w:p>
    <w:p>
      <w:pPr>
        <w:pStyle w:val="Heading2"/>
      </w:pPr>
      <w:r>
        <w:t xml:space="preserve">2c. The legal layer on the investor-matching half</w:t>
      </w:r>
    </w:p>
    <w:p>
      <w:r>
        <w:t xml:space="preserve">There is </w:t>
      </w:r>
      <w:r>
        <w:rPr>
          <w:b/>
        </w:rPr>
        <w:t xml:space="preserve">no general federal "finders" exemption.</w:t>
      </w:r>
      <w:r>
        <w:t xml:space="preserve"> The SEC treats transaction-based compensation for sourcing investors as the hallmark of broker activity; an unregistered finder taking a success fee is usually deemed an unregistered broker, exposing both the finder and the issuer to Section 15(a) liability. The SEC's Small Business Capital Formation Advisory Committee revisited this in </w:t>
      </w:r>
      <w:r>
        <w:rPr>
          <w:b/>
        </w:rPr>
        <w:t xml:space="preserve">July 2025</w:t>
      </w:r>
      <w:r>
        <w:t xml:space="preserve"> and leadership signalled interest in relief — </w:t>
      </w:r>
      <w:r>
        <w:rPr>
          <w:b/>
        </w:rPr>
        <w:t xml:space="preserve">but nothing has been finalized.</w:t>
      </w:r>
      <w:r>
        <w:t xml:space="preserve"> (</w:t>
      </w:r>
      <w:hyperlink r:id="rHl66">
        <w:r>
          <w:rPr>
            <w:rStyle w:val="Hyperlink"/>
          </w:rPr>
          <w:t xml:space="preserve">DarrowEverett</w:t>
        </w:r>
      </w:hyperlink>
      <w:r>
        <w:t xml:space="preserve">; </w:t>
      </w:r>
      <w:hyperlink r:id="rHl67">
        <w:r>
          <w:rPr>
            <w:rStyle w:val="Hyperlink"/>
          </w:rPr>
          <w:t xml:space="preserve">Nelson Mullins</w:t>
        </w:r>
      </w:hyperlink>
      <w:r>
        <w:t xml:space="preserve">; </w:t>
      </w:r>
      <w:hyperlink r:id="rHl68">
        <w:r>
          <w:rPr>
            <w:rStyle w:val="Hyperlink"/>
          </w:rPr>
          <w:t xml:space="preserve">SEC funding portal guidance</w:t>
        </w:r>
      </w:hyperlink>
      <w:r>
        <w:t xml:space="preserve">)</w:t>
      </w:r>
    </w:p>
    <w:p>
      <w:r>
        <w:rPr>
          <w:b/>
        </w:rPr>
        <w:t xml:space="preserve">Implication:</w:t>
      </w:r>
      <w:r>
        <w:t xml:space="preserve"> subscription pricing is fine; </w:t>
      </w:r>
      <w:r>
        <w:rPr>
          <w:b/>
        </w:rPr>
        <w:t xml:space="preserve">success fees on introductions are not</w:t>
      </w:r>
      <w:r>
        <w:t xml:space="preserve">, without registration.</w:t>
      </w:r>
    </w:p>
    <w:p>
      <w:pPr>
        <w:pStyle w:val="Heading2"/>
      </w:pPr>
      <w:r>
        <w:t xml:space="preserve">2d. The number the app produces has no legal standing</w:t>
      </w:r>
    </w:p>
    <w:p>
      <w:r>
        <w:t xml:space="preserve">409A safe harbor requires an independent appraiser's signed report. Even the AI-powered $499 platforms keep </w:t>
      </w:r>
      <w:r>
        <w:rPr>
          <w:b/>
        </w:rPr>
        <w:t xml:space="preserve">a qualified appraiser reviewing and signing</w:t>
      </w:r>
      <w:r>
        <w:t xml:space="preserve"> (</w:t>
      </w:r>
      <w:hyperlink r:id="rHl39">
        <w:r>
          <w:rPr>
            <w:rStyle w:val="Hyperlink"/>
          </w:rPr>
          <w:t xml:space="preserve">409a-valuation.com</w:t>
        </w:r>
      </w:hyperlink>
      <w:r>
        <w:t xml:space="preserve">). A continuously recalculated number is, by construction, not that.</w:t>
      </w:r>
    </w:p>
    <w:p>
      <w:pPr>
        <w:pBdr>
          <w:bottom w:val="single" w:sz="6" w:space="6" w:color="C9CCD1"/>
        </w:pBdr>
      </w:pPr>
    </w:p>
    <w:p>
      <w:pPr>
        <w:pStyle w:val="Heading1"/>
      </w:pPr>
      <w:r>
        <w:t xml:space="preserve">Part 3 — Counterargument 1, argued at full strength</w:t>
      </w:r>
    </w:p>
    <w:p>
      <w:pPr>
        <w:pStyle w:val="Heading2"/>
      </w:pPr>
      <w:r>
        <w:rPr>
          <w:b/>
        </w:rPr>
        <w:t xml:space="preserve">"This was already possible five years ago."</w:t>
      </w:r>
    </w:p>
    <w:p>
      <w:r>
        <w:rPr>
          <w:b/>
        </w:rPr>
        <w:t xml:space="preserve">Thirteen years ago, in fact.</w:t>
      </w:r>
    </w:p>
    <w:p>
      <w:r>
        <w:rPr>
          <w:b/>
        </w:rPr>
        <w:t xml:space="preserve">The valuation engine:</w:t>
      </w:r>
      <w:r>
        <w:t xml:space="preserve"> Equidam was founded </w:t>
      </w:r>
      <w:r>
        <w:rPr>
          <w:b/>
        </w:rPr>
        <w:t xml:space="preserve">2012–2013</w:t>
      </w:r>
      <w:r>
        <w:t xml:space="preserve"> and has run an automated five-method engine — Scorecard, Checklist, two DCF variants and the VC Method, weighted by stage — since its earliest years, with results recalculating </w:t>
      </w:r>
      <w:r>
        <w:rPr>
          <w:b/>
        </w:rPr>
        <w:t xml:space="preserve">as the founder changes inputs</w:t>
      </w:r>
      <w:r>
        <w:t xml:space="preserve">. Contemporary coverage described it as letting startups "see their valuation in real-time for a fraction of the price." It now claims </w:t>
      </w:r>
      <w:r>
        <w:rPr>
          <w:b/>
        </w:rPr>
        <w:t xml:space="preserve">160,000+ valuations across 90+ countries</w:t>
      </w:r>
      <w:r>
        <w:t xml:space="preserve">. (</w:t>
      </w:r>
      <w:hyperlink r:id="rHl69">
        <w:r>
          <w:rPr>
            <w:rStyle w:val="Hyperlink"/>
          </w:rPr>
          <w:t xml:space="preserve">Equidam</w:t>
        </w:r>
      </w:hyperlink>
      <w:r>
        <w:t xml:space="preserve">; </w:t>
      </w:r>
      <w:hyperlink r:id="rHl70">
        <w:r>
          <w:rPr>
            <w:rStyle w:val="Hyperlink"/>
          </w:rPr>
          <w:t xml:space="preserve">Startup Daily</w:t>
        </w:r>
      </w:hyperlink>
      <w:r>
        <w:t xml:space="preserve">)</w:t>
      </w:r>
    </w:p>
    <w:p>
      <w:r>
        <w:rPr>
          <w:b/>
        </w:rPr>
        <w:t xml:space="preserve">The methods themselves are older still:</w:t>
      </w:r>
      <w:r>
        <w:t xml:space="preserve"> the VC Method dates to 1987, Berkus to the 1990s, Payne's Scorecard to around 2011, DCF to the 1930s. </w:t>
      </w:r>
      <w:r>
        <w:rPr>
          <w:b/>
        </w:rPr>
        <w:t xml:space="preserve">None of this needed a model.</w:t>
      </w:r>
    </w:p>
    <w:p>
      <w:r>
        <w:rPr>
          <w:b/>
        </w:rPr>
        <w:t xml:space="preserve">The data plumbing predates LLMs:</w:t>
      </w:r>
      <w:r>
        <w:t xml:space="preserve"> SEC Form D has been public, structured and bulk-downloadable for years; Crunchbase has had an API since the mid-2010s; accounting data has been available through QuickBooks, Xero and Stripe APIs for a decade.</w:t>
      </w:r>
    </w:p>
    <w:p>
      <w:r>
        <w:rPr>
          <w:b/>
        </w:rPr>
        <w:t xml:space="preserve">"Continuous" is a cron job.</w:t>
      </w:r>
      <w:r>
        <w:t xml:space="preserve"> Recalculating a formula nightly as new inputs arrive is 1990s engineering. Nothing about a weighted five-method valuation requires an agent — Equidam proved that with a web form.</w:t>
      </w:r>
    </w:p>
    <w:p>
      <w:r>
        <w:rPr>
          <w:b/>
        </w:rPr>
        <w:t xml:space="preserve">And an agent-callable version already exists:</w:t>
      </w:r>
      <w:r>
        <w:t xml:space="preserve"> Equidam's </w:t>
      </w:r>
      <w:r>
        <w:rPr>
          <w:b/>
        </w:rPr>
        <w:t xml:space="preserve">MCP server (August 8, 2025)</w:t>
      </w:r>
      <w:r>
        <w:t xml:space="preserve"> lets any AI assistant run the full five-method valuation by natural-language request. If the claim is "an AI agent can compile data and value a company," that has been true and purchasable for 13 months.</w:t>
      </w:r>
    </w:p>
    <w:p>
      <w:r>
        <w:rPr>
          <w:b/>
        </w:rPr>
        <w:t xml:space="preserve">The strong form:</w:t>
      </w:r>
      <w:r>
        <w:t xml:space="preserve"> the market's failure was never capability. Equidam built the product, had 13 years, and has 15 lifetime Trustpilot reviews. </w:t>
      </w:r>
      <w:r>
        <w:rPr>
          <w:b/>
        </w:rPr>
        <w:t xml:space="preserve">The binding constraint was demand, not technology</w:t>
      </w:r>
      <w:r>
        <w:t xml:space="preserve"> — and an AI agent does not create demand.</w:t>
      </w:r>
    </w:p>
    <w:p>
      <w:r>
        <w:rPr>
          <w:b/>
        </w:rPr>
        <w:t xml:space="preserve">Where this argument is weakest:</w:t>
      </w:r>
      <w:r>
        <w:t xml:space="preserve"> it treats "valuation" as the whole job. Equidam's engine requires a founder to *sit down and enter structured inputs* — revenue, projections, team scores. Nothing before 2024 could read a messy P&amp;L PDF, a Stripe feed and a cap table and keep the number current </w:t>
      </w:r>
      <w:r>
        <w:rPr>
          <w:b/>
        </w:rPr>
        <w:t xml:space="preserve">without the founder doing data entry</w:t>
      </w:r>
      <w:r>
        <w:t xml:space="preserve">. Carta's April 2026 AI data-collection product is the first production evidence that that ingestion step is now automatable — and Carta built it because chasing companies for KPIs was consuming *weeks* of professional time.</w:t>
      </w:r>
    </w:p>
    <w:p>
      <w:pPr>
        <w:pBdr>
          <w:bottom w:val="single" w:sz="6" w:space="6" w:color="C9CCD1"/>
        </w:pBdr>
      </w:pPr>
    </w:p>
    <w:p>
      <w:pPr>
        <w:pStyle w:val="Heading1"/>
      </w:pPr>
      <w:r>
        <w:t xml:space="preserve">Part 4 — Counterargument 2, argued at full strength</w:t>
      </w:r>
    </w:p>
    <w:p>
      <w:pPr>
        <w:pStyle w:val="Heading2"/>
      </w:pPr>
      <w:r>
        <w:rPr>
          <w:b/>
        </w:rPr>
        <w:t xml:space="preserve">"This still is not possible."</w:t>
      </w:r>
    </w:p>
    <w:p>
      <w:r>
        <w:rPr>
          <w:b/>
        </w:rPr>
        <w:t xml:space="preserve">1. The model cannot be trusted with the arithmetic.</w:t>
      </w:r>
      <w:r>
        <w:t xml:space="preserve"> Four of six leading models fabricate financial figures from incomplete documents, two of them confidently and silently; accuracy collapses to near zero on multivariate calculations; the best finance agent scores 46.8%. A valuation is multivariate arithmetic over incomplete documents. </w:t>
      </w:r>
      <w:r>
        <w:rPr>
          <w:b/>
        </w:rPr>
        <w:t xml:space="preserve">A number that is confidently wrong is worse than no number</w:t>
      </w:r>
      <w:r>
        <w:t xml:space="preserve">, because the founder takes it into a negotiation.</w:t>
      </w:r>
    </w:p>
    <w:p>
      <w:r>
        <w:rPr>
          <w:b/>
        </w:rPr>
        <w:t xml:space="preserve">2. There is no comps feed you can afford.</w:t>
      </w:r>
      <w:r>
        <w:t xml:space="preserve"> Credible private-company comparables sit behind PitchBook ($15k–$20k/seat), Carta's proprietary data, and Crunchbase's paywall — all of which block bots by default. Without them, "continuous valuation" is a formula recomputing over stale assumptions, which is a spreadsheet with a cron job, not a product.</w:t>
      </w:r>
    </w:p>
    <w:p>
      <w:r>
        <w:rPr>
          <w:b/>
        </w:rPr>
        <w:t xml:space="preserve">3. At the stage you're targeting, valuation isn't computed — it's negotiated.</w:t>
      </w:r>
      <w:r>
        <w:t xml:space="preserve"> Carta's own data shows median seed pre-money </w:t>
      </w:r>
      <w:r>
        <w:rPr>
          <w:b/>
        </w:rPr>
        <w:t xml:space="preserve">rising to record highs in 2025 while deal counts fell</w:t>
      </w:r>
      <w:r>
        <w:t xml:space="preserve"> — supply and demand, not fundamentals. A pre-revenue company has no cash flows to discount; its price is set by investor appetite that week. A continuously recalculated intrinsic value can be perfectly computed and still be the wrong number to walk in with.</w:t>
      </w:r>
    </w:p>
    <w:p>
      <w:r>
        <w:rPr>
          <w:b/>
        </w:rPr>
        <w:t xml:space="preserve">4. The output has no standing.</w:t>
      </w:r>
      <w:r>
        <w:t xml:space="preserve"> The only valuations that carry legal weight (409A) require a human appraiser's signature, which is why even AI-first providers keep one in the loop.</w:t>
      </w:r>
    </w:p>
    <w:p>
      <w:r>
        <w:rPr>
          <w:b/>
        </w:rPr>
        <w:t xml:space="preserve">5. The matching half is legally constrained.</w:t>
      </w:r>
      <w:r>
        <w:t xml:space="preserve"> No finders exemption exists; transaction-based compensation for investor introductions is broker activity. The business model most founders would pay most for — "get me in front of the right investor, take a cut" — is the one you cannot legally run unregistered.</w:t>
      </w:r>
    </w:p>
    <w:p>
      <w:r>
        <w:rPr>
          <w:b/>
        </w:rPr>
        <w:t xml:space="preserve">6. Nobody has shown demand.</w:t>
      </w:r>
      <w:r>
        <w:t xml:space="preserve"> Equidam has had the product for 13 years and left almost no usage footprint.</w:t>
      </w:r>
    </w:p>
    <w:p>
      <w:r>
        <w:rPr>
          <w:b/>
        </w:rPr>
        <w:t xml:space="preserve">Where this argument is weakest:</w:t>
      </w:r>
      <w:r>
        <w:t xml:space="preserve"> it attacks *autonomous, authoritative* valuation. It does not touch a narrower product — an assistive tool that shows its inputs, cites its comparables, presents a </w:t>
      </w:r>
      <w:r>
        <w:rPr>
          <w:b/>
        </w:rPr>
        <w:t xml:space="preserve">range</w:t>
      </w:r>
      <w:r>
        <w:t xml:space="preserve"> rather than a number, keeps the range current as revenue and market data move, and leaves the founder to argue it. That product doesn't need 95% arithmetic reliability; it needs transparency and auditability, which are engineering choices.</w:t>
      </w:r>
    </w:p>
    <w:p>
      <w:pPr>
        <w:pBdr>
          <w:bottom w:val="single" w:sz="6" w:space="6" w:color="C9CCD1"/>
        </w:pBdr>
      </w:pPr>
    </w:p>
    <w:p>
      <w:pPr>
        <w:pStyle w:val="Heading1"/>
      </w:pPr>
      <w:r>
        <w:t xml:space="preserve">Part 5 — What survives</w:t>
      </w:r>
    </w:p>
    <w:p>
      <w:r>
        <w:t xml:space="preserve">Your claim fails on the "not in the market" clause and overstates the "newly possible" one. Here is the version that survives everything above:</w:t>
      </w:r>
    </w:p>
    <w:p>
      <w:pPr>
        <w:ind w:left="360"/>
        <w:pBdr>
          <w:left w:val="single" w:sz="18" w:space="8" w:color="9AA0A6"/>
        </w:pBdr>
      </w:pPr>
      <w:r>
        <w:t xml:space="preserve">**Founder-facing continuous valuation is not newly possible — it is newly *low-friction*, and it is newly *unattended*.</w:t>
      </w:r>
      <w:r>
        <w:rPr>
          <w:b/>
        </w:rPr>
        <w:t xml:space="preserve"> What changed between 2021 and 2026 is not the valuation math (13 years old) or agent access to a valuation engine (Equidam's MCP server, Aug 2025) but the </w:t>
      </w:r>
      <w:r>
        <w:t xml:space="preserve">ingestion step</w:t>
      </w:r>
      <w:r>
        <w:rPr>
          <w:b/>
        </w:rPr>
        <w:t xml:space="preserve">: a system can now read a messy P&amp;L, a cap table PDF, a Stripe feed and a funding announcement and keep a valuation </w:t>
      </w:r>
      <w:r>
        <w:t xml:space="preserve">range</w:t>
      </w:r>
      <w:r>
        <w:rPr>
          <w:b/>
        </w:rPr>
        <w:t xml:space="preserve"> current without the founder re-entering anything — which Carta proved in production in April 2026, </w:t>
      </w:r>
      <w:r>
        <w:t xml:space="preserve">for investors rather than founders.** The gap is not capability; it is that everyone has pointed this machinery at the people who already pay ($15k–$20k seats, fund middle offices) and nobody has pointed it at founders. The binding constraints are comparables access, a legally clean business model that avoids transaction-based fees, and — the one nobody has solved in 13 years — demand.</w:t>
      </w:r>
    </w:p>
    <w:p>
      <w:pPr>
        <w:pStyle w:val="Heading2"/>
      </w:pPr>
      <w:r>
        <w:t xml:space="preserve">Four tests that would falsify this — run them before building</w:t>
      </w:r>
    </w:p>
    <w:p>
      <w:r>
        <w:t xml:space="preserve">1. </w:t>
      </w:r>
      <w:r>
        <w:rPr>
          <w:b/>
        </w:rPr>
        <w:t xml:space="preserve">The Equidam test.</w:t>
      </w:r>
      <w:r>
        <w:t xml:space="preserve"> Buy Equidam's $412 report and run its MCP server. If it already answers your user's question, your product is a distribution and UX play, not a capability play — price and pitch accordingly.</w:t>
      </w:r>
    </w:p>
    <w:p>
      <w:r>
        <w:t xml:space="preserve">2. </w:t>
      </w:r>
      <w:r>
        <w:rPr>
          <w:b/>
        </w:rPr>
        <w:t xml:space="preserve">The arithmetic test.</w:t>
      </w:r>
      <w:r>
        <w:t xml:space="preserve"> Feed 20 real startup P&amp;Ls through your engine and check every intermediate number against a human analyst. Publish the error rate. Given the benchmark evidence, assume you will find fabrications.</w:t>
      </w:r>
    </w:p>
    <w:p>
      <w:r>
        <w:t xml:space="preserve">3. </w:t>
      </w:r>
      <w:r>
        <w:rPr>
          <w:b/>
        </w:rPr>
        <w:t xml:space="preserve">The comps test.</w:t>
      </w:r>
      <w:r>
        <w:t xml:space="preserve"> Before writing code, establish what comparable-transaction data you can license or derive from Form D at a cost that works at $1,000/yr. If the answer is "scrape Crunchbase," you don't have a product — you have a lawsuit and a Cloudflare block.</w:t>
      </w:r>
    </w:p>
    <w:p>
      <w:r>
        <w:t xml:space="preserve">4. </w:t>
      </w:r>
      <w:r>
        <w:rPr>
          <w:b/>
        </w:rPr>
        <w:t xml:space="preserve">The demand test.</w:t>
      </w:r>
      <w:r>
        <w:t xml:space="preserve"> Find 20 founders who will pre-pay $1,000. Equidam had 13 years to do this and its public footprint suggests it never did. </w:t>
      </w:r>
      <w:r>
        <w:rPr>
          <w:b/>
        </w:rPr>
        <w:t xml:space="preserve">This is the test that matters most, and it doesn't require any code.</w:t>
      </w:r>
    </w:p>
    <w:p>
      <w:pPr>
        <w:pBdr>
          <w:bottom w:val="single" w:sz="6" w:space="6" w:color="C9CCD1"/>
        </w:pBdr>
      </w:pPr>
    </w:p>
    <w:p>
      <w:pPr>
        <w:pStyle w:val="Heading1"/>
      </w:pPr>
      <w:r>
        <w:t xml:space="preserve">Flags</w:t>
      </w:r>
    </w:p>
    <w:tbl>
      <w:tblPr>
        <w:tblW w:w="10080" w:type="dxa"/>
        <w:tblBorders>
          <w:top w:val="single" w:sz="4" w:space="0" w:color="C9CCD1"/>
          <w:left w:val="single" w:sz="4" w:space="0" w:color="C9CCD1"/>
          <w:bottom w:val="single" w:sz="4" w:space="0" w:color="C9CCD1"/>
          <w:right w:val="single" w:sz="4" w:space="0" w:color="C9CCD1"/>
          <w:insideH w:val="single" w:sz="4" w:space="0" w:color="C9CCD1"/>
          <w:insideV w:val="single" w:sz="4" w:space="0" w:color="C9CCD1"/>
        </w:tblBorders>
        <w:tblLayout w:type="fixed"/>
      </w:tblPr>
      <w:tblGrid>
        <w:gridCol w:w="5040"/>
        <w:gridCol w:w="5040"/>
      </w:tblGrid>
      <w:tr>
        <w:trPr>
          <w:tblHeader/>
        </w:trPr>
        <w:tc>
          <w:tcPr>
            <w:tcW w:w="5040" w:type="dxa"/>
            <w:shd w:val="clear" w:color="auto" w:fill="EFF1F3"/>
          </w:tcPr>
          <w:p>
            <w:pPr>
              <w:spacing w:before="40" w:after="40"/>
            </w:pPr>
            <w:r>
              <w:rPr>
                <w:b/>
                <w:sz w:val="18"/>
              </w:rPr>
              <w:t xml:space="preserve">Item</w:t>
            </w:r>
          </w:p>
        </w:tc>
        <w:tc>
          <w:tcPr>
            <w:tcW w:w="5040" w:type="dxa"/>
            <w:shd w:val="clear" w:color="auto" w:fill="EFF1F3"/>
          </w:tcPr>
          <w:p>
            <w:pPr>
              <w:spacing w:before="40" w:after="40"/>
            </w:pPr>
            <w:r>
              <w:rPr>
                <w:b/>
                <w:sz w:val="18"/>
              </w:rPr>
              <w:t xml:space="preserve">Status</w:t>
            </w:r>
          </w:p>
        </w:tc>
      </w:tr>
      <w:tr>
        <w:tc>
          <w:tcPr>
            <w:tcW w:w="5040" w:type="dxa"/>
          </w:tcPr>
          <w:p>
            <w:pPr>
              <w:spacing w:before="40" w:after="40"/>
            </w:pPr>
            <w:r>
              <w:rPr>
                <w:sz w:val="18"/>
              </w:rPr>
              <w:t xml:space="preserve">Equidam "160,000+ valuations, 90+ countries"</w:t>
            </w:r>
          </w:p>
        </w:tc>
        <w:tc>
          <w:tcPr>
            <w:tcW w:w="5040" w:type="dxa"/>
          </w:tcPr>
          <w:p>
            <w:pPr>
              <w:spacing w:before="40" w:after="40"/>
            </w:pPr>
            <w:r>
              <w:rPr>
                <w:sz w:val="18"/>
              </w:rPr>
              <w:t xml:space="preserve">⚠️ Marketing claim, irreconcilable with a 15-review Trustpilot footprint. One of the two is misleading; I could not determine which.</w:t>
            </w:r>
          </w:p>
        </w:tc>
      </w:tr>
      <w:tr>
        <w:tc>
          <w:tcPr>
            <w:tcW w:w="5040" w:type="dxa"/>
          </w:tcPr>
          <w:p>
            <w:pPr>
              <w:spacing w:before="40" w:after="40"/>
            </w:pPr>
            <w:r>
              <w:rPr>
                <w:sz w:val="18"/>
              </w:rPr>
              <w:t xml:space="preserve">Equidam MCP performance claim ("4–8 hours → 30 seconds")</w:t>
            </w:r>
          </w:p>
        </w:tc>
        <w:tc>
          <w:tcPr>
            <w:tcW w:w="5040" w:type="dxa"/>
          </w:tcPr>
          <w:p>
            <w:pPr>
              <w:spacing w:before="40" w:after="40"/>
            </w:pPr>
            <w:r>
              <w:rPr>
                <w:sz w:val="18"/>
              </w:rPr>
              <w:t xml:space="preserve">⚠️ Vendor-stated, untested by me.</w:t>
            </w:r>
          </w:p>
        </w:tc>
      </w:tr>
      <w:tr>
        <w:tc>
          <w:tcPr>
            <w:tcW w:w="5040" w:type="dxa"/>
          </w:tcPr>
          <w:p>
            <w:pPr>
              <w:spacing w:before="40" w:after="40"/>
            </w:pPr>
            <w:r>
              <w:rPr>
                <w:sz w:val="18"/>
              </w:rPr>
              <w:t xml:space="preserve">Carta's "valuation agent"</w:t>
            </w:r>
          </w:p>
        </w:tc>
        <w:tc>
          <w:tcPr>
            <w:tcW w:w="5040" w:type="dxa"/>
          </w:tcPr>
          <w:p>
            <w:pPr>
              <w:spacing w:before="40" w:after="40"/>
            </w:pPr>
            <w:r>
              <w:rPr>
                <w:sz w:val="18"/>
              </w:rPr>
              <w:t xml:space="preserve">⚠️ Search snippets attribute a real-time "valuation agent" to Carta; the roadmap and blog I retrieved describe AI data collection and expanded methodologies for </w:t>
            </w:r>
            <w:r>
              <w:rPr>
                <w:b/>
                <w:sz w:val="18"/>
              </w:rPr>
              <w:t xml:space="preserve">fund</w:t>
            </w:r>
            <w:r>
              <w:rPr>
                <w:sz w:val="18"/>
              </w:rPr>
              <w:t xml:space="preserve"> valuations. I did not find a founder-facing valuation agent. </w:t>
            </w:r>
            <w:r>
              <w:rPr>
                <w:rFonts w:ascii="Consolas" w:hAnsi="Consolas"/>
                <w:sz w:val="18"/>
              </w:rPr>
              <w:t xml:space="preserve">[Treat "Carta is building this for founders" as UNVERIFIED — current evidence says GP/LP side.]</w:t>
            </w:r>
          </w:p>
        </w:tc>
      </w:tr>
      <w:tr>
        <w:tc>
          <w:tcPr>
            <w:tcW w:w="5040" w:type="dxa"/>
          </w:tcPr>
          <w:p>
            <w:pPr>
              <w:spacing w:before="40" w:after="40"/>
            </w:pPr>
            <w:r>
              <w:rPr>
                <w:sz w:val="18"/>
              </w:rPr>
              <w:t xml:space="preserve">AI 409A platforms ($499–$2,500, fastest-growing segment)</w:t>
            </w:r>
          </w:p>
        </w:tc>
        <w:tc>
          <w:tcPr>
            <w:tcW w:w="5040" w:type="dxa"/>
          </w:tcPr>
          <w:p>
            <w:pPr>
              <w:spacing w:before="40" w:after="40"/>
            </w:pPr>
            <w:r>
              <w:rPr>
                <w:sz w:val="18"/>
              </w:rPr>
              <w:t xml:space="preserve">⚠️ From valuation-provider marketing sites, parties with an interest in that framing.</w:t>
            </w:r>
          </w:p>
        </w:tc>
      </w:tr>
      <w:tr>
        <w:tc>
          <w:tcPr>
            <w:tcW w:w="5040" w:type="dxa"/>
          </w:tcPr>
          <w:p>
            <w:pPr>
              <w:spacing w:before="40" w:after="40"/>
            </w:pPr>
            <w:r>
              <w:rPr>
                <w:sz w:val="18"/>
              </w:rPr>
              <w:t xml:space="preserve">"41% of finance queries hallucinate" (2024)</w:t>
            </w:r>
          </w:p>
        </w:tc>
        <w:tc>
          <w:tcPr>
            <w:tcW w:w="5040" w:type="dxa"/>
          </w:tcPr>
          <w:p>
            <w:pPr>
              <w:spacing w:before="40" w:after="40"/>
            </w:pPr>
            <w:r>
              <w:rPr>
                <w:sz w:val="18"/>
              </w:rPr>
              <w:t xml:space="preserve">⚠️ Secondary citation via a vendor benchmark write-up; original study not retrieved.</w:t>
            </w:r>
          </w:p>
        </w:tc>
      </w:tr>
      <w:tr>
        <w:tc>
          <w:tcPr>
            <w:tcW w:w="5040" w:type="dxa"/>
          </w:tcPr>
          <w:p>
            <w:pPr>
              <w:spacing w:before="40" w:after="40"/>
            </w:pPr>
            <w:r>
              <w:rPr>
                <w:sz w:val="18"/>
              </w:rPr>
              <w:t xml:space="preserve">JurisTech 2026 benchmark</w:t>
            </w:r>
          </w:p>
        </w:tc>
        <w:tc>
          <w:tcPr>
            <w:tcW w:w="5040" w:type="dxa"/>
          </w:tcPr>
          <w:p>
            <w:pPr>
              <w:spacing w:before="40" w:after="40"/>
            </w:pPr>
            <w:r>
              <w:rPr>
                <w:sz w:val="18"/>
              </w:rPr>
              <w:t xml:space="preserve">⚠️ Vendor-run benchmark, not peer-reviewed. Directionally consistent with the arXiv findings, which are stronger evidence.</w:t>
            </w:r>
          </w:p>
        </w:tc>
      </w:tr>
      <w:tr>
        <w:tc>
          <w:tcPr>
            <w:tcW w:w="5040" w:type="dxa"/>
          </w:tcPr>
          <w:p>
            <w:pPr>
              <w:spacing w:before="40" w:after="40"/>
            </w:pPr>
            <w:r>
              <w:rPr>
                <w:sz w:val="18"/>
              </w:rPr>
              <w:t xml:space="preserve">Securities-law summary</w:t>
            </w:r>
          </w:p>
        </w:tc>
        <w:tc>
          <w:tcPr>
            <w:tcW w:w="5040" w:type="dxa"/>
          </w:tcPr>
          <w:p>
            <w:pPr>
              <w:spacing w:before="40" w:after="40"/>
            </w:pPr>
            <w:r>
              <w:rPr>
                <w:sz w:val="18"/>
              </w:rPr>
              <w:t xml:space="preserve">⚠️ From law-firm client alerts, not primary SEC releases. </w:t>
            </w:r>
            <w:r>
              <w:rPr>
                <w:b/>
                <w:sz w:val="18"/>
              </w:rPr>
              <w:t xml:space="preserve">Not legal advice</w:t>
            </w:r>
            <w:r>
              <w:rPr>
                <w:sz w:val="18"/>
              </w:rPr>
              <w:t xml:space="preserve"> — a securities lawyer must review any fee structure before launch.</w:t>
            </w:r>
          </w:p>
        </w:tc>
      </w:tr>
      <w:tr>
        <w:tc>
          <w:tcPr>
            <w:tcW w:w="5040" w:type="dxa"/>
          </w:tcPr>
          <w:p>
            <w:pPr>
              <w:spacing w:before="40" w:after="40"/>
            </w:pPr>
            <w:r>
              <w:rPr>
                <w:sz w:val="18"/>
              </w:rPr>
              <w:t xml:space="preserve">Blocked sources</w:t>
            </w:r>
          </w:p>
        </w:tc>
        <w:tc>
          <w:tcPr>
            <w:tcW w:w="5040" w:type="dxa"/>
          </w:tcPr>
          <w:p>
            <w:pPr>
              <w:spacing w:before="40" w:after="40"/>
            </w:pPr>
            <w:r>
              <w:rPr>
                <w:sz w:val="18"/>
              </w:rPr>
              <w:t xml:space="preserve">❌ Reddit and G2 blocked throughout; Crunchbase, PitchBook and Carta pricing pages blocked to direct fetch (Carta retrieved via browser).</w:t>
            </w:r>
          </w:p>
        </w:tc>
      </w:tr>
      <w:tr>
        <w:tc>
          <w:tcPr>
            <w:tcW w:w="5040" w:type="dxa"/>
          </w:tcPr>
          <w:p>
            <w:pPr>
              <w:spacing w:before="40" w:after="40"/>
            </w:pPr>
            <w:r>
              <w:rPr>
                <w:sz w:val="18"/>
              </w:rPr>
              <w:t xml:space="preserve">Equidam founding date</w:t>
            </w:r>
          </w:p>
        </w:tc>
        <w:tc>
          <w:tcPr>
            <w:tcW w:w="5040" w:type="dxa"/>
          </w:tcPr>
          <w:p>
            <w:pPr>
              <w:spacing w:before="40" w:after="40"/>
            </w:pPr>
            <w:r>
              <w:rPr>
                <w:sz w:val="18"/>
              </w:rPr>
              <w:t xml:space="preserve">⚠️ Sources say 2012 or 2013; both predate the claim's five-year window regardless.</w:t>
            </w:r>
          </w:p>
        </w:tc>
      </w:tr>
    </w:tbl>
    <w:p>
      <w:pPr>
        <w:spacing w:after="0"/>
      </w:pPr>
    </w:p>
    <w:sectPr>
      <w:pgSz w:w="12240" w:h="15840"/>
      <w:pgMar w:top="1080" w:right="1080" w:bottom="1080" w:left="108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rPr>
    </w:rPrDefault>
    <w:pPrDefault>
      <w:pPr>
        <w:spacing w:after="140" w:line="276" w:lineRule="auto"/>
      </w:pPr>
    </w:pPrDefault>
  </w:docDefaults>
  <w:style w:type="paragraph" w:default="1" w:styleId="Normal">
    <w:name w:val="Normal"/>
    <w:qFormat/>
  </w:style>
  <w:style w:type="paragraph" w:styleId="Title">
    <w:name w:val="Title"/>
    <w:basedOn w:val="Normal"/>
    <w:qFormat/>
    <w:pPr>
      <w:spacing w:before="0" w:after="240"/>
      <w:outlineLvl w:val="0"/>
    </w:pPr>
    <w:rPr>
      <w:b/>
      <w:sz w:val="52"/>
      <w:color w:val="1A1A1A"/>
    </w:rPr>
  </w:style>
  <w:style w:type="paragraph" w:styleId="Heading1">
    <w:name w:val="heading 1"/>
    <w:basedOn w:val="Normal"/>
    <w:qFormat/>
    <w:pPr>
      <w:keepNext/>
      <w:spacing w:before="360" w:after="140"/>
      <w:outlineLvl w:val="0"/>
    </w:pPr>
    <w:rPr>
      <w:b/>
      <w:sz w:val="34"/>
      <w:color w:val="1F3864"/>
    </w:rPr>
  </w:style>
  <w:style w:type="paragraph" w:styleId="Heading2">
    <w:name w:val="heading 2"/>
    <w:basedOn w:val="Normal"/>
    <w:qFormat/>
    <w:pPr>
      <w:keepNext/>
      <w:spacing w:before="280" w:after="120"/>
      <w:outlineLvl w:val="1"/>
    </w:pPr>
    <w:rPr>
      <w:b/>
      <w:sz w:val="26"/>
      <w:color w:val="2E5A88"/>
    </w:rPr>
  </w:style>
  <w:style w:type="paragraph" w:styleId="Heading3">
    <w:name w:val="heading 3"/>
    <w:basedOn w:val="Normal"/>
    <w:qFormat/>
    <w:pPr>
      <w:keepNext/>
      <w:spacing w:before="220" w:after="100"/>
      <w:outlineLvl w:val="2"/>
    </w:pPr>
    <w:rPr>
      <w:b/>
      <w:sz w:val="23"/>
      <w:color w:val="3C3C3C"/>
    </w:rPr>
  </w:style>
  <w:style w:type="character" w:styleId="Hyperlink">
    <w:name w:val="Hyperlink"/>
    <w:rPr>
      <w:color w:val="1155CC"/>
      <w:u w:val="single"/>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Hl1" Type="http://schemas.openxmlformats.org/officeDocument/2006/relationships/hyperlink" Target="https://www.census.gov/econ/bfs/index.html" TargetMode="External"/>
<Relationship Id="rHl2" Type="http://schemas.openxmlformats.org/officeDocument/2006/relationships/hyperlink" Target="https://www.commerceinstitute.com/new-businesses-started-every-year/" TargetMode="External"/>
<Relationship Id="rHl3" Type="http://schemas.openxmlformats.org/officeDocument/2006/relationships/hyperlink" Target="https://www.bls.gov/news.release/cewbd.htm" TargetMode="External"/>
<Relationship Id="rHl4" Type="http://schemas.openxmlformats.org/officeDocument/2006/relationships/hyperlink" Target="https://www.sec.gov/data-research/statistics-data-visualizations/regulation-d-offerings/regulation-d-offerings-number-offerings-capital-raised" TargetMode="External"/>
<Relationship Id="rHl5" Type="http://schemas.openxmlformats.org/officeDocument/2006/relationships/hyperlink" Target="https://scholars.unh.edu/cgi/viewcontent.cgi?article=1041&amp;context=cvr" TargetMode="External"/>
<Relationship Id="rHl6" Type="http://schemas.openxmlformats.org/officeDocument/2006/relationships/hyperlink" Target="https://www.inc.com/brian-contreras/venture-capital-rebound-ai-pitchbook-nvca/91284645" TargetMode="External"/>
<Relationship Id="rHl7" Type="http://schemas.openxmlformats.org/officeDocument/2006/relationships/hyperlink" Target="https://carta.com/equity-management/cap-table/409a-valuations/" TargetMode="External"/>
<Relationship Id="rHl8" Type="http://schemas.openxmlformats.org/officeDocument/2006/relationships/hyperlink" Target="https://www.sharktankblog.com/shark-tank-statistics/" TargetMode="External"/>
<Relationship Id="rHl9" Type="http://schemas.openxmlformats.org/officeDocument/2006/relationships/hyperlink" Target="https://capwave.ai/blog/blog-how-long-does-fundraising-take-2026" TargetMode="External"/>
<Relationship Id="rHl10" Type="http://schemas.openxmlformats.org/officeDocument/2006/relationships/hyperlink" Target="https://bfunded.io/blog/how-long-does-startup-fundraising-take-a-realistic-raise-timeline" TargetMode="External"/>
<Relationship Id="rHl11" Type="http://schemas.openxmlformats.org/officeDocument/2006/relationships/hyperlink" Target="https://bfaglobal.com/catalyst-fund/insights/3-tips-to-help-startup-founders-decrease-time-spent-fundraising" TargetMode="External"/>
<Relationship Id="rHl12" Type="http://schemas.openxmlformats.org/officeDocument/2006/relationships/hyperlink" Target="https://www.sciencedirect.com/science/article/abs/pii/S2352673422000038" TargetMode="External"/>
<Relationship Id="rHl13" Type="http://schemas.openxmlformats.org/officeDocument/2006/relationships/hyperlink" Target="https://thehustle.co/shark-tank-data-analysis-10-seasons" TargetMode="External"/>
<Relationship Id="rHl14" Type="http://schemas.openxmlformats.org/officeDocument/2006/relationships/hyperlink" Target="https://carta.com/data/state-of-private-markets-q1-2025/" TargetMode="External"/>
<Relationship Id="rHl15" Type="http://schemas.openxmlformats.org/officeDocument/2006/relationships/hyperlink" Target="https://carta.com/data/state-of-private-markets-q3-2025/" TargetMode="External"/>
<Relationship Id="rHl16" Type="http://schemas.openxmlformats.org/officeDocument/2006/relationships/hyperlink" Target="https://pitchbook.com/news/reports/q4-2025-pitchbook-nvca-venture-monitor" TargetMode="External"/>
<Relationship Id="rHl17" Type="http://schemas.openxmlformats.org/officeDocument/2006/relationships/hyperlink" Target="https://www.trustpilot.com/review/carta.com" TargetMode="External"/>
<Relationship Id="rHl18" Type="http://schemas.openxmlformats.org/officeDocument/2006/relationships/hyperlink" Target="https://www.spendflo.com/blog/how-much-does-carta-cost-a-breakdown-of-plans-and-pricing" TargetMode="External"/>
<Relationship Id="rHl19" Type="http://schemas.openxmlformats.org/officeDocument/2006/relationships/hyperlink" Target="https://carta.com/learn/startups/equity-management/409a-valuation/" TargetMode="External"/>
<Relationship Id="rHl20" Type="http://schemas.openxmlformats.org/officeDocument/2006/relationships/hyperlink" Target="https://www.trustpilot.com/review/crunchbase.com" TargetMode="External"/>
<Relationship Id="rHl21" Type="http://schemas.openxmlformats.org/officeDocument/2006/relationships/hyperlink" Target="https://www.capterra.com/p/144844/Foundersuite/reviews/" TargetMode="External"/>
<Relationship Id="rHl22" Type="http://schemas.openxmlformats.org/officeDocument/2006/relationships/hyperlink" Target="https://apps.apple.com/us/app/id1560434961?see-all=reviews" TargetMode="External"/>
<Relationship Id="rHl23" Type="http://schemas.openxmlformats.org/officeDocument/2006/relationships/hyperlink" Target="https://www.trustpilot.com/review/pitchbook.com" TargetMode="External"/>
<Relationship Id="rHl24" Type="http://schemas.openxmlformats.org/officeDocument/2006/relationships/hyperlink" Target="https://www.capterra.com/p/220278/Carta/reviews/" TargetMode="External"/>
<Relationship Id="rHl25" Type="http://schemas.openxmlformats.org/officeDocument/2006/relationships/hyperlink" Target="https://apps.apple.com/us/app/id1137735263?see-all=reviews" TargetMode="External"/>
<Relationship Id="rHl26" Type="http://schemas.openxmlformats.org/officeDocument/2006/relationships/hyperlink" Target="https://openai.com/index/introducing-deep-research/" TargetMode="External"/>
<Relationship Id="rHl27" Type="http://schemas.openxmlformats.org/officeDocument/2006/relationships/hyperlink" Target="https://en.wikipedia.org/wiki/ChatGPT_Deep_Research" TargetMode="External"/>
<Relationship Id="rHl28" Type="http://schemas.openxmlformats.org/officeDocument/2006/relationships/hyperlink" Target="https://about.crunchbase.com/blog/meet-the-new-crunchbase-predictive-company-intelligence" TargetMode="External"/>
<Relationship Id="rHl29" Type="http://schemas.openxmlformats.org/officeDocument/2006/relationships/hyperlink" Target="https://about.crunchbase.com/press/press-releases/crunchbase-predictive-intelligence-wins-2026-ai-techawards-for-ai-in-finance" TargetMode="External"/>
<Relationship Id="rHl30" Type="http://schemas.openxmlformats.org/officeDocument/2006/relationships/hyperlink" Target="https://www.sec.gov/data-research/sec-markets-data/form-d-data-sets" TargetMode="External"/>
<Relationship Id="rHl31" Type="http://schemas.openxmlformats.org/officeDocument/2006/relationships/hyperlink" Target="https://www.emergentmind.com/topics/financebench-dataset" TargetMode="External"/>
<Relationship Id="rHl32" Type="http://schemas.openxmlformats.org/officeDocument/2006/relationships/hyperlink" Target="https://arxiv.org/abs/2508.00828" TargetMode="External"/>
<Relationship Id="rHl33" Type="http://schemas.openxmlformats.org/officeDocument/2006/relationships/hyperlink" Target="https://www.capterra.com/p/217974/Valutico/reviews/" TargetMode="External"/>
<Relationship Id="rHl34" Type="http://schemas.openxmlformats.org/officeDocument/2006/relationships/hyperlink" Target="https://www.capterra.com/p/184325/Eqvista/reviews/" TargetMode="External"/>
<Relationship Id="rHl35" Type="http://schemas.openxmlformats.org/officeDocument/2006/relationships/hyperlink" Target="https://www.trustpilot.com/review/equidam.com" TargetMode="External"/>
<Relationship Id="rHl36" Type="http://schemas.openxmlformats.org/officeDocument/2006/relationships/hyperlink" Target="appstore-reviews-2025-2026.json" TargetMode="External"/>
<Relationship Id="rHl37" Type="http://schemas.openxmlformats.org/officeDocument/2006/relationships/hyperlink" Target="https://apps.apple.com/us/app/id1534615615?see-all=reviews" TargetMode="External"/>
<Relationship Id="rHl38" Type="http://schemas.openxmlformats.org/officeDocument/2006/relationships/hyperlink" Target="https://soferadvisors.com/insights/blog/409a-valuation-cost-pricing-guide-for-startups/" TargetMode="External"/>
<Relationship Id="rHl39" Type="http://schemas.openxmlformats.org/officeDocument/2006/relationships/hyperlink" Target="https://409a-valuation.com/insights/409a-valuation-cost" TargetMode="External"/>
<Relationship Id="rHl40" Type="http://schemas.openxmlformats.org/officeDocument/2006/relationships/hyperlink" Target="https://www.ziprecruiter.com/Salaries/Business-Valuation-Analyst-Salary" TargetMode="External"/>
<Relationship Id="rHl41" Type="http://schemas.openxmlformats.org/officeDocument/2006/relationships/hyperlink" Target="https://www.fiscallion.io/blog/fractional-cfo-cost-the-complete-pricing-guide-for-startup-founders" TargetMode="External"/>
<Relationship Id="rHl42" Type="http://schemas.openxmlformats.org/officeDocument/2006/relationships/hyperlink" Target="https://www.graphitefinancial.com/blog/fractional-cfo-hourly-rates" TargetMode="External"/>
<Relationship Id="rHl43" Type="http://schemas.openxmlformats.org/officeDocument/2006/relationships/hyperlink" Target="https://kruzeconsulting.com/blog/startup-cfo-charges/" TargetMode="External"/>
<Relationship Id="rHl44" Type="http://schemas.openxmlformats.org/officeDocument/2006/relationships/hyperlink" Target="https://freestartupfunding.com/costs/fundraising-consultant" TargetMode="External"/>
<Relationship Id="rHl45" Type="http://schemas.openxmlformats.org/officeDocument/2006/relationships/hyperlink" Target="https://pipelineroad.com/blog/placement-agent-fees-2026" TargetMode="External"/>
<Relationship Id="rHl46" Type="http://schemas.openxmlformats.org/officeDocument/2006/relationships/hyperlink" Target="https://en.wikipedia.org/wiki/Lehman_Formula" TargetMode="External"/>
<Relationship Id="rHl47" Type="http://schemas.openxmlformats.org/officeDocument/2006/relationships/hyperlink" Target="https://carta.com/pricing/" TargetMode="External"/>
<Relationship Id="rHl48" Type="http://schemas.openxmlformats.org/officeDocument/2006/relationships/hyperlink" Target="https://sacra.com/c/carta/" TargetMode="External"/>
<Relationship Id="rHl49" Type="http://schemas.openxmlformats.org/officeDocument/2006/relationships/hyperlink" Target="https://www.equidam.com/pricing/" TargetMode="External"/>
<Relationship Id="rHl50" Type="http://schemas.openxmlformats.org/officeDocument/2006/relationships/hyperlink" Target="https://www.valutico.com/pricing/" TargetMode="External"/>
<Relationship Id="rHl51" Type="http://schemas.openxmlformats.org/officeDocument/2006/relationships/hyperlink" Target="https://tech.eu/2023/02/15/valutico-raises/" TargetMode="External"/>
<Relationship Id="rHl52" Type="http://schemas.openxmlformats.org/officeDocument/2006/relationships/hyperlink" Target="https://www.eqvista.com/pricing/" TargetMode="External"/>
<Relationship Id="rHl53" Type="http://schemas.openxmlformats.org/officeDocument/2006/relationships/hyperlink" Target="https://www.g2.com/products/crunchbase/pricing" TargetMode="External"/>
<Relationship Id="rHl54" Type="http://schemas.openxmlformats.org/officeDocument/2006/relationships/hyperlink" Target="https://www.vendr.com/marketplace/crunchbase" TargetMode="External"/>
<Relationship Id="rHl55" Type="http://schemas.openxmlformats.org/officeDocument/2006/relationships/hyperlink" Target="https://techcrunch.com/2019/10/31/crunchbase-raises-30m-more-to-double-down-on-its-ambition-to-be-a-linkedin-for-company-data/amp" TargetMode="External"/>
<Relationship Id="rHl56" Type="http://schemas.openxmlformats.org/officeDocument/2006/relationships/hyperlink" Target="https://www.vendr.com/marketplace/pitchbook" TargetMode="External"/>
<Relationship Id="rHl57" Type="http://schemas.openxmlformats.org/officeDocument/2006/relationships/hyperlink" Target="https://easyvc.ai/vs/pitchbook-pricing/" TargetMode="External"/>
<Relationship Id="rHl58" Type="http://schemas.openxmlformats.org/officeDocument/2006/relationships/hyperlink" Target="https://newsroom.morningstar.com/newsroom/news-archive/press-release-details/2016/Morningstar-to-Acquire-PitchBook-Data-Agreement-Will-Combine-Leading-Providers-of-Public-and-Private-Company-Research10142016/default.aspx" TargetMode="External"/>
<Relationship Id="rHl59" Type="http://schemas.openxmlformats.org/officeDocument/2006/relationships/hyperlink" Target="https://foundersuite.com/pricing" TargetMode="External"/>
<Relationship Id="rHl60" Type="http://schemas.openxmlformats.org/officeDocument/2006/relationships/hyperlink" Target="https://www.equidam.com/equidam-mcp-startup-valuation-ai/" TargetMode="External"/>
<Relationship Id="rHl61" Type="http://schemas.openxmlformats.org/officeDocument/2006/relationships/hyperlink" Target="https://carta.com/product-updates/2026-erp-product-roadmap/" TargetMode="External"/>
<Relationship Id="rHl62" Type="http://schemas.openxmlformats.org/officeDocument/2006/relationships/hyperlink" Target="https://carta.com/blog/automating-valuation-workflow/" TargetMode="External"/>
<Relationship Id="rHl63" Type="http://schemas.openxmlformats.org/officeDocument/2006/relationships/hyperlink" Target="https://juristech.net/juristechs-2026-llm-benchmark-for-ai-hallucination-in-finance/" TargetMode="External"/>
<Relationship Id="rHl64" Type="http://schemas.openxmlformats.org/officeDocument/2006/relationships/hyperlink" Target="https://arxiv.org/pdf/2603.08704" TargetMode="External"/>
<Relationship Id="rHl65" Type="http://schemas.openxmlformats.org/officeDocument/2006/relationships/hyperlink" Target="https://juristech.net/best-llm-tools-for-financial-analysis-2026/" TargetMode="External"/>
<Relationship Id="rHl66" Type="http://schemas.openxmlformats.org/officeDocument/2006/relationships/hyperlink" Target="https://darroweverett.com/using-an-unregistered-broker-dealer-for-capital-raising-is-a-risky-proposition/" TargetMode="External"/>
<Relationship Id="rHl67" Type="http://schemas.openxmlformats.org/officeDocument/2006/relationships/hyperlink" Target="https://www.nelsonmullins.com/insights/alerts/private-funds-and-investment-management-reports/all/private-funds-and-unregistered-finders-how-fund-sponsors-can-avoid-unnecessary-risk" TargetMode="External"/>
<Relationship Id="rHl68" Type="http://schemas.openxmlformats.org/officeDocument/2006/relationships/hyperlink" Target="https://www.sec.gov/resources-small-businesses/small-business-compliance-guides/registration-funding-portals" TargetMode="External"/>
<Relationship Id="rHl69" Type="http://schemas.openxmlformats.org/officeDocument/2006/relationships/hyperlink" Target="https://www.equidam.com/five-startup-valuation-methods/" TargetMode="External"/>
<Relationship Id="rHl70" Type="http://schemas.openxmlformats.org/officeDocument/2006/relationships/hyperlink" Target="https://www.startupdaily.net/advice/equidams-technology-allows-startups-see-valuation-real-time-fraction-price/" TargetMode="External"/>
</Relationships>
</file>