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App Names, Updated: Longevity and Lifestyle Eater App</w:t>
      </w:r>
    </w:p>
    <w:p>
      <w:r>
        <w:rPr>
          <w:b/>
        </w:rPr>
        <w:t xml:space="preserve">Checked:</w:t>
      </w:r>
      <w:r>
        <w:t xml:space="preserve"> 2026-10-14 · </w:t>
      </w:r>
      <w:r>
        <w:rPr>
          <w:b/>
        </w:rPr>
        <w:t xml:space="preserve">Project:</w:t>
      </w:r>
      <w:r>
        <w:t xml:space="preserve"> 07_DietGroceryApp · </w:t>
      </w:r>
      <w:r>
        <w:rPr>
          <w:b/>
        </w:rPr>
        <w:t xml:space="preserve">Earlier list:</w:t>
      </w:r>
      <w:r>
        <w:t xml:space="preserve"> </w:t>
      </w:r>
      <w:r>
        <w:rPr>
          <w:rFonts w:ascii="Consolas" w:hAnsi="Consolas"/>
        </w:rPr>
        <w:t xml:space="preserve">appnames.md</w:t>
      </w:r>
      <w:r>
        <w:t xml:space="preserve"> (2026-09-29, GLP-1 and diet positioning)</w:t>
      </w:r>
    </w:p>
    <w:p>
      <w:r>
        <w:rPr>
          <w:b/>
        </w:rPr>
        <w:t xml:space="preserve">The repositioned product:</w:t>
      </w:r>
      <w:r>
        <w:t xml:space="preserve"> an app for people who eat to live longer and better, not only to lose weight. It pulls together their longevity nutrition goals (protein, fiber, plants, polyphenols, healthy fats, eating to about 80% full), recipes and lifestyle preferences. An AI agent then orders the groceries and has them delivered. GLP-1 users can still be one audience inside it.</w:t>
      </w:r>
    </w:p>
    <w:p>
      <w:r>
        <w:rPr>
          <w:b/>
        </w:rPr>
        <w:t xml:space="preserve">Why the old names don't carry over:</w:t>
      </w:r>
      <w:r>
        <w:t xml:space="preserve"> SatietyCart and HushPlate (the live landing-page name) are built around GLP-1 language like "satiety" and "food noise." A longevity eater thinks in terms of years, healthspan, the Mediterranean and Okinawan ways of eating, and a well-stocked kitchen. HushPlate could stay as the name of a GLP-1 product line, but it would undersell a longevity app.</w:t>
      </w:r>
    </w:p>
    <w:p>
      <w:r>
        <w:rPr>
          <w:b/>
        </w:rPr>
        <w:t xml:space="preserve">How "not already taken" was checked:</w:t>
      </w:r>
      <w:r>
        <w:t xml:space="preserve"> this was the same screen as the first list, run on 70 new candidates. Each name was checked on the US App Store, US Google Play, live USPTO trademarks (exact, then a fuzzy look-alike pass on 19 finalists), and .com, .app and get[name].com registration. The top finalists were also web-searched. Method, sources and the full table are in </w:t>
      </w:r>
      <w:r>
        <w:rPr>
          <w:rFonts w:ascii="Consolas" w:hAnsi="Consolas"/>
        </w:rPr>
        <w:t xml:space="preserve">AppNames_Research-LONGEVITYUPDATED.docx</w:t>
      </w:r>
      <w:r>
        <w:t xml:space="preserve">.</w:t>
      </w:r>
    </w:p>
    <w:p>
      <w:r>
        <w:rPr>
          <w:b/>
        </w:rPr>
        <w:t xml:space="preserve">This is a first screen, not a legal clearance.</w:t>
      </w:r>
      <w:r>
        <w:t xml:space="preserve"> Have a trademark attorney run a full search before you commit.</w:t>
      </w:r>
    </w:p>
    <w:p>
      <w:pPr>
        <w:pBdr>
          <w:bottom w:val="single" w:sz="6" w:space="6" w:color="C9CCD1"/>
        </w:pBdr>
      </w:pPr>
    </w:p>
    <w:p>
      <w:pPr>
        <w:pStyle w:val="Heading1"/>
      </w:pPr>
      <w:r>
        <w:t xml:space="preserve">Words to stay away from</w:t>
      </w:r>
    </w:p>
    <w:p>
      <w:r>
        <w:t xml:space="preserve">Several obvious longevity words are already owned or crowded. A name built on them would be hard to register and could draw a challenge.</w:t>
      </w:r>
    </w:p>
    <w:p>
      <w:pPr>
        <w:numPr>
          <w:ilvl w:val="0"/>
          <w:numId w:val="1"/>
        </w:numPr>
      </w:pPr>
      <w:r>
        <w:rPr>
          <w:b/>
        </w:rPr>
        <w:t xml:space="preserve">Blue Zones:</w:t>
      </w:r>
      <w:r>
        <w:t xml:space="preserve"> 56 live US trademarks, most owned by Blue Zones, LLC, including software (class 42) and health services (class 44).</w:t>
      </w:r>
    </w:p>
    <w:p>
      <w:pPr>
        <w:numPr>
          <w:ilvl w:val="0"/>
          <w:numId w:val="1"/>
        </w:numPr>
      </w:pPr>
      <w:r>
        <w:rPr>
          <w:b/>
        </w:rPr>
        <w:t xml:space="preserve">Healthspan:</w:t>
      </w:r>
      <w:r>
        <w:t xml:space="preserve"> 42 live marks, including HEALTHSPAN in software classes 9, 35 and 42. That's why Healthspan Cart and Healthspan Kitchen were ruled out even though their domains are open.</w:t>
      </w:r>
    </w:p>
    <w:p>
      <w:pPr>
        <w:numPr>
          <w:ilvl w:val="0"/>
          <w:numId w:val="1"/>
        </w:numPr>
      </w:pPr>
      <w:r>
        <w:rPr>
          <w:b/>
        </w:rPr>
        <w:t xml:space="preserve">Ikigai:</w:t>
      </w:r>
      <w:r>
        <w:t xml:space="preserve"> 27 live marks.</w:t>
      </w:r>
    </w:p>
    <w:p>
      <w:pPr>
        <w:numPr>
          <w:ilvl w:val="0"/>
          <w:numId w:val="1"/>
        </w:numPr>
      </w:pPr>
      <w:r>
        <w:rPr>
          <w:b/>
        </w:rPr>
        <w:t xml:space="preserve">Telomere and lifespan claims:</w:t>
      </w:r>
      <w:r>
        <w:t xml:space="preserve"> a name that promises a biological result (longer telomeres, more years) invites questions about whether the app can back that up. The FTC requires health claims to have competent and reliable scientific evidence behind them (</w:t>
      </w:r>
      <w:hyperlink r:id="rHl1">
        <w:r>
          <w:rPr>
            <w:rStyle w:val="Hyperlink"/>
          </w:rPr>
          <w:t xml:space="preserve">FTC Health Products Compliance Guidance</w:t>
        </w:r>
      </w:hyperlink>
      <w:r>
        <w:t xml:space="preserve">). Names that suggest a way of life are safer than names that suggest a medical outcome.</w:t>
      </w:r>
    </w:p>
    <w:p>
      <w:pPr>
        <w:pStyle w:val="Heading1"/>
      </w:pPr>
      <w:r>
        <w:t xml:space="preserve">Top 10 longevity names: clean on every check, and the .com is unregistered</w:t>
      </w:r>
    </w:p>
    <w:p>
      <w:r>
        <w:t xml:space="preserve">None of these had a matching app on either US store or a live exact USPTO mark. For each, </w:t>
      </w:r>
      <w:r>
        <w:rPr>
          <w:b/>
        </w:rPr>
        <w:t xml:space="preserve">name.com</w:t>
      </w:r>
      <w:r>
        <w:t xml:space="preserve">, </w:t>
      </w:r>
      <w:r>
        <w:rPr>
          <w:b/>
        </w:rPr>
        <w:t xml:space="preserve">name.app</w:t>
      </w:r>
      <w:r>
        <w:t xml:space="preserve"> and </w:t>
      </w:r>
      <w:r>
        <w:rPr>
          <w:b/>
        </w:rPr>
        <w:t xml:space="preserve">getname.com</w:t>
      </w:r>
      <w:r>
        <w:t xml:space="preserve"> were all unregistered on 2026-10-14.</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Rank</w:t>
            </w:r>
          </w:p>
        </w:tc>
        <w:tc>
          <w:tcPr>
            <w:tcW w:w="2520" w:type="dxa"/>
            <w:shd w:val="clear" w:color="auto" w:fill="EFF1F3"/>
          </w:tcPr>
          <w:p>
            <w:pPr>
              <w:spacing w:before="40" w:after="40"/>
            </w:pPr>
            <w:r>
              <w:rPr>
                <w:b/>
                <w:sz w:val="18"/>
              </w:rPr>
              <w:t xml:space="preserve">Name</w:t>
            </w:r>
          </w:p>
        </w:tc>
        <w:tc>
          <w:tcPr>
            <w:tcW w:w="2520" w:type="dxa"/>
            <w:shd w:val="clear" w:color="auto" w:fill="EFF1F3"/>
          </w:tcPr>
          <w:p>
            <w:pPr>
              <w:spacing w:before="40" w:after="40"/>
            </w:pPr>
            <w:r>
              <w:rPr>
                <w:b/>
                <w:sz w:val="18"/>
              </w:rPr>
              <w:t xml:space="preserve">Why it fits</w:t>
            </w:r>
          </w:p>
        </w:tc>
        <w:tc>
          <w:tcPr>
            <w:tcW w:w="2520" w:type="dxa"/>
            <w:shd w:val="clear" w:color="auto" w:fill="EFF1F3"/>
          </w:tcPr>
          <w:p>
            <w:pPr>
              <w:spacing w:before="40" w:after="40"/>
            </w:pPr>
            <w:r>
              <w:rPr>
                <w:b/>
                <w:sz w:val="18"/>
              </w:rPr>
              <w:t xml:space="preserve">Watch-outs</w:t>
            </w:r>
          </w:p>
        </w:tc>
      </w:tr>
      <w:tr>
        <w:tc>
          <w:tcPr>
            <w:tcW w:w="2520" w:type="dxa"/>
          </w:tcPr>
          <w:p>
            <w:pPr>
              <w:spacing w:before="40" w:after="40"/>
            </w:pPr>
            <w:r>
              <w:rPr>
                <w:sz w:val="18"/>
              </w:rPr>
              <w:t xml:space="preserve">1</w:t>
            </w:r>
          </w:p>
        </w:tc>
        <w:tc>
          <w:tcPr>
            <w:tcW w:w="2520" w:type="dxa"/>
          </w:tcPr>
          <w:p>
            <w:pPr>
              <w:spacing w:before="40" w:after="40"/>
            </w:pPr>
            <w:r>
              <w:rPr>
                <w:b/>
                <w:sz w:val="18"/>
              </w:rPr>
              <w:t xml:space="preserve">Hundred Table</w:t>
            </w:r>
          </w:p>
        </w:tc>
        <w:tc>
          <w:tcPr>
            <w:tcW w:w="2520" w:type="dxa"/>
          </w:tcPr>
          <w:p>
            <w:pPr>
              <w:spacing w:before="40" w:after="40"/>
            </w:pPr>
            <w:r>
              <w:rPr>
                <w:sz w:val="18"/>
              </w:rPr>
              <w:t xml:space="preserve">"Live to 100" plus the shared table, which is central to Mediterranean and Blue Zones-style eating. It feels like a lifestyle, not a diet.</w:t>
            </w:r>
          </w:p>
        </w:tc>
        <w:tc>
          <w:tcPr>
            <w:tcW w:w="2520" w:type="dxa"/>
          </w:tcPr>
          <w:p>
            <w:pPr>
              <w:spacing w:before="40" w:after="40"/>
            </w:pPr>
            <w:r>
              <w:rPr>
                <w:sz w:val="18"/>
              </w:rPr>
              <w:t xml:space="preserve">A Spanish burger chain has an ordering app called HUNDRED. One Hundred Tables was a 2013 restaurant directory. Both are different names. Low risk.</w:t>
            </w:r>
          </w:p>
        </w:tc>
      </w:tr>
      <w:tr>
        <w:tc>
          <w:tcPr>
            <w:tcW w:w="2520" w:type="dxa"/>
          </w:tcPr>
          <w:p>
            <w:pPr>
              <w:spacing w:before="40" w:after="40"/>
            </w:pPr>
            <w:r>
              <w:rPr>
                <w:sz w:val="18"/>
              </w:rPr>
              <w:t xml:space="preserve">2</w:t>
            </w:r>
          </w:p>
        </w:tc>
        <w:tc>
          <w:tcPr>
            <w:tcW w:w="2520" w:type="dxa"/>
          </w:tcPr>
          <w:p>
            <w:pPr>
              <w:spacing w:before="40" w:after="40"/>
            </w:pPr>
            <w:r>
              <w:rPr>
                <w:b/>
                <w:sz w:val="18"/>
              </w:rPr>
              <w:t xml:space="preserve">Olive Years</w:t>
            </w:r>
          </w:p>
        </w:tc>
        <w:tc>
          <w:tcPr>
            <w:tcW w:w="2520" w:type="dxa"/>
          </w:tcPr>
          <w:p>
            <w:pPr>
              <w:spacing w:before="40" w:after="40"/>
            </w:pPr>
            <w:r>
              <w:rPr>
                <w:sz w:val="18"/>
              </w:rPr>
              <w:t xml:space="preserve">The Mediterranean diet in two words. Olive trees live for thousands of years. Warm and premium.</w:t>
            </w:r>
          </w:p>
        </w:tc>
        <w:tc>
          <w:tcPr>
            <w:tcW w:w="2520" w:type="dxa"/>
          </w:tcPr>
          <w:p>
            <w:pPr>
              <w:spacing w:before="40" w:after="40"/>
            </w:pPr>
            <w:r>
              <w:rPr>
                <w:sz w:val="18"/>
              </w:rPr>
              <w:t xml:space="preserve">Search results are mostly about olive oil and olive magazine. No company uses the name.</w:t>
            </w:r>
          </w:p>
        </w:tc>
      </w:tr>
      <w:tr>
        <w:tc>
          <w:tcPr>
            <w:tcW w:w="2520" w:type="dxa"/>
          </w:tcPr>
          <w:p>
            <w:pPr>
              <w:spacing w:before="40" w:after="40"/>
            </w:pPr>
            <w:r>
              <w:rPr>
                <w:sz w:val="18"/>
              </w:rPr>
              <w:t xml:space="preserve">3</w:t>
            </w:r>
          </w:p>
        </w:tc>
        <w:tc>
          <w:tcPr>
            <w:tcW w:w="2520" w:type="dxa"/>
          </w:tcPr>
          <w:p>
            <w:pPr>
              <w:spacing w:before="40" w:after="40"/>
            </w:pPr>
            <w:r>
              <w:rPr>
                <w:b/>
                <w:sz w:val="18"/>
              </w:rPr>
              <w:t xml:space="preserve">Eightyfull</w:t>
            </w:r>
          </w:p>
        </w:tc>
        <w:tc>
          <w:tcPr>
            <w:tcW w:w="2520" w:type="dxa"/>
          </w:tcPr>
          <w:p>
            <w:pPr>
              <w:spacing w:before="40" w:after="40"/>
            </w:pPr>
            <w:r>
              <w:rPr>
                <w:sz w:val="18"/>
              </w:rPr>
              <w:t xml:space="preserve">From *hara hachi bu*, the Okinawan habit of eating until 80% full. This is the bridge name: it fits longevity eaters and still makes sense to GLP-1 users who already eat less.</w:t>
            </w:r>
          </w:p>
        </w:tc>
        <w:tc>
          <w:tcPr>
            <w:tcW w:w="2520" w:type="dxa"/>
          </w:tcPr>
          <w:p>
            <w:pPr>
              <w:spacing w:before="40" w:after="40"/>
            </w:pPr>
            <w:r>
              <w:rPr>
                <w:sz w:val="18"/>
              </w:rPr>
              <w:t xml:space="preserve">The nearest mark is MIGHTYFULL (cookies, class 30). Low risk. Spelling needs a logo that shows "80."</w:t>
            </w:r>
          </w:p>
        </w:tc>
      </w:tr>
      <w:tr>
        <w:tc>
          <w:tcPr>
            <w:tcW w:w="2520" w:type="dxa"/>
          </w:tcPr>
          <w:p>
            <w:pPr>
              <w:spacing w:before="40" w:after="40"/>
            </w:pPr>
            <w:r>
              <w:rPr>
                <w:sz w:val="18"/>
              </w:rPr>
              <w:t xml:space="preserve">4</w:t>
            </w:r>
          </w:p>
        </w:tc>
        <w:tc>
          <w:tcPr>
            <w:tcW w:w="2520" w:type="dxa"/>
          </w:tcPr>
          <w:p>
            <w:pPr>
              <w:spacing w:before="40" w:after="40"/>
            </w:pPr>
            <w:r>
              <w:rPr>
                <w:b/>
                <w:sz w:val="18"/>
              </w:rPr>
              <w:t xml:space="preserve">Longlarder</w:t>
            </w:r>
          </w:p>
        </w:tc>
        <w:tc>
          <w:tcPr>
            <w:tcW w:w="2520" w:type="dxa"/>
          </w:tcPr>
          <w:p>
            <w:pPr>
              <w:spacing w:before="40" w:after="40"/>
            </w:pPr>
            <w:r>
              <w:rPr>
                <w:sz w:val="18"/>
              </w:rPr>
              <w:t xml:space="preserve">Long life plus a well-stocked larder, which is the AI agent's job. Unique and easy to own.</w:t>
            </w:r>
          </w:p>
        </w:tc>
        <w:tc>
          <w:tcPr>
            <w:tcW w:w="2520" w:type="dxa"/>
          </w:tcPr>
          <w:p>
            <w:pPr>
              <w:spacing w:before="40" w:after="40"/>
            </w:pPr>
            <w:r>
              <w:rPr>
                <w:sz w:val="18"/>
              </w:rPr>
              <w:t xml:space="preserve">"Larder" is a little old-fashioned for younger US buyers.</w:t>
            </w:r>
          </w:p>
        </w:tc>
      </w:tr>
      <w:tr>
        <w:tc>
          <w:tcPr>
            <w:tcW w:w="2520" w:type="dxa"/>
          </w:tcPr>
          <w:p>
            <w:pPr>
              <w:spacing w:before="40" w:after="40"/>
            </w:pPr>
            <w:r>
              <w:rPr>
                <w:sz w:val="18"/>
              </w:rPr>
              <w:t xml:space="preserve">5</w:t>
            </w:r>
          </w:p>
        </w:tc>
        <w:tc>
          <w:tcPr>
            <w:tcW w:w="2520" w:type="dxa"/>
          </w:tcPr>
          <w:p>
            <w:pPr>
              <w:spacing w:before="40" w:after="40"/>
            </w:pPr>
            <w:r>
              <w:rPr>
                <w:b/>
                <w:sz w:val="18"/>
              </w:rPr>
              <w:t xml:space="preserve">Telomeal</w:t>
            </w:r>
          </w:p>
        </w:tc>
        <w:tc>
          <w:tcPr>
            <w:tcW w:w="2520" w:type="dxa"/>
          </w:tcPr>
          <w:p>
            <w:pPr>
              <w:spacing w:before="40" w:after="40"/>
            </w:pPr>
            <w:r>
              <w:rPr>
                <w:sz w:val="18"/>
              </w:rPr>
              <w:t xml:space="preserve">Telomere + meal. Science-forward and memorable.</w:t>
            </w:r>
          </w:p>
        </w:tc>
        <w:tc>
          <w:tcPr>
            <w:tcW w:w="2520" w:type="dxa"/>
          </w:tcPr>
          <w:p>
            <w:pPr>
              <w:spacing w:before="40" w:after="40"/>
            </w:pPr>
            <w:r>
              <w:rPr>
                <w:sz w:val="18"/>
              </w:rPr>
              <w:t xml:space="preserve">It hints at a biological claim (see the FTC note above). TELOMERE (class 35) and TELONGEVITY (class 5) are near marks. Medium risk.</w:t>
            </w:r>
          </w:p>
        </w:tc>
      </w:tr>
      <w:tr>
        <w:tc>
          <w:tcPr>
            <w:tcW w:w="2520" w:type="dxa"/>
          </w:tcPr>
          <w:p>
            <w:pPr>
              <w:spacing w:before="40" w:after="40"/>
            </w:pPr>
            <w:r>
              <w:rPr>
                <w:sz w:val="18"/>
              </w:rPr>
              <w:t xml:space="preserve">6</w:t>
            </w:r>
          </w:p>
        </w:tc>
        <w:tc>
          <w:tcPr>
            <w:tcW w:w="2520" w:type="dxa"/>
          </w:tcPr>
          <w:p>
            <w:pPr>
              <w:spacing w:before="40" w:after="40"/>
            </w:pPr>
            <w:r>
              <w:rPr>
                <w:b/>
                <w:sz w:val="18"/>
              </w:rPr>
              <w:t xml:space="preserve">Ripe Years</w:t>
            </w:r>
          </w:p>
        </w:tc>
        <w:tc>
          <w:tcPr>
            <w:tcW w:w="2520" w:type="dxa"/>
          </w:tcPr>
          <w:p>
            <w:pPr>
              <w:spacing w:before="40" w:after="40"/>
            </w:pPr>
            <w:r>
              <w:rPr>
                <w:sz w:val="18"/>
              </w:rPr>
              <w:t xml:space="preserve">Comes from "a ripe old age." Playful and food-based.</w:t>
            </w:r>
          </w:p>
        </w:tc>
        <w:tc>
          <w:tcPr>
            <w:tcW w:w="2520" w:type="dxa"/>
          </w:tcPr>
          <w:p>
            <w:pPr>
              <w:spacing w:before="40" w:after="40"/>
            </w:pPr>
            <w:r>
              <w:rPr>
                <w:sz w:val="18"/>
              </w:rPr>
              <w:t xml:space="preserve">Searches pull up RIPE, the internet registry.</w:t>
            </w:r>
          </w:p>
        </w:tc>
      </w:tr>
      <w:tr>
        <w:tc>
          <w:tcPr>
            <w:tcW w:w="2520" w:type="dxa"/>
          </w:tcPr>
          <w:p>
            <w:pPr>
              <w:spacing w:before="40" w:after="40"/>
            </w:pPr>
            <w:r>
              <w:rPr>
                <w:sz w:val="18"/>
              </w:rPr>
              <w:t xml:space="preserve">7</w:t>
            </w:r>
          </w:p>
        </w:tc>
        <w:tc>
          <w:tcPr>
            <w:tcW w:w="2520" w:type="dxa"/>
          </w:tcPr>
          <w:p>
            <w:pPr>
              <w:spacing w:before="40" w:after="40"/>
            </w:pPr>
            <w:r>
              <w:rPr>
                <w:b/>
                <w:sz w:val="18"/>
              </w:rPr>
              <w:t xml:space="preserve">Century Pantry</w:t>
            </w:r>
          </w:p>
        </w:tc>
        <w:tc>
          <w:tcPr>
            <w:tcW w:w="2520" w:type="dxa"/>
          </w:tcPr>
          <w:p>
            <w:pPr>
              <w:spacing w:before="40" w:after="40"/>
            </w:pPr>
            <w:r>
              <w:rPr>
                <w:sz w:val="18"/>
              </w:rPr>
              <w:t xml:space="preserve">A pantry stocked for a hundred-year life. Clear about the ordering job.</w:t>
            </w:r>
          </w:p>
        </w:tc>
        <w:tc>
          <w:tcPr>
            <w:tcW w:w="2520" w:type="dxa"/>
          </w:tcPr>
          <w:p>
            <w:pPr>
              <w:spacing w:before="40" w:after="40"/>
            </w:pPr>
            <w:r>
              <w:rPr>
                <w:sz w:val="18"/>
              </w:rPr>
              <w:t xml:space="preserve">Century Components makes pantry cabinet organizers (different product).</w:t>
            </w:r>
          </w:p>
        </w:tc>
      </w:tr>
      <w:tr>
        <w:tc>
          <w:tcPr>
            <w:tcW w:w="2520" w:type="dxa"/>
          </w:tcPr>
          <w:p>
            <w:pPr>
              <w:spacing w:before="40" w:after="40"/>
            </w:pPr>
            <w:r>
              <w:rPr>
                <w:sz w:val="18"/>
              </w:rPr>
              <w:t xml:space="preserve">8</w:t>
            </w:r>
          </w:p>
        </w:tc>
        <w:tc>
          <w:tcPr>
            <w:tcW w:w="2520" w:type="dxa"/>
          </w:tcPr>
          <w:p>
            <w:pPr>
              <w:spacing w:before="40" w:after="40"/>
            </w:pPr>
            <w:r>
              <w:rPr>
                <w:b/>
                <w:sz w:val="18"/>
              </w:rPr>
              <w:t xml:space="preserve">Lifelong Larder</w:t>
            </w:r>
          </w:p>
        </w:tc>
        <w:tc>
          <w:tcPr>
            <w:tcW w:w="2520" w:type="dxa"/>
          </w:tcPr>
          <w:p>
            <w:pPr>
              <w:spacing w:before="40" w:after="40"/>
            </w:pPr>
            <w:r>
              <w:rPr>
                <w:sz w:val="18"/>
              </w:rPr>
              <w:t xml:space="preserve">Similar to Longlarder but easier to read.</w:t>
            </w:r>
          </w:p>
        </w:tc>
        <w:tc>
          <w:tcPr>
            <w:tcW w:w="2520" w:type="dxa"/>
          </w:tcPr>
          <w:p>
            <w:pPr>
              <w:spacing w:before="40" w:after="40"/>
            </w:pPr>
            <w:r>
              <w:rPr>
                <w:sz w:val="18"/>
              </w:rPr>
              <w:t xml:space="preserve">Long, at four syllables plus.</w:t>
            </w:r>
          </w:p>
        </w:tc>
      </w:tr>
      <w:tr>
        <w:tc>
          <w:tcPr>
            <w:tcW w:w="2520" w:type="dxa"/>
          </w:tcPr>
          <w:p>
            <w:pPr>
              <w:spacing w:before="40" w:after="40"/>
            </w:pPr>
            <w:r>
              <w:rPr>
                <w:sz w:val="18"/>
              </w:rPr>
              <w:t xml:space="preserve">9</w:t>
            </w:r>
          </w:p>
        </w:tc>
        <w:tc>
          <w:tcPr>
            <w:tcW w:w="2520" w:type="dxa"/>
          </w:tcPr>
          <w:p>
            <w:pPr>
              <w:spacing w:before="40" w:after="40"/>
            </w:pPr>
            <w:r>
              <w:rPr>
                <w:b/>
                <w:sz w:val="18"/>
              </w:rPr>
              <w:t xml:space="preserve">Oldgrowth Kitchen</w:t>
            </w:r>
          </w:p>
        </w:tc>
        <w:tc>
          <w:tcPr>
            <w:tcW w:w="2520" w:type="dxa"/>
          </w:tcPr>
          <w:p>
            <w:pPr>
              <w:spacing w:before="40" w:after="40"/>
            </w:pPr>
            <w:r>
              <w:rPr>
                <w:sz w:val="18"/>
              </w:rPr>
              <w:t xml:space="preserve">Old-growth forests are the longest-lived ecosystems. It has a calm, natural tone.</w:t>
            </w:r>
          </w:p>
        </w:tc>
        <w:tc>
          <w:tcPr>
            <w:tcW w:w="2520" w:type="dxa"/>
          </w:tcPr>
          <w:p>
            <w:pPr>
              <w:spacing w:before="40" w:after="40"/>
            </w:pPr>
            <w:r>
              <w:rPr>
                <w:sz w:val="18"/>
              </w:rPr>
              <w:t xml:space="preserve">OLD GROWTH ALCHEMY is a food mark (class 30). Low risk. Oldgrowth on its own is taken.</w:t>
            </w:r>
          </w:p>
        </w:tc>
      </w:tr>
      <w:tr>
        <w:tc>
          <w:tcPr>
            <w:tcW w:w="2520" w:type="dxa"/>
          </w:tcPr>
          <w:p>
            <w:pPr>
              <w:spacing w:before="40" w:after="40"/>
            </w:pPr>
            <w:r>
              <w:rPr>
                <w:sz w:val="18"/>
              </w:rPr>
              <w:t xml:space="preserve">10</w:t>
            </w:r>
          </w:p>
        </w:tc>
        <w:tc>
          <w:tcPr>
            <w:tcW w:w="2520" w:type="dxa"/>
          </w:tcPr>
          <w:p>
            <w:pPr>
              <w:spacing w:before="40" w:after="40"/>
            </w:pPr>
            <w:r>
              <w:rPr>
                <w:b/>
                <w:sz w:val="18"/>
              </w:rPr>
              <w:t xml:space="preserve">Okiplate</w:t>
            </w:r>
          </w:p>
        </w:tc>
        <w:tc>
          <w:tcPr>
            <w:tcW w:w="2520" w:type="dxa"/>
          </w:tcPr>
          <w:p>
            <w:pPr>
              <w:spacing w:before="40" w:after="40"/>
            </w:pPr>
            <w:r>
              <w:rPr>
                <w:sz w:val="18"/>
              </w:rPr>
              <w:t xml:space="preserve">Okinawa, the best-known longevity region, plus the plate. Short.</w:t>
            </w:r>
          </w:p>
        </w:tc>
        <w:tc>
          <w:tcPr>
            <w:tcW w:w="2520" w:type="dxa"/>
          </w:tcPr>
          <w:p>
            <w:pPr>
              <w:spacing w:before="40" w:after="40"/>
            </w:pPr>
            <w:r>
              <w:rPr>
                <w:sz w:val="18"/>
              </w:rPr>
              <w:t xml:space="preserve">It borrows from a real place and culture, so use it respectfully. Some people may not catch the reference.</w:t>
            </w:r>
          </w:p>
        </w:tc>
      </w:tr>
    </w:tbl>
    <w:p>
      <w:pPr>
        <w:spacing w:after="0"/>
      </w:pPr>
    </w:p>
    <w:p>
      <w:r>
        <w:rPr>
          <w:b/>
        </w:rPr>
        <w:t xml:space="preserve">Also clean, with .com, .app and get- open:</w:t>
      </w:r>
      <w:r>
        <w:t xml:space="preserve"> Steadfork, Seasonspan, Mitoplate (mitochondria + plate), Centplate, Lifespan Larder, Polyphenol Pantry, Livelong Kitchen, Yearsful, Ageproof Pantry, Decades Kitchen, Agelesscart, Longevicart, Hara Plate. Hara Plate sits close to HARA HACHI BU NOODLES (class 30).</w:t>
      </w:r>
    </w:p>
    <w:p>
      <w:pPr>
        <w:pStyle w:val="Heading1"/>
      </w:pPr>
      <w:r>
        <w:t xml:space="preserve">Next tier: clean on stores and USPTO, but the exact .com is already registered</w:t>
      </w:r>
    </w:p>
    <w:p>
      <w:r>
        <w:t xml:space="preserve">Each of these can launch on the open </w:t>
      </w:r>
      <w:r>
        <w:rPr>
          <w:b/>
        </w:rPr>
        <w:t xml:space="preserve">name.app</w:t>
      </w:r>
      <w:r>
        <w:t xml:space="preserve"> and </w:t>
      </w:r>
      <w:r>
        <w:rPr>
          <w:b/>
        </w:rPr>
        <w:t xml:space="preserve">getname.com</w:t>
      </w:r>
      <w:r>
        <w:t xml:space="preserv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Name</w:t>
            </w:r>
          </w:p>
        </w:tc>
        <w:tc>
          <w:tcPr>
            <w:tcW w:w="5040" w:type="dxa"/>
            <w:shd w:val="clear" w:color="auto" w:fill="EFF1F3"/>
          </w:tcPr>
          <w:p>
            <w:pPr>
              <w:spacing w:before="40" w:after="40"/>
            </w:pPr>
            <w:r>
              <w:rPr>
                <w:b/>
                <w:sz w:val="18"/>
              </w:rPr>
              <w:t xml:space="preserve">Idea</w:t>
            </w:r>
          </w:p>
        </w:tc>
      </w:tr>
      <w:tr>
        <w:tc>
          <w:tcPr>
            <w:tcW w:w="5040" w:type="dxa"/>
          </w:tcPr>
          <w:p>
            <w:pPr>
              <w:spacing w:before="40" w:after="40"/>
            </w:pPr>
            <w:r>
              <w:rPr>
                <w:b/>
                <w:sz w:val="18"/>
              </w:rPr>
              <w:t xml:space="preserve">Longplate</w:t>
            </w:r>
          </w:p>
        </w:tc>
        <w:tc>
          <w:tcPr>
            <w:tcW w:w="5040" w:type="dxa"/>
          </w:tcPr>
          <w:p>
            <w:pPr>
              <w:spacing w:before="40" w:after="40"/>
            </w:pPr>
            <w:r>
              <w:rPr>
                <w:sz w:val="18"/>
              </w:rPr>
              <w:t xml:space="preserve">Long life, one plate</w:t>
            </w:r>
          </w:p>
        </w:tc>
      </w:tr>
      <w:tr>
        <w:tc>
          <w:tcPr>
            <w:tcW w:w="5040" w:type="dxa"/>
          </w:tcPr>
          <w:p>
            <w:pPr>
              <w:spacing w:before="40" w:after="40"/>
            </w:pPr>
            <w:r>
              <w:rPr>
                <w:b/>
                <w:sz w:val="18"/>
              </w:rPr>
              <w:t xml:space="preserve">Longcart</w:t>
            </w:r>
          </w:p>
        </w:tc>
        <w:tc>
          <w:tcPr>
            <w:tcW w:w="5040" w:type="dxa"/>
          </w:tcPr>
          <w:p>
            <w:pPr>
              <w:spacing w:before="40" w:after="40"/>
            </w:pPr>
            <w:r>
              <w:rPr>
                <w:sz w:val="18"/>
              </w:rPr>
              <w:t xml:space="preserve">Long life plus the cart the agent fills</w:t>
            </w:r>
          </w:p>
        </w:tc>
      </w:tr>
      <w:tr>
        <w:tc>
          <w:tcPr>
            <w:tcW w:w="5040" w:type="dxa"/>
          </w:tcPr>
          <w:p>
            <w:pPr>
              <w:spacing w:before="40" w:after="40"/>
            </w:pPr>
            <w:r>
              <w:rPr>
                <w:b/>
                <w:sz w:val="18"/>
              </w:rPr>
              <w:t xml:space="preserve">Evertable</w:t>
            </w:r>
          </w:p>
        </w:tc>
        <w:tc>
          <w:tcPr>
            <w:tcW w:w="5040" w:type="dxa"/>
          </w:tcPr>
          <w:p>
            <w:pPr>
              <w:spacing w:before="40" w:after="40"/>
            </w:pPr>
            <w:r>
              <w:rPr>
                <w:sz w:val="18"/>
              </w:rPr>
              <w:t xml:space="preserve">A table that lasts</w:t>
            </w:r>
          </w:p>
        </w:tc>
      </w:tr>
      <w:tr>
        <w:tc>
          <w:tcPr>
            <w:tcW w:w="5040" w:type="dxa"/>
          </w:tcPr>
          <w:p>
            <w:pPr>
              <w:spacing w:before="40" w:after="40"/>
            </w:pPr>
            <w:r>
              <w:rPr>
                <w:b/>
                <w:sz w:val="18"/>
              </w:rPr>
              <w:t xml:space="preserve">Oliveyard</w:t>
            </w:r>
          </w:p>
        </w:tc>
        <w:tc>
          <w:tcPr>
            <w:tcW w:w="5040" w:type="dxa"/>
          </w:tcPr>
          <w:p>
            <w:pPr>
              <w:spacing w:before="40" w:after="40"/>
            </w:pPr>
            <w:r>
              <w:rPr>
                <w:sz w:val="18"/>
              </w:rPr>
              <w:t xml:space="preserve">Mediterranean grove</w:t>
            </w:r>
          </w:p>
        </w:tc>
      </w:tr>
      <w:tr>
        <w:tc>
          <w:tcPr>
            <w:tcW w:w="5040" w:type="dxa"/>
          </w:tcPr>
          <w:p>
            <w:pPr>
              <w:spacing w:before="40" w:after="40"/>
            </w:pPr>
            <w:r>
              <w:rPr>
                <w:b/>
                <w:sz w:val="18"/>
              </w:rPr>
              <w:t xml:space="preserve">Grovecart</w:t>
            </w:r>
          </w:p>
        </w:tc>
        <w:tc>
          <w:tcPr>
            <w:tcW w:w="5040" w:type="dxa"/>
          </w:tcPr>
          <w:p>
            <w:pPr>
              <w:spacing w:before="40" w:after="40"/>
            </w:pPr>
            <w:r>
              <w:rPr>
                <w:sz w:val="18"/>
              </w:rPr>
              <w:t xml:space="preserve">Grove plus cart</w:t>
            </w:r>
          </w:p>
        </w:tc>
      </w:tr>
      <w:tr>
        <w:tc>
          <w:tcPr>
            <w:tcW w:w="5040" w:type="dxa"/>
          </w:tcPr>
          <w:p>
            <w:pPr>
              <w:spacing w:before="40" w:after="40"/>
            </w:pPr>
            <w:r>
              <w:rPr>
                <w:b/>
                <w:sz w:val="18"/>
              </w:rPr>
              <w:t xml:space="preserve">Sage Pantry</w:t>
            </w:r>
            <w:r>
              <w:rPr>
                <w:sz w:val="18"/>
              </w:rPr>
              <w:t xml:space="preserve"> / </w:t>
            </w:r>
            <w:r>
              <w:rPr>
                <w:b/>
                <w:sz w:val="18"/>
              </w:rPr>
              <w:t xml:space="preserve">Sagecart</w:t>
            </w:r>
          </w:p>
        </w:tc>
        <w:tc>
          <w:tcPr>
            <w:tcW w:w="5040" w:type="dxa"/>
          </w:tcPr>
          <w:p>
            <w:pPr>
              <w:spacing w:before="40" w:after="40"/>
            </w:pPr>
            <w:r>
              <w:rPr>
                <w:sz w:val="18"/>
              </w:rPr>
              <w:t xml:space="preserve">Sage the herb, and sage as in wise elder</w:t>
            </w:r>
          </w:p>
        </w:tc>
      </w:tr>
      <w:tr>
        <w:tc>
          <w:tcPr>
            <w:tcW w:w="5040" w:type="dxa"/>
          </w:tcPr>
          <w:p>
            <w:pPr>
              <w:spacing w:before="40" w:after="40"/>
            </w:pPr>
            <w:r>
              <w:rPr>
                <w:b/>
                <w:sz w:val="18"/>
              </w:rPr>
              <w:t xml:space="preserve">Plantspan</w:t>
            </w:r>
          </w:p>
        </w:tc>
        <w:tc>
          <w:tcPr>
            <w:tcW w:w="5040" w:type="dxa"/>
          </w:tcPr>
          <w:p>
            <w:pPr>
              <w:spacing w:before="40" w:after="40"/>
            </w:pPr>
            <w:r>
              <w:rPr>
                <w:sz w:val="18"/>
              </w:rPr>
              <w:t xml:space="preserve">Plant-forward healthspan, without the crowded word</w:t>
            </w:r>
          </w:p>
        </w:tc>
      </w:tr>
      <w:tr>
        <w:tc>
          <w:tcPr>
            <w:tcW w:w="5040" w:type="dxa"/>
          </w:tcPr>
          <w:p>
            <w:pPr>
              <w:spacing w:before="40" w:after="40"/>
            </w:pPr>
            <w:r>
              <w:rPr>
                <w:b/>
                <w:sz w:val="18"/>
              </w:rPr>
              <w:t xml:space="preserve">Verdant Table</w:t>
            </w:r>
          </w:p>
        </w:tc>
        <w:tc>
          <w:tcPr>
            <w:tcW w:w="5040" w:type="dxa"/>
          </w:tcPr>
          <w:p>
            <w:pPr>
              <w:spacing w:before="40" w:after="40"/>
            </w:pPr>
            <w:r>
              <w:rPr>
                <w:sz w:val="18"/>
              </w:rPr>
              <w:t xml:space="preserve">Green, plant-rich eating</w:t>
            </w:r>
          </w:p>
        </w:tc>
      </w:tr>
      <w:tr>
        <w:tc>
          <w:tcPr>
            <w:tcW w:w="5040" w:type="dxa"/>
          </w:tcPr>
          <w:p>
            <w:pPr>
              <w:spacing w:before="40" w:after="40"/>
            </w:pPr>
            <w:r>
              <w:rPr>
                <w:b/>
                <w:sz w:val="18"/>
              </w:rPr>
              <w:t xml:space="preserve">Vitalcart</w:t>
            </w:r>
          </w:p>
        </w:tc>
        <w:tc>
          <w:tcPr>
            <w:tcW w:w="5040" w:type="dxa"/>
          </w:tcPr>
          <w:p>
            <w:pPr>
              <w:spacing w:before="40" w:after="40"/>
            </w:pPr>
            <w:r>
              <w:rPr>
                <w:sz w:val="18"/>
              </w:rPr>
              <w:t xml:space="preserve">Vitality plus cart</w:t>
            </w:r>
          </w:p>
        </w:tc>
      </w:tr>
      <w:tr>
        <w:tc>
          <w:tcPr>
            <w:tcW w:w="5040" w:type="dxa"/>
          </w:tcPr>
          <w:p>
            <w:pPr>
              <w:spacing w:before="40" w:after="40"/>
            </w:pPr>
            <w:r>
              <w:rPr>
                <w:b/>
                <w:sz w:val="18"/>
              </w:rPr>
              <w:t xml:space="preserve">Evermeal</w:t>
            </w:r>
          </w:p>
        </w:tc>
        <w:tc>
          <w:tcPr>
            <w:tcW w:w="5040" w:type="dxa"/>
          </w:tcPr>
          <w:p>
            <w:pPr>
              <w:spacing w:before="40" w:after="40"/>
            </w:pPr>
            <w:r>
              <w:rPr>
                <w:sz w:val="18"/>
              </w:rPr>
              <w:t xml:space="preserve">Meals for the long run</w:t>
            </w:r>
          </w:p>
        </w:tc>
      </w:tr>
      <w:tr>
        <w:tc>
          <w:tcPr>
            <w:tcW w:w="5040" w:type="dxa"/>
          </w:tcPr>
          <w:p>
            <w:pPr>
              <w:spacing w:before="40" w:after="40"/>
            </w:pPr>
            <w:r>
              <w:rPr>
                <w:b/>
                <w:sz w:val="18"/>
              </w:rPr>
              <w:t xml:space="preserve">Wellyears</w:t>
            </w:r>
          </w:p>
        </w:tc>
        <w:tc>
          <w:tcPr>
            <w:tcW w:w="5040" w:type="dxa"/>
          </w:tcPr>
          <w:p>
            <w:pPr>
              <w:spacing w:before="40" w:after="40"/>
            </w:pPr>
            <w:r>
              <w:rPr>
                <w:sz w:val="18"/>
              </w:rPr>
              <w:t xml:space="preserve">Good years, not just more years</w:t>
            </w:r>
          </w:p>
        </w:tc>
      </w:tr>
      <w:tr>
        <w:tc>
          <w:tcPr>
            <w:tcW w:w="5040" w:type="dxa"/>
          </w:tcPr>
          <w:p>
            <w:pPr>
              <w:spacing w:before="40" w:after="40"/>
            </w:pPr>
            <w:r>
              <w:rPr>
                <w:b/>
                <w:sz w:val="18"/>
              </w:rPr>
              <w:t xml:space="preserve">Mitomeal</w:t>
            </w:r>
          </w:p>
        </w:tc>
        <w:tc>
          <w:tcPr>
            <w:tcW w:w="5040" w:type="dxa"/>
          </w:tcPr>
          <w:p>
            <w:pPr>
              <w:spacing w:before="40" w:after="40"/>
            </w:pPr>
            <w:r>
              <w:rPr>
                <w:sz w:val="18"/>
              </w:rPr>
              <w:t xml:space="preserve">Mitochondria-friendly meals (the same claim caution as Telomeal applies)</w:t>
            </w:r>
          </w:p>
        </w:tc>
      </w:tr>
    </w:tbl>
    <w:p>
      <w:pPr>
        <w:spacing w:after="0"/>
      </w:pPr>
    </w:p>
    <w:p>
      <w:pPr>
        <w:pStyle w:val="Heading1"/>
      </w:pPr>
      <w:r>
        <w:t xml:space="preserve">Checked and ruled out</w:t>
      </w:r>
    </w:p>
    <w:p>
      <w:pPr>
        <w:numPr>
          <w:ilvl w:val="0"/>
          <w:numId w:val="1"/>
        </w:numPr>
      </w:pPr>
      <w:r>
        <w:rPr>
          <w:b/>
        </w:rPr>
        <w:t xml:space="preserve">Healthspan Cart, Healthspan Kitchen:</w:t>
      </w:r>
      <w:r>
        <w:t xml:space="preserve"> the domains are open, but the word HEALTHSPAN is crowded with 42 live marks, some in software classes.</w:t>
      </w:r>
    </w:p>
    <w:p>
      <w:pPr>
        <w:numPr>
          <w:ilvl w:val="0"/>
          <w:numId w:val="1"/>
        </w:numPr>
      </w:pPr>
      <w:r>
        <w:rPr>
          <w:b/>
        </w:rPr>
        <w:t xml:space="preserve">Spanplate:</w:t>
      </w:r>
      <w:r>
        <w:t xml:space="preserve"> "Spanplatte" is German for particleboard, and that's all web search returns.</w:t>
      </w:r>
    </w:p>
    <w:p>
      <w:pPr>
        <w:numPr>
          <w:ilvl w:val="0"/>
          <w:numId w:val="1"/>
        </w:numPr>
      </w:pPr>
      <w:r>
        <w:rPr>
          <w:b/>
        </w:rPr>
        <w:t xml:space="preserve">Slowage:</w:t>
      </w:r>
      <w:r>
        <w:t xml:space="preserve"> "Slow Age – Food Aging Scanner" already exists on both stores.</w:t>
      </w:r>
    </w:p>
    <w:p>
      <w:pPr>
        <w:numPr>
          <w:ilvl w:val="0"/>
          <w:numId w:val="1"/>
        </w:numPr>
      </w:pPr>
      <w:r>
        <w:rPr>
          <w:b/>
        </w:rPr>
        <w:t xml:space="preserve">Vitaspan:</w:t>
      </w:r>
      <w:r>
        <w:t xml:space="preserve"> live VITASPAN mark (class 5), plus a "VitaSpan" Medicare app.</w:t>
      </w:r>
    </w:p>
    <w:p>
      <w:pPr>
        <w:numPr>
          <w:ilvl w:val="0"/>
          <w:numId w:val="1"/>
        </w:numPr>
      </w:pPr>
      <w:r>
        <w:rPr>
          <w:b/>
        </w:rPr>
        <w:t xml:space="preserve">Aevum:</w:t>
      </w:r>
      <w:r>
        <w:t xml:space="preserve"> three App Store apps, six Play apps and five live marks.</w:t>
      </w:r>
    </w:p>
    <w:p>
      <w:pPr>
        <w:numPr>
          <w:ilvl w:val="0"/>
          <w:numId w:val="1"/>
        </w:numPr>
      </w:pPr>
      <w:r>
        <w:rPr>
          <w:b/>
        </w:rPr>
        <w:t xml:space="preserve">Perennia, Spanwise, Primeplate, Tenthdecade, Tortoise Table, Oldgrowth:</w:t>
      </w:r>
      <w:r>
        <w:t xml:space="preserve"> an app with that name already exists on at least one store.</w:t>
      </w:r>
    </w:p>
    <w:p>
      <w:pPr>
        <w:numPr>
          <w:ilvl w:val="0"/>
          <w:numId w:val="1"/>
        </w:numPr>
      </w:pPr>
      <w:r>
        <w:rPr>
          <w:b/>
        </w:rPr>
        <w:t xml:space="preserve">Longevora, Aeviva, Evergrain, Everplate, SpanCart, Vivacart, Fiberfirst:</w:t>
      </w:r>
      <w:r>
        <w:t xml:space="preserve"> a live USPTO mark already exists under the exact name.</w:t>
      </w:r>
    </w:p>
    <w:p>
      <w:pPr>
        <w:pStyle w:val="Heading1"/>
      </w:pPr>
      <w:r>
        <w:t xml:space="preserve">Recommendation</w:t>
      </w:r>
    </w:p>
    <w:p>
      <w:r>
        <w:rPr>
          <w:b/>
        </w:rPr>
        <w:t xml:space="preserve">Lead with Hundred Table. Keep Olive Years as the backup.</w:t>
      </w:r>
      <w:r>
        <w:t xml:space="preserve"> Hundred Table is a lifestyle, not a diet. It points at the "live to 100" goal without making a medical promise, and it suits the shared-meal, Mediterranean way of eating. All its domains are open, and nothing in software or food uses the name.</w:t>
      </w:r>
    </w:p>
    <w:p>
      <w:r>
        <w:rPr>
          <w:b/>
        </w:rPr>
        <w:t xml:space="preserve">If you want to keep the GLP-1 users from the first version, use Eightyfull.</w:t>
      </w:r>
      <w:r>
        <w:t xml:space="preserve"> "Eat until 80% full" is a centuries-old longevity habit and a good description of how GLP-1 users already eat. That makes it the one name on this list that serves both audiences.</w:t>
      </w:r>
    </w:p>
    <w:p>
      <w:r>
        <w:t xml:space="preserve">Next steps for whichever name you pick:</w:t>
      </w:r>
    </w:p>
    <w:p>
      <w:pPr>
        <w:numPr>
          <w:ilvl w:val="0"/>
          <w:numId w:val="1"/>
        </w:numPr>
      </w:pPr>
      <w:r>
        <w:t xml:space="preserve">Register the .com, .app and get- domains.</w:t>
      </w:r>
    </w:p>
    <w:p>
      <w:pPr>
        <w:numPr>
          <w:ilvl w:val="0"/>
          <w:numId w:val="1"/>
        </w:numPr>
      </w:pPr>
      <w:r>
        <w:t xml:space="preserve">File a USPTO intent-to-use application in classes 9, 35 and 44.</w:t>
      </w:r>
    </w:p>
    <w:p>
      <w:pPr>
        <w:numPr>
          <w:ilvl w:val="0"/>
          <w:numId w:val="1"/>
        </w:numPr>
      </w:pPr>
      <w:r>
        <w:t xml:space="preserve">Have counsel run a full clearance search.</w:t>
      </w:r>
    </w:p>
    <w:p>
      <w:pPr>
        <w:numPr>
          <w:ilvl w:val="0"/>
          <w:numId w:val="1"/>
        </w:numPr>
      </w:pPr>
      <w:r>
        <w:t xml:space="preserve">If the brand moves away from HushPlate, update the landing page at hushplate.vercel.app.</w:t>
      </w:r>
    </w:p>
    <w:p>
      <w:r>
        <w:br w:type="page"/>
      </w:r>
    </w:p>
    <w:p>
      <w:pPr>
        <w:pStyle w:val="Title"/>
      </w:pPr>
      <w:r>
        <w:t xml:space="preserve">Longevity Name Screening Research</w:t>
      </w:r>
    </w:p>
    <w:p>
      <w:r>
        <w:rPr>
          <w:b/>
        </w:rPr>
        <w:t xml:space="preserve">Date run:</w:t>
      </w:r>
      <w:r>
        <w:t xml:space="preserve"> 2026-10-14 · </w:t>
      </w:r>
      <w:r>
        <w:rPr>
          <w:b/>
        </w:rPr>
        <w:t xml:space="preserve">Candidates screened:</w:t>
      </w:r>
      <w:r>
        <w:t xml:space="preserve"> 70 · </w:t>
      </w:r>
      <w:r>
        <w:rPr>
          <w:b/>
        </w:rPr>
        <w:t xml:space="preserve">Fuzzy trademark pass:</w:t>
      </w:r>
      <w:r>
        <w:t xml:space="preserve"> 19 finalists · </w:t>
      </w:r>
      <w:r>
        <w:rPr>
          <w:b/>
        </w:rPr>
        <w:t xml:space="preserve">Finalists web-searched:</w:t>
      </w:r>
      <w:r>
        <w:t xml:space="preserve"> 14</w:t>
      </w:r>
    </w:p>
    <w:p>
      <w:pPr>
        <w:pStyle w:val="Heading1"/>
      </w:pPr>
      <w:r>
        <w:t xml:space="preserve">How the names were generated</w:t>
      </w:r>
    </w:p>
    <w:p>
      <w:r>
        <w:t xml:space="preserve">Candidates came from six longevity and lifestyle angles:</w:t>
      </w:r>
    </w:p>
    <w:p>
      <w:pPr>
        <w:numPr>
          <w:ilvl w:val="0"/>
          <w:numId w:val="1"/>
        </w:numPr>
      </w:pPr>
      <w:r>
        <w:rPr>
          <w:b/>
        </w:rPr>
        <w:t xml:space="preserve">Time and age:</w:t>
      </w:r>
      <w:r>
        <w:t xml:space="preserve"> long, ever, century, hundred, decades, years, ripe, ageless.</w:t>
      </w:r>
    </w:p>
    <w:p>
      <w:pPr>
        <w:numPr>
          <w:ilvl w:val="0"/>
          <w:numId w:val="1"/>
        </w:numPr>
      </w:pPr>
      <w:r>
        <w:rPr>
          <w:b/>
        </w:rPr>
        <w:t xml:space="preserve">Healthspan words:</w:t>
      </w:r>
      <w:r>
        <w:t xml:space="preserve"> span, healthspan, lifespan.</w:t>
      </w:r>
    </w:p>
    <w:p>
      <w:pPr>
        <w:numPr>
          <w:ilvl w:val="0"/>
          <w:numId w:val="1"/>
        </w:numPr>
      </w:pPr>
      <w:r>
        <w:rPr>
          <w:b/>
        </w:rPr>
        <w:t xml:space="preserve">Longevity cultures:</w:t>
      </w:r>
      <w:r>
        <w:t xml:space="preserve"> Okinawa, *hara hachi bu* (eat until 80% full), the Mediterranean and olives, sage.</w:t>
      </w:r>
    </w:p>
    <w:p>
      <w:pPr>
        <w:numPr>
          <w:ilvl w:val="0"/>
          <w:numId w:val="1"/>
        </w:numPr>
      </w:pPr>
      <w:r>
        <w:rPr>
          <w:b/>
        </w:rPr>
        <w:t xml:space="preserve">Nature that lives long:</w:t>
      </w:r>
      <w:r>
        <w:t xml:space="preserve"> old-growth forest, grove, perennial, root, tortoise.</w:t>
      </w:r>
    </w:p>
    <w:p>
      <w:pPr>
        <w:numPr>
          <w:ilvl w:val="0"/>
          <w:numId w:val="1"/>
        </w:numPr>
      </w:pPr>
      <w:r>
        <w:rPr>
          <w:b/>
        </w:rPr>
        <w:t xml:space="preserve">Cell biology:</w:t>
      </w:r>
      <w:r>
        <w:t xml:space="preserve"> telomeres, mitochondria, polyphenols, fiber.</w:t>
      </w:r>
    </w:p>
    <w:p>
      <w:pPr>
        <w:numPr>
          <w:ilvl w:val="0"/>
          <w:numId w:val="1"/>
        </w:numPr>
      </w:pPr>
      <w:r>
        <w:rPr>
          <w:b/>
        </w:rPr>
        <w:t xml:space="preserve">The AI agent's job:</w:t>
      </w:r>
      <w:r>
        <w:t xml:space="preserve"> cart, pantry, larder, kitchen, table, plate.</w:t>
      </w:r>
    </w:p>
    <w:p>
      <w:pPr>
        <w:pStyle w:val="Heading1"/>
      </w:pPr>
      <w:r>
        <w:t xml:space="preserve">How "not already taken" was tested</w:t>
      </w:r>
    </w:p>
    <w:p>
      <w:r>
        <w:t xml:space="preserve">This used the same automated check as the first screen (</w:t>
      </w:r>
      <w:r>
        <w:rPr>
          <w:rFonts w:ascii="Consolas" w:hAnsi="Consolas"/>
        </w:rPr>
        <w:t xml:space="preserve">_tools_name-check.js</w:t>
      </w:r>
      <w:r>
        <w:t xml:space="preserve">, raw output in </w:t>
      </w:r>
      <w:r>
        <w:rPr>
          <w:rFonts w:ascii="Consolas" w:hAnsi="Consolas"/>
        </w:rPr>
        <w:t xml:space="preserve">longevity-name-screen-results.json</w:t>
      </w:r>
      <w:r>
        <w:t xml:space="preserve">):</w:t>
      </w:r>
    </w:p>
    <w:p>
      <w:pPr>
        <w:numPr>
          <w:ilvl w:val="0"/>
          <w:numId w:val="1"/>
        </w:numPr>
      </w:pPr>
      <w:r>
        <w:rPr>
          <w:b/>
        </w:rPr>
        <w:t xml:space="preserve">Apple App Store (US):</w:t>
      </w:r>
      <w:r>
        <w:t xml:space="preserve"> </w:t>
      </w:r>
      <w:hyperlink r:id="rHl2">
        <w:r>
          <w:rPr>
            <w:rStyle w:val="Hyperlink"/>
          </w:rPr>
          <w:t xml:space="preserve">iTunes Search API</w:t>
        </w:r>
      </w:hyperlink>
      <w:r>
        <w:t xml:space="preserve">.</w:t>
      </w:r>
    </w:p>
    <w:p>
      <w:pPr>
        <w:numPr>
          <w:ilvl w:val="0"/>
          <w:numId w:val="1"/>
        </w:numPr>
      </w:pPr>
      <w:r>
        <w:rPr>
          <w:b/>
        </w:rPr>
        <w:t xml:space="preserve">Google Play (US):</w:t>
      </w:r>
      <w:r>
        <w:t xml:space="preserve"> </w:t>
      </w:r>
      <w:hyperlink r:id="rHl3">
        <w:r>
          <w:rPr>
            <w:rStyle w:val="Hyperlink"/>
          </w:rPr>
          <w:t xml:space="preserve">Play Store search</w:t>
        </w:r>
      </w:hyperlink>
      <w:r>
        <w:t xml:space="preserve">, checking result titles and package IDs.</w:t>
      </w:r>
    </w:p>
    <w:p>
      <w:pPr>
        <w:numPr>
          <w:ilvl w:val="0"/>
          <w:numId w:val="1"/>
        </w:numPr>
      </w:pPr>
      <w:r>
        <w:rPr>
          <w:b/>
        </w:rPr>
        <w:t xml:space="preserve">USPTO:</w:t>
      </w:r>
      <w:r>
        <w:t xml:space="preserve"> </w:t>
      </w:r>
      <w:hyperlink r:id="rHl4">
        <w:r>
          <w:rPr>
            <w:rStyle w:val="Hyperlink"/>
          </w:rPr>
          <w:t xml:space="preserve">Trademark Search</w:t>
        </w:r>
      </w:hyperlink>
      <w:r>
        <w:t xml:space="preserve">, live marks only. First an exact-name pass, then a fuzzy pass on finalists (edit distance 1, plus the name as a phrase or word stem), keeping marks in classes 5, 9, 29–31, 35, 39 and 42–44. Results are in </w:t>
      </w:r>
      <w:r>
        <w:rPr>
          <w:rFonts w:ascii="Consolas" w:hAnsi="Consolas"/>
        </w:rPr>
        <w:t xml:space="preserve">longevity-near-marks-results.json</w:t>
      </w:r>
      <w:r>
        <w:t xml:space="preserve">.</w:t>
      </w:r>
    </w:p>
    <w:p>
      <w:pPr>
        <w:numPr>
          <w:ilvl w:val="0"/>
          <w:numId w:val="1"/>
        </w:numPr>
      </w:pPr>
      <w:r>
        <w:rPr>
          <w:b/>
        </w:rPr>
        <w:t xml:space="preserve">Domains:</w:t>
      </w:r>
      <w:r>
        <w:t xml:space="preserve"> </w:t>
      </w:r>
      <w:hyperlink r:id="rHl5">
        <w:r>
          <w:rPr>
            <w:rStyle w:val="Hyperlink"/>
          </w:rPr>
          <w:t xml:space="preserve">Verisign .com RDAP</w:t>
        </w:r>
      </w:hyperlink>
      <w:r>
        <w:t xml:space="preserve"> and </w:t>
      </w:r>
      <w:hyperlink r:id="rHl6">
        <w:r>
          <w:rPr>
            <w:rStyle w:val="Hyperlink"/>
          </w:rPr>
          <w:t xml:space="preserve">Google Registry .app RDAP</w:t>
        </w:r>
      </w:hyperlink>
      <w:r>
        <w:t xml:space="preserve">. A 404 means unregistered.</w:t>
      </w:r>
    </w:p>
    <w:p>
      <w:pPr>
        <w:numPr>
          <w:ilvl w:val="0"/>
          <w:numId w:val="1"/>
        </w:numPr>
      </w:pPr>
      <w:r>
        <w:rPr>
          <w:b/>
        </w:rPr>
        <w:t xml:space="preserve">Crowded-word check:</w:t>
      </w:r>
      <w:r>
        <w:t xml:space="preserve"> the USPTO was searched for live marks on BLUE ZONES (56), HEALTHSPAN (42) and IKIGAI (27).</w:t>
      </w:r>
    </w:p>
    <w:p>
      <w:pPr>
        <w:pStyle w:val="Heading1"/>
      </w:pPr>
      <w:r>
        <w:t xml:space="preserve">Look-alike trademarks found in the fuzzy pass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Finalist</w:t>
            </w:r>
          </w:p>
        </w:tc>
        <w:tc>
          <w:tcPr>
            <w:tcW w:w="3360" w:type="dxa"/>
            <w:shd w:val="clear" w:color="auto" w:fill="EFF1F3"/>
          </w:tcPr>
          <w:p>
            <w:pPr>
              <w:spacing w:before="40" w:after="40"/>
            </w:pPr>
            <w:r>
              <w:rPr>
                <w:b/>
                <w:sz w:val="18"/>
              </w:rPr>
              <w:t xml:space="preserve">Live near-match marks in related classes</w:t>
            </w:r>
          </w:p>
        </w:tc>
        <w:tc>
          <w:tcPr>
            <w:tcW w:w="3360" w:type="dxa"/>
            <w:shd w:val="clear" w:color="auto" w:fill="EFF1F3"/>
          </w:tcPr>
          <w:p>
            <w:pPr>
              <w:spacing w:before="40" w:after="40"/>
            </w:pPr>
            <w:r>
              <w:rPr>
                <w:b/>
                <w:sz w:val="18"/>
              </w:rPr>
              <w:t xml:space="preserve">Risk</w:t>
            </w:r>
          </w:p>
        </w:tc>
      </w:tr>
      <w:tr>
        <w:tc>
          <w:tcPr>
            <w:tcW w:w="3360" w:type="dxa"/>
          </w:tcPr>
          <w:p>
            <w:pPr>
              <w:spacing w:before="40" w:after="40"/>
            </w:pPr>
            <w:r>
              <w:rPr>
                <w:sz w:val="18"/>
              </w:rPr>
              <w:t xml:space="preserve">Hundred Table</w:t>
            </w:r>
          </w:p>
        </w:tc>
        <w:tc>
          <w:tcPr>
            <w:tcW w:w="3360" w:type="dxa"/>
          </w:tcPr>
          <w:p>
            <w:pPr>
              <w:spacing w:before="40" w:after="40"/>
            </w:pPr>
            <w:r>
              <w:rPr>
                <w:sz w:val="18"/>
              </w:rPr>
              <w:t xml:space="preserve">none</w:t>
            </w:r>
          </w:p>
        </w:tc>
        <w:tc>
          <w:tcPr>
            <w:tcW w:w="3360" w:type="dxa"/>
          </w:tcPr>
          <w:p>
            <w:pPr>
              <w:spacing w:before="40" w:after="40"/>
            </w:pPr>
            <w:r>
              <w:rPr>
                <w:sz w:val="18"/>
              </w:rPr>
              <w:t xml:space="preserve">Low</w:t>
            </w:r>
          </w:p>
        </w:tc>
      </w:tr>
      <w:tr>
        <w:tc>
          <w:tcPr>
            <w:tcW w:w="3360" w:type="dxa"/>
          </w:tcPr>
          <w:p>
            <w:pPr>
              <w:spacing w:before="40" w:after="40"/>
            </w:pPr>
            <w:r>
              <w:rPr>
                <w:sz w:val="18"/>
              </w:rPr>
              <w:t xml:space="preserve">Olive Years</w:t>
            </w:r>
          </w:p>
        </w:tc>
        <w:tc>
          <w:tcPr>
            <w:tcW w:w="3360" w:type="dxa"/>
          </w:tcPr>
          <w:p>
            <w:pPr>
              <w:spacing w:before="40" w:after="40"/>
            </w:pPr>
            <w:r>
              <w:rPr>
                <w:sz w:val="18"/>
              </w:rPr>
              <w:t xml:space="preserve">none</w:t>
            </w:r>
          </w:p>
        </w:tc>
        <w:tc>
          <w:tcPr>
            <w:tcW w:w="3360" w:type="dxa"/>
          </w:tcPr>
          <w:p>
            <w:pPr>
              <w:spacing w:before="40" w:after="40"/>
            </w:pPr>
            <w:r>
              <w:rPr>
                <w:sz w:val="18"/>
              </w:rPr>
              <w:t xml:space="preserve">Low</w:t>
            </w:r>
          </w:p>
        </w:tc>
      </w:tr>
      <w:tr>
        <w:tc>
          <w:tcPr>
            <w:tcW w:w="3360" w:type="dxa"/>
          </w:tcPr>
          <w:p>
            <w:pPr>
              <w:spacing w:before="40" w:after="40"/>
            </w:pPr>
            <w:r>
              <w:rPr>
                <w:sz w:val="18"/>
              </w:rPr>
              <w:t xml:space="preserve">Eightyfull</w:t>
            </w:r>
          </w:p>
        </w:tc>
        <w:tc>
          <w:tcPr>
            <w:tcW w:w="3360" w:type="dxa"/>
          </w:tcPr>
          <w:p>
            <w:pPr>
              <w:spacing w:before="40" w:after="40"/>
            </w:pPr>
            <w:r>
              <w:rPr>
                <w:sz w:val="18"/>
              </w:rPr>
              <w:t xml:space="preserve">MIGHTYFULL (30, cookies)</w:t>
            </w:r>
          </w:p>
        </w:tc>
        <w:tc>
          <w:tcPr>
            <w:tcW w:w="3360" w:type="dxa"/>
          </w:tcPr>
          <w:p>
            <w:pPr>
              <w:spacing w:before="40" w:after="40"/>
            </w:pPr>
            <w:r>
              <w:rPr>
                <w:sz w:val="18"/>
              </w:rPr>
              <w:t xml:space="preserve">Low</w:t>
            </w:r>
          </w:p>
        </w:tc>
      </w:tr>
      <w:tr>
        <w:tc>
          <w:tcPr>
            <w:tcW w:w="3360" w:type="dxa"/>
          </w:tcPr>
          <w:p>
            <w:pPr>
              <w:spacing w:before="40" w:after="40"/>
            </w:pPr>
            <w:r>
              <w:rPr>
                <w:sz w:val="18"/>
              </w:rPr>
              <w:t xml:space="preserve">Longlarder</w:t>
            </w:r>
          </w:p>
        </w:tc>
        <w:tc>
          <w:tcPr>
            <w:tcW w:w="3360" w:type="dxa"/>
          </w:tcPr>
          <w:p>
            <w:pPr>
              <w:spacing w:before="40" w:after="40"/>
            </w:pPr>
            <w:r>
              <w:rPr>
                <w:sz w:val="18"/>
              </w:rPr>
              <w:t xml:space="preserve">none</w:t>
            </w:r>
          </w:p>
        </w:tc>
        <w:tc>
          <w:tcPr>
            <w:tcW w:w="3360" w:type="dxa"/>
          </w:tcPr>
          <w:p>
            <w:pPr>
              <w:spacing w:before="40" w:after="40"/>
            </w:pPr>
            <w:r>
              <w:rPr>
                <w:sz w:val="18"/>
              </w:rPr>
              <w:t xml:space="preserve">Low</w:t>
            </w:r>
          </w:p>
        </w:tc>
      </w:tr>
      <w:tr>
        <w:tc>
          <w:tcPr>
            <w:tcW w:w="3360" w:type="dxa"/>
          </w:tcPr>
          <w:p>
            <w:pPr>
              <w:spacing w:before="40" w:after="40"/>
            </w:pPr>
            <w:r>
              <w:rPr>
                <w:sz w:val="18"/>
              </w:rPr>
              <w:t xml:space="preserve">Telomeal</w:t>
            </w:r>
          </w:p>
        </w:tc>
        <w:tc>
          <w:tcPr>
            <w:tcW w:w="3360" w:type="dxa"/>
          </w:tcPr>
          <w:p>
            <w:pPr>
              <w:spacing w:before="40" w:after="40"/>
            </w:pPr>
            <w:r>
              <w:rPr>
                <w:sz w:val="18"/>
              </w:rPr>
              <w:t xml:space="preserve">TELOMERE (35), TELONGEVITY (5), TELOLOCK (5)</w:t>
            </w:r>
          </w:p>
        </w:tc>
        <w:tc>
          <w:tcPr>
            <w:tcW w:w="3360" w:type="dxa"/>
          </w:tcPr>
          <w:p>
            <w:pPr>
              <w:spacing w:before="40" w:after="40"/>
            </w:pPr>
            <w:r>
              <w:rPr>
                <w:sz w:val="18"/>
              </w:rPr>
              <w:t xml:space="preserve">Medium</w:t>
            </w:r>
          </w:p>
        </w:tc>
      </w:tr>
      <w:tr>
        <w:tc>
          <w:tcPr>
            <w:tcW w:w="3360" w:type="dxa"/>
          </w:tcPr>
          <w:p>
            <w:pPr>
              <w:spacing w:before="40" w:after="40"/>
            </w:pPr>
            <w:r>
              <w:rPr>
                <w:sz w:val="18"/>
              </w:rPr>
              <w:t xml:space="preserve">Ripe Years</w:t>
            </w:r>
          </w:p>
        </w:tc>
        <w:tc>
          <w:tcPr>
            <w:tcW w:w="3360" w:type="dxa"/>
          </w:tcPr>
          <w:p>
            <w:pPr>
              <w:spacing w:before="40" w:after="40"/>
            </w:pPr>
            <w:r>
              <w:rPr>
                <w:sz w:val="18"/>
              </w:rPr>
              <w:t xml:space="preserve">none</w:t>
            </w:r>
          </w:p>
        </w:tc>
        <w:tc>
          <w:tcPr>
            <w:tcW w:w="3360" w:type="dxa"/>
          </w:tcPr>
          <w:p>
            <w:pPr>
              <w:spacing w:before="40" w:after="40"/>
            </w:pPr>
            <w:r>
              <w:rPr>
                <w:sz w:val="18"/>
              </w:rPr>
              <w:t xml:space="preserve">Low</w:t>
            </w:r>
          </w:p>
        </w:tc>
      </w:tr>
      <w:tr>
        <w:tc>
          <w:tcPr>
            <w:tcW w:w="3360" w:type="dxa"/>
          </w:tcPr>
          <w:p>
            <w:pPr>
              <w:spacing w:before="40" w:after="40"/>
            </w:pPr>
            <w:r>
              <w:rPr>
                <w:sz w:val="18"/>
              </w:rPr>
              <w:t xml:space="preserve">Century Pantry</w:t>
            </w:r>
          </w:p>
        </w:tc>
        <w:tc>
          <w:tcPr>
            <w:tcW w:w="3360" w:type="dxa"/>
          </w:tcPr>
          <w:p>
            <w:pPr>
              <w:spacing w:before="40" w:after="40"/>
            </w:pPr>
            <w:r>
              <w:rPr>
                <w:sz w:val="18"/>
              </w:rPr>
              <w:t xml:space="preserve">none</w:t>
            </w:r>
          </w:p>
        </w:tc>
        <w:tc>
          <w:tcPr>
            <w:tcW w:w="3360" w:type="dxa"/>
          </w:tcPr>
          <w:p>
            <w:pPr>
              <w:spacing w:before="40" w:after="40"/>
            </w:pPr>
            <w:r>
              <w:rPr>
                <w:sz w:val="18"/>
              </w:rPr>
              <w:t xml:space="preserve">Low</w:t>
            </w:r>
          </w:p>
        </w:tc>
      </w:tr>
      <w:tr>
        <w:tc>
          <w:tcPr>
            <w:tcW w:w="3360" w:type="dxa"/>
          </w:tcPr>
          <w:p>
            <w:pPr>
              <w:spacing w:before="40" w:after="40"/>
            </w:pPr>
            <w:r>
              <w:rPr>
                <w:sz w:val="18"/>
              </w:rPr>
              <w:t xml:space="preserve">Lifelong Larder, Lifespan Larder</w:t>
            </w:r>
          </w:p>
        </w:tc>
        <w:tc>
          <w:tcPr>
            <w:tcW w:w="3360" w:type="dxa"/>
          </w:tcPr>
          <w:p>
            <w:pPr>
              <w:spacing w:before="40" w:after="40"/>
            </w:pPr>
            <w:r>
              <w:rPr>
                <w:sz w:val="18"/>
              </w:rPr>
              <w:t xml:space="preserve">none</w:t>
            </w:r>
          </w:p>
        </w:tc>
        <w:tc>
          <w:tcPr>
            <w:tcW w:w="3360" w:type="dxa"/>
          </w:tcPr>
          <w:p>
            <w:pPr>
              <w:spacing w:before="40" w:after="40"/>
            </w:pPr>
            <w:r>
              <w:rPr>
                <w:sz w:val="18"/>
              </w:rPr>
              <w:t xml:space="preserve">Low</w:t>
            </w:r>
          </w:p>
        </w:tc>
      </w:tr>
      <w:tr>
        <w:tc>
          <w:tcPr>
            <w:tcW w:w="3360" w:type="dxa"/>
          </w:tcPr>
          <w:p>
            <w:pPr>
              <w:spacing w:before="40" w:after="40"/>
            </w:pPr>
            <w:r>
              <w:rPr>
                <w:sz w:val="18"/>
              </w:rPr>
              <w:t xml:space="preserve">Oldgrowth Kitchen</w:t>
            </w:r>
          </w:p>
        </w:tc>
        <w:tc>
          <w:tcPr>
            <w:tcW w:w="3360" w:type="dxa"/>
          </w:tcPr>
          <w:p>
            <w:pPr>
              <w:spacing w:before="40" w:after="40"/>
            </w:pPr>
            <w:r>
              <w:rPr>
                <w:sz w:val="18"/>
              </w:rPr>
              <w:t xml:space="preserve">OLD GROWTH ALCHEMY (30)</w:t>
            </w:r>
          </w:p>
        </w:tc>
        <w:tc>
          <w:tcPr>
            <w:tcW w:w="3360" w:type="dxa"/>
          </w:tcPr>
          <w:p>
            <w:pPr>
              <w:spacing w:before="40" w:after="40"/>
            </w:pPr>
            <w:r>
              <w:rPr>
                <w:sz w:val="18"/>
              </w:rPr>
              <w:t xml:space="preserve">Low</w:t>
            </w:r>
          </w:p>
        </w:tc>
      </w:tr>
      <w:tr>
        <w:tc>
          <w:tcPr>
            <w:tcW w:w="3360" w:type="dxa"/>
          </w:tcPr>
          <w:p>
            <w:pPr>
              <w:spacing w:before="40" w:after="40"/>
            </w:pPr>
            <w:r>
              <w:rPr>
                <w:sz w:val="18"/>
              </w:rPr>
              <w:t xml:space="preserve">Okiplate, Centplate, Spanplate, Steadfork, Mitoplate, Seasonspan</w:t>
            </w:r>
          </w:p>
        </w:tc>
        <w:tc>
          <w:tcPr>
            <w:tcW w:w="3360" w:type="dxa"/>
          </w:tcPr>
          <w:p>
            <w:pPr>
              <w:spacing w:before="40" w:after="40"/>
            </w:pPr>
            <w:r>
              <w:rPr>
                <w:sz w:val="18"/>
              </w:rPr>
              <w:t xml:space="preserve">none</w:t>
            </w:r>
          </w:p>
        </w:tc>
        <w:tc>
          <w:tcPr>
            <w:tcW w:w="3360" w:type="dxa"/>
          </w:tcPr>
          <w:p>
            <w:pPr>
              <w:spacing w:before="40" w:after="40"/>
            </w:pPr>
            <w:r>
              <w:rPr>
                <w:sz w:val="18"/>
              </w:rPr>
              <w:t xml:space="preserve">Low</w:t>
            </w:r>
          </w:p>
        </w:tc>
      </w:tr>
      <w:tr>
        <w:tc>
          <w:tcPr>
            <w:tcW w:w="3360" w:type="dxa"/>
          </w:tcPr>
          <w:p>
            <w:pPr>
              <w:spacing w:before="40" w:after="40"/>
            </w:pPr>
            <w:r>
              <w:rPr>
                <w:sz w:val="18"/>
              </w:rPr>
              <w:t xml:space="preserve">Hara Plate</w:t>
            </w:r>
          </w:p>
        </w:tc>
        <w:tc>
          <w:tcPr>
            <w:tcW w:w="3360" w:type="dxa"/>
          </w:tcPr>
          <w:p>
            <w:pPr>
              <w:spacing w:before="40" w:after="40"/>
            </w:pPr>
            <w:r>
              <w:rPr>
                <w:sz w:val="18"/>
              </w:rPr>
              <w:t xml:space="preserve">HARA HACHI BU NOODLES (30)</w:t>
            </w:r>
          </w:p>
        </w:tc>
        <w:tc>
          <w:tcPr>
            <w:tcW w:w="3360" w:type="dxa"/>
          </w:tcPr>
          <w:p>
            <w:pPr>
              <w:spacing w:before="40" w:after="40"/>
            </w:pPr>
            <w:r>
              <w:rPr>
                <w:sz w:val="18"/>
              </w:rPr>
              <w:t xml:space="preserve">Low to medium</w:t>
            </w:r>
          </w:p>
        </w:tc>
      </w:tr>
      <w:tr>
        <w:tc>
          <w:tcPr>
            <w:tcW w:w="3360" w:type="dxa"/>
          </w:tcPr>
          <w:p>
            <w:pPr>
              <w:spacing w:before="40" w:after="40"/>
            </w:pPr>
            <w:r>
              <w:rPr>
                <w:sz w:val="18"/>
              </w:rPr>
              <w:t xml:space="preserve">Longevicart</w:t>
            </w:r>
          </w:p>
        </w:tc>
        <w:tc>
          <w:tcPr>
            <w:tcW w:w="3360" w:type="dxa"/>
          </w:tcPr>
          <w:p>
            <w:pPr>
              <w:spacing w:before="40" w:after="40"/>
            </w:pPr>
            <w:r>
              <w:rPr>
                <w:sz w:val="18"/>
              </w:rPr>
              <w:t xml:space="preserve">LONGEVITEAS (30), LONGEVITY SOURCE (5), LONGEVITY MEDICAL INSTITUTE (44)</w:t>
            </w:r>
          </w:p>
        </w:tc>
        <w:tc>
          <w:tcPr>
            <w:tcW w:w="3360" w:type="dxa"/>
          </w:tcPr>
          <w:p>
            <w:pPr>
              <w:spacing w:before="40" w:after="40"/>
            </w:pPr>
            <w:r>
              <w:rPr>
                <w:sz w:val="18"/>
              </w:rPr>
              <w:t xml:space="preserve">Medium</w:t>
            </w:r>
          </w:p>
        </w:tc>
      </w:tr>
      <w:tr>
        <w:tc>
          <w:tcPr>
            <w:tcW w:w="3360" w:type="dxa"/>
          </w:tcPr>
          <w:p>
            <w:pPr>
              <w:spacing w:before="40" w:after="40"/>
            </w:pPr>
            <w:r>
              <w:rPr>
                <w:sz w:val="18"/>
              </w:rPr>
              <w:t xml:space="preserve">Healthspan Cart</w:t>
            </w:r>
          </w:p>
        </w:tc>
        <w:tc>
          <w:tcPr>
            <w:tcW w:w="3360" w:type="dxa"/>
          </w:tcPr>
          <w:p>
            <w:pPr>
              <w:spacing w:before="40" w:after="40"/>
            </w:pPr>
            <w:r>
              <w:rPr>
                <w:sz w:val="18"/>
              </w:rPr>
              <w:t xml:space="preserve">28 live HEALTHSPAN marks, including classes 9, 35, 42 and 44</w:t>
            </w:r>
          </w:p>
        </w:tc>
        <w:tc>
          <w:tcPr>
            <w:tcW w:w="3360" w:type="dxa"/>
          </w:tcPr>
          <w:p>
            <w:pPr>
              <w:spacing w:before="40" w:after="40"/>
            </w:pPr>
            <w:r>
              <w:rPr>
                <w:sz w:val="18"/>
              </w:rPr>
              <w:t xml:space="preserve">High, ruled out</w:t>
            </w:r>
          </w:p>
        </w:tc>
      </w:tr>
    </w:tbl>
    <w:p>
      <w:pPr>
        <w:spacing w:after="0"/>
      </w:pPr>
    </w:p>
    <w:p>
      <w:pPr>
        <w:pStyle w:val="Heading1"/>
      </w:pPr>
      <w:r>
        <w:t xml:space="preserve">Web search results for finalists</w:t>
      </w:r>
    </w:p>
    <w:p>
      <w:pPr>
        <w:numPr>
          <w:ilvl w:val="0"/>
          <w:numId w:val="1"/>
        </w:numPr>
      </w:pPr>
      <w:r>
        <w:rPr>
          <w:b/>
        </w:rPr>
        <w:t xml:space="preserve">Telomeal:</w:t>
      </w:r>
      <w:r>
        <w:t xml:space="preserve"> no company or product. All results were telomere science (</w:t>
      </w:r>
      <w:hyperlink r:id="rHl7">
        <w:r>
          <w:rPr>
            <w:rStyle w:val="Hyperlink"/>
          </w:rPr>
          <w:t xml:space="preserve">PMC</w:t>
        </w:r>
      </w:hyperlink>
      <w:r>
        <w:t xml:space="preserve">).</w:t>
      </w:r>
    </w:p>
    <w:p>
      <w:pPr>
        <w:numPr>
          <w:ilvl w:val="0"/>
          <w:numId w:val="1"/>
        </w:numPr>
      </w:pPr>
      <w:r>
        <w:rPr>
          <w:b/>
        </w:rPr>
        <w:t xml:space="preserve">Hundred Table:</w:t>
      </w:r>
      <w:r>
        <w:t xml:space="preserve"> no exact match. Nearby names were One Hundred Tables, a 2013 restaurant directory (</w:t>
      </w:r>
      <w:hyperlink r:id="rHl8">
        <w:r>
          <w:rPr>
            <w:rStyle w:val="Hyperlink"/>
          </w:rPr>
          <w:t xml:space="preserve">Atlanta Magazine</w:t>
        </w:r>
      </w:hyperlink>
      <w:r>
        <w:t xml:space="preserve">), and the Hundred Burgers chain in Spain (</w:t>
      </w:r>
      <w:hyperlink r:id="rHl9">
        <w:r>
          <w:rPr>
            <w:rStyle w:val="Hyperlink"/>
          </w:rPr>
          <w:t xml:space="preserve">Wikipedia</w:t>
        </w:r>
      </w:hyperlink>
      <w:r>
        <w:t xml:space="preserve">).</w:t>
      </w:r>
    </w:p>
    <w:p>
      <w:pPr>
        <w:numPr>
          <w:ilvl w:val="0"/>
          <w:numId w:val="1"/>
        </w:numPr>
      </w:pPr>
      <w:r>
        <w:rPr>
          <w:b/>
        </w:rPr>
        <w:t xml:space="preserve">Olive Years:</w:t>
      </w:r>
      <w:r>
        <w:t xml:space="preserve"> no company. Results were about olive trees and olive magazine (</w:t>
      </w:r>
      <w:hyperlink r:id="rHl10">
        <w:r>
          <w:rPr>
            <w:rStyle w:val="Hyperlink"/>
          </w:rPr>
          <w:t xml:space="preserve">Wikipedia</w:t>
        </w:r>
      </w:hyperlink>
      <w:r>
        <w:t xml:space="preserve">).</w:t>
      </w:r>
    </w:p>
    <w:p>
      <w:pPr>
        <w:numPr>
          <w:ilvl w:val="0"/>
          <w:numId w:val="1"/>
        </w:numPr>
      </w:pPr>
      <w:r>
        <w:rPr>
          <w:b/>
        </w:rPr>
        <w:t xml:space="preserve">Longlarder:</w:t>
      </w:r>
      <w:r>
        <w:t xml:space="preserve"> no company. Results were dictionary entries for "larder" plus Le Larder, a UK retailer with a different name.</w:t>
      </w:r>
    </w:p>
    <w:p>
      <w:pPr>
        <w:numPr>
          <w:ilvl w:val="0"/>
          <w:numId w:val="1"/>
        </w:numPr>
      </w:pPr>
      <w:r>
        <w:rPr>
          <w:b/>
        </w:rPr>
        <w:t xml:space="preserve">Eightyfull:</w:t>
      </w:r>
      <w:r>
        <w:t xml:space="preserve"> no company. Results explained *hara hachi bu* (</w:t>
      </w:r>
      <w:hyperlink r:id="rHl11">
        <w:r>
          <w:rPr>
            <w:rStyle w:val="Hyperlink"/>
          </w:rPr>
          <w:t xml:space="preserve">Big Think</w:t>
        </w:r>
      </w:hyperlink>
      <w:r>
        <w:t xml:space="preserve">, </w:t>
      </w:r>
      <w:hyperlink r:id="rHl12">
        <w:r>
          <w:rPr>
            <w:rStyle w:val="Hyperlink"/>
          </w:rPr>
          <w:t xml:space="preserve">Unseen Japan</w:t>
        </w:r>
      </w:hyperlink>
      <w:r>
        <w:t xml:space="preserve">).</w:t>
      </w:r>
    </w:p>
    <w:p>
      <w:pPr>
        <w:numPr>
          <w:ilvl w:val="0"/>
          <w:numId w:val="1"/>
        </w:numPr>
      </w:pPr>
      <w:r>
        <w:rPr>
          <w:b/>
        </w:rPr>
        <w:t xml:space="preserve">Spanplate:</w:t>
      </w:r>
      <w:r>
        <w:t xml:space="preserve"> results were all German "Spanplatte" (particleboard) pages (</w:t>
      </w:r>
      <w:hyperlink r:id="rHl13">
        <w:r>
          <w:rPr>
            <w:rStyle w:val="Hyperlink"/>
          </w:rPr>
          <w:t xml:space="preserve">OBI</w:t>
        </w:r>
      </w:hyperlink>
      <w:r>
        <w:t xml:space="preserve">). Ruled out on meaning.</w:t>
      </w:r>
    </w:p>
    <w:p>
      <w:pPr>
        <w:numPr>
          <w:ilvl w:val="0"/>
          <w:numId w:val="1"/>
        </w:numPr>
      </w:pPr>
      <w:r>
        <w:rPr>
          <w:b/>
        </w:rPr>
        <w:t xml:space="preserve">Ripe Years:</w:t>
      </w:r>
      <w:r>
        <w:t xml:space="preserve"> no company. Results were RIPE NCC, the internet registry (</w:t>
      </w:r>
      <w:hyperlink r:id="rHl14">
        <w:r>
          <w:rPr>
            <w:rStyle w:val="Hyperlink"/>
          </w:rPr>
          <w:t xml:space="preserve">RIPE forum</w:t>
        </w:r>
      </w:hyperlink>
      <w:r>
        <w:t xml:space="preserve">).</w:t>
      </w:r>
    </w:p>
    <w:p>
      <w:pPr>
        <w:numPr>
          <w:ilvl w:val="0"/>
          <w:numId w:val="1"/>
        </w:numPr>
      </w:pPr>
      <w:r>
        <w:rPr>
          <w:b/>
        </w:rPr>
        <w:t xml:space="preserve">Lifelong Larder, Century Pantry:</w:t>
      </w:r>
      <w:r>
        <w:t xml:space="preserve"> no company. The only near hit was a cabinet-organizer line from Century Components.</w:t>
      </w:r>
    </w:p>
    <w:p>
      <w:pPr>
        <w:numPr>
          <w:ilvl w:val="0"/>
          <w:numId w:val="1"/>
        </w:numPr>
      </w:pPr>
      <w:r>
        <w:rPr>
          <w:b/>
        </w:rPr>
        <w:t xml:space="preserve">Oldgrowth Kitchen:</w:t>
      </w:r>
      <w:r>
        <w:t xml:space="preserve"> no company. Results defined "old growth" forest.</w:t>
      </w:r>
    </w:p>
    <w:p>
      <w:pPr>
        <w:numPr>
          <w:ilvl w:val="0"/>
          <w:numId w:val="1"/>
        </w:numPr>
      </w:pPr>
      <w:r>
        <w:rPr>
          <w:b/>
        </w:rPr>
        <w:t xml:space="preserve">Okiplate, Seasonspan, Steadfork:</w:t>
      </w:r>
      <w:r>
        <w:t xml:space="preserve"> no results at all.</w:t>
      </w:r>
    </w:p>
    <w:p>
      <w:pPr>
        <w:pStyle w:val="Heading1"/>
      </w:pPr>
      <w:r>
        <w:t xml:space="preserve">What could not be verified</w:t>
      </w:r>
    </w:p>
    <w:p>
      <w:pPr>
        <w:numPr>
          <w:ilvl w:val="0"/>
          <w:numId w:val="1"/>
        </w:numPr>
      </w:pPr>
      <w:r>
        <w:rPr>
          <w:b/>
        </w:rPr>
        <w:t xml:space="preserve">State trademarks, unregistered use, and foreign marks (EUIPO, WIPO):</w:t>
      </w:r>
      <w:r>
        <w:t xml:space="preserve"> not checked.</w:t>
      </w:r>
    </w:p>
    <w:p>
      <w:pPr>
        <w:numPr>
          <w:ilvl w:val="0"/>
          <w:numId w:val="1"/>
        </w:numPr>
      </w:pPr>
      <w:r>
        <w:rPr>
          <w:b/>
        </w:rPr>
        <w:t xml:space="preserve">Non-US app stores:</w:t>
      </w:r>
      <w:r>
        <w:t xml:space="preserve"> not checked.</w:t>
      </w:r>
    </w:p>
    <w:p>
      <w:pPr>
        <w:numPr>
          <w:ilvl w:val="0"/>
          <w:numId w:val="1"/>
        </w:numPr>
      </w:pPr>
      <w:r>
        <w:rPr>
          <w:b/>
        </w:rPr>
        <w:t xml:space="preserve">Social handles on Instagram and TikTok:</w:t>
      </w:r>
      <w:r>
        <w:t xml:space="preserve"> not checked.</w:t>
      </w:r>
    </w:p>
    <w:p>
      <w:pPr>
        <w:numPr>
          <w:ilvl w:val="0"/>
          <w:numId w:val="1"/>
        </w:numPr>
      </w:pPr>
      <w:r>
        <w:rPr>
          <w:b/>
        </w:rPr>
        <w:t xml:space="preserve">Domains:</w:t>
      </w:r>
      <w:r>
        <w:t xml:space="preserve"> "unregistered" is a snapshot from 2026-10-14. Register the chosen name promptly.</w:t>
      </w:r>
    </w:p>
    <w:p>
      <w:pPr>
        <w:numPr>
          <w:ilvl w:val="0"/>
          <w:numId w:val="1"/>
        </w:numPr>
      </w:pPr>
      <w:r>
        <w:rPr>
          <w:b/>
        </w:rPr>
        <w:t xml:space="preserve">Owners of registered .com domains</w:t>
      </w:r>
      <w:r>
        <w:t xml:space="preserve"> (longplate.com, evertable.com and others) and whether they're for sale: not looked up.</w:t>
      </w:r>
    </w:p>
    <w:p>
      <w:pPr>
        <w:numPr>
          <w:ilvl w:val="0"/>
          <w:numId w:val="1"/>
        </w:numPr>
      </w:pPr>
      <w:r>
        <w:rPr>
          <w:b/>
        </w:rPr>
        <w:t xml:space="preserve">Health-claim exposure:</w:t>
      </w:r>
      <w:r>
        <w:t xml:space="preserve"> whether a given name counts as an implied health claim is a legal judgment. The FTC note in the name list is general guidance, not advice for this app.</w:t>
      </w:r>
    </w:p>
    <w:p>
      <w:pPr>
        <w:pStyle w:val="Heading1"/>
      </w:pPr>
      <w:r>
        <w:t xml:space="preserve">Full screening table (all 70 candidates)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440"/>
        <w:gridCol w:w="1440"/>
        <w:gridCol w:w="1440"/>
        <w:gridCol w:w="1440"/>
        <w:gridCol w:w="1440"/>
        <w:gridCol w:w="1440"/>
        <w:gridCol w:w="1440"/>
      </w:tblGrid>
      <w:tr>
        <w:trPr>
          <w:tblHeader/>
        </w:trPr>
        <w:tc>
          <w:tcPr>
            <w:tcW w:w="1440" w:type="dxa"/>
            <w:shd w:val="clear" w:color="auto" w:fill="EFF1F3"/>
          </w:tcPr>
          <w:p>
            <w:pPr>
              <w:spacing w:before="40" w:after="40"/>
            </w:pPr>
            <w:r>
              <w:rPr>
                <w:b/>
                <w:sz w:val="18"/>
              </w:rPr>
              <w:t xml:space="preserve">Name</w:t>
            </w:r>
          </w:p>
        </w:tc>
        <w:tc>
          <w:tcPr>
            <w:tcW w:w="1440" w:type="dxa"/>
            <w:shd w:val="clear" w:color="auto" w:fill="EFF1F3"/>
          </w:tcPr>
          <w:p>
            <w:pPr>
              <w:spacing w:before="40" w:after="40"/>
            </w:pPr>
            <w:r>
              <w:rPr>
                <w:b/>
                <w:sz w:val="18"/>
              </w:rPr>
              <w:t xml:space="preserve">App Store (US) matches</w:t>
            </w:r>
          </w:p>
        </w:tc>
        <w:tc>
          <w:tcPr>
            <w:tcW w:w="1440" w:type="dxa"/>
            <w:shd w:val="clear" w:color="auto" w:fill="EFF1F3"/>
          </w:tcPr>
          <w:p>
            <w:pPr>
              <w:spacing w:before="40" w:after="40"/>
            </w:pPr>
            <w:r>
              <w:rPr>
                <w:b/>
                <w:sz w:val="18"/>
              </w:rPr>
              <w:t xml:space="preserve">Google Play matches</w:t>
            </w:r>
          </w:p>
        </w:tc>
        <w:tc>
          <w:tcPr>
            <w:tcW w:w="1440" w:type="dxa"/>
            <w:shd w:val="clear" w:color="auto" w:fill="EFF1F3"/>
          </w:tcPr>
          <w:p>
            <w:pPr>
              <w:spacing w:before="40" w:after="40"/>
            </w:pPr>
            <w:r>
              <w:rPr>
                <w:b/>
                <w:sz w:val="18"/>
              </w:rPr>
              <w:t xml:space="preserve">Live USPTO exact mark</w:t>
            </w:r>
          </w:p>
        </w:tc>
        <w:tc>
          <w:tcPr>
            <w:tcW w:w="1440" w:type="dxa"/>
            <w:shd w:val="clear" w:color="auto" w:fill="EFF1F3"/>
          </w:tcPr>
          <w:p>
            <w:pPr>
              <w:spacing w:before="40" w:after="40"/>
            </w:pPr>
            <w:r>
              <w:rPr>
                <w:b/>
                <w:sz w:val="18"/>
              </w:rPr>
              <w:t xml:space="preserve">.com</w:t>
            </w:r>
          </w:p>
        </w:tc>
        <w:tc>
          <w:tcPr>
            <w:tcW w:w="1440" w:type="dxa"/>
            <w:shd w:val="clear" w:color="auto" w:fill="EFF1F3"/>
          </w:tcPr>
          <w:p>
            <w:pPr>
              <w:spacing w:before="40" w:after="40"/>
            </w:pPr>
            <w:r>
              <w:rPr>
                <w:b/>
                <w:sz w:val="18"/>
              </w:rPr>
              <w:t xml:space="preserve">.app</w:t>
            </w:r>
          </w:p>
        </w:tc>
        <w:tc>
          <w:tcPr>
            <w:tcW w:w="1440" w:type="dxa"/>
            <w:shd w:val="clear" w:color="auto" w:fill="EFF1F3"/>
          </w:tcPr>
          <w:p>
            <w:pPr>
              <w:spacing w:before="40" w:after="40"/>
            </w:pPr>
            <w:r>
              <w:rPr>
                <w:b/>
                <w:sz w:val="18"/>
              </w:rPr>
              <w:t xml:space="preserve">get___.com</w:t>
            </w:r>
          </w:p>
        </w:tc>
      </w:tr>
      <w:tr>
        <w:tc>
          <w:tcPr>
            <w:tcW w:w="1440" w:type="dxa"/>
          </w:tcPr>
          <w:p>
            <w:pPr>
              <w:spacing w:before="40" w:after="40"/>
            </w:pPr>
            <w:r>
              <w:rPr>
                <w:sz w:val="18"/>
              </w:rPr>
              <w:t xml:space="preserve">Longplate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Longtable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Longcart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Longbite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Longlarder</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Long Harvest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Everplate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EVERPLATE [IC 001] Atotech Deutschland GmbH (CORPORATION; GERMANY)</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Evertable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Evergrain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EVERGRAIN [IC 019] EPOCH Composite Products, Inc. (CORPORATION; DELAWARE, USA); EVERGRAIN [IC 024,IC 021] Marina Kolyandra (INDIVIDUAL; USA); EVERGRAIN [IC 030,IC 031] Ravinder Singh (INDIVIDUAL; USA)</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Spanplate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SpanCart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SPANCART [IC 012] Promise to Perform Industries, Inc. (CORPORATION; Pennsylvania, USA)</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Spanwise</w:t>
            </w:r>
          </w:p>
        </w:tc>
        <w:tc>
          <w:tcPr>
            <w:tcW w:w="1440" w:type="dxa"/>
          </w:tcPr>
          <w:p>
            <w:pPr>
              <w:spacing w:before="40" w:after="40"/>
            </w:pPr>
            <w:r>
              <w:rPr>
                <w:sz w:val="18"/>
              </w:rPr>
              <w:t xml:space="preserve">Spanwise (Aytac YILMAZ)</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Spanfull</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Vitaspan</w:t>
            </w:r>
          </w:p>
        </w:tc>
        <w:tc>
          <w:tcPr>
            <w:tcW w:w="1440" w:type="dxa"/>
          </w:tcPr>
          <w:p>
            <w:pPr>
              <w:spacing w:before="40" w:after="40"/>
            </w:pPr>
            <w:r>
              <w:rPr>
                <w:sz w:val="18"/>
              </w:rPr>
              <w:t xml:space="preserve">none</w:t>
            </w:r>
          </w:p>
        </w:tc>
        <w:tc>
          <w:tcPr>
            <w:tcW w:w="1440" w:type="dxa"/>
          </w:tcPr>
          <w:p>
            <w:pPr>
              <w:spacing w:before="40" w:after="40"/>
            </w:pPr>
            <w:r>
              <w:rPr>
                <w:sz w:val="18"/>
              </w:rPr>
              <w:t xml:space="preserve">VitaSpan: Medicare Care Finder; id:com.choralsoft.vitaspan</w:t>
            </w:r>
          </w:p>
        </w:tc>
        <w:tc>
          <w:tcPr>
            <w:tcW w:w="1440" w:type="dxa"/>
          </w:tcPr>
          <w:p>
            <w:pPr>
              <w:spacing w:before="40" w:after="40"/>
            </w:pPr>
            <w:r>
              <w:rPr>
                <w:sz w:val="18"/>
              </w:rPr>
              <w:t xml:space="preserve">VITASPAN [IC 005] HumaSpan, LLC (LIMITED LIABILITY COMPANY; Florida, USA)</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Healthspan Kitchen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Healthspan 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Hundred Table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Hundredfold Kitchen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Centplate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Century Pantry</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Telomeal</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Telomere Table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Mitomeal</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Mitoplate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Oldgrowth</w:t>
            </w:r>
          </w:p>
        </w:tc>
        <w:tc>
          <w:tcPr>
            <w:tcW w:w="1440" w:type="dxa"/>
          </w:tcPr>
          <w:p>
            <w:pPr>
              <w:spacing w:before="40" w:after="40"/>
            </w:pPr>
            <w:r>
              <w:rPr>
                <w:sz w:val="18"/>
              </w:rPr>
              <w:t xml:space="preserve">none</w:t>
            </w:r>
          </w:p>
        </w:tc>
        <w:tc>
          <w:tcPr>
            <w:tcW w:w="1440" w:type="dxa"/>
          </w:tcPr>
          <w:p>
            <w:pPr>
              <w:spacing w:before="40" w:after="40"/>
            </w:pPr>
            <w:r>
              <w:rPr>
                <w:sz w:val="18"/>
              </w:rPr>
              <w:t xml:space="preserve">Old-Growth Trees</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Oldgrowth Kitchen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Tortoise Table</w:t>
            </w:r>
          </w:p>
        </w:tc>
        <w:tc>
          <w:tcPr>
            <w:tcW w:w="1440" w:type="dxa"/>
          </w:tcPr>
          <w:p>
            <w:pPr>
              <w:spacing w:before="40" w:after="40"/>
            </w:pPr>
            <w:r>
              <w:rPr>
                <w:sz w:val="18"/>
              </w:rPr>
              <w:t xml:space="preserve">none</w:t>
            </w:r>
          </w:p>
        </w:tc>
        <w:tc>
          <w:tcPr>
            <w:tcW w:w="1440" w:type="dxa"/>
          </w:tcPr>
          <w:p>
            <w:pPr>
              <w:spacing w:before="40" w:after="40"/>
            </w:pPr>
            <w:r>
              <w:rPr>
                <w:sz w:val="18"/>
              </w:rPr>
              <w:t xml:space="preserve">id:com.stevelib.thetortoisetable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Olive Years</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Oliveyard</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Grovecart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Sagecart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Sage Pantry</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Eightyfull</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Hara Plate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Okiplate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Perennia</w:t>
            </w:r>
          </w:p>
        </w:tc>
        <w:tc>
          <w:tcPr>
            <w:tcW w:w="1440" w:type="dxa"/>
          </w:tcPr>
          <w:p>
            <w:pPr>
              <w:spacing w:before="40" w:after="40"/>
            </w:pPr>
            <w:r>
              <w:rPr>
                <w:sz w:val="18"/>
              </w:rPr>
              <w:t xml:space="preserve">Perennia: Orchard Tools (Perennia Food &amp; Agriculture Incorporated)</w:t>
            </w:r>
          </w:p>
        </w:tc>
        <w:tc>
          <w:tcPr>
            <w:tcW w:w="1440" w:type="dxa"/>
          </w:tcPr>
          <w:p>
            <w:pPr>
              <w:spacing w:before="40" w:after="40"/>
            </w:pPr>
            <w:r>
              <w:rPr>
                <w:sz w:val="18"/>
              </w:rPr>
              <w:t xml:space="preserve">none</w:t>
            </w:r>
          </w:p>
        </w:tc>
        <w:tc>
          <w:tcPr>
            <w:tcW w:w="1440" w:type="dxa"/>
          </w:tcPr>
          <w:p>
            <w:pPr>
              <w:spacing w:before="40" w:after="40"/>
            </w:pPr>
            <w:r>
              <w:rPr>
                <w:sz w:val="18"/>
              </w:rPr>
              <w:t xml:space="preserve">PERENNIA [IC 010] Cyberonics, Inc. (CORPORATION; DELAWARE, USA)</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Perennial Pantry</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Plantspan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Seasonspan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Lifelong Larder</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Ripe Years</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Vivacart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VIVACART [IC 010] CardioQuip, LLC (LIMITED LIABILITY COMPANY; TEXAS, USA)</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Vivarra</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Vitalcart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Primeplate</w:t>
            </w:r>
          </w:p>
        </w:tc>
        <w:tc>
          <w:tcPr>
            <w:tcW w:w="1440" w:type="dxa"/>
          </w:tcPr>
          <w:p>
            <w:pPr>
              <w:spacing w:before="40" w:after="40"/>
            </w:pPr>
            <w:r>
              <w:rPr>
                <w:sz w:val="18"/>
              </w:rPr>
              <w:t xml:space="preserve">PrimePlates (PrimePlates)</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Steadfork</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Decades Kitchen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Agelesscart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Slowage</w:t>
            </w:r>
          </w:p>
        </w:tc>
        <w:tc>
          <w:tcPr>
            <w:tcW w:w="1440" w:type="dxa"/>
          </w:tcPr>
          <w:p>
            <w:pPr>
              <w:spacing w:before="40" w:after="40"/>
            </w:pPr>
            <w:r>
              <w:rPr>
                <w:sz w:val="18"/>
              </w:rPr>
              <w:t xml:space="preserve">Slow Age (Junmo Park)</w:t>
            </w:r>
          </w:p>
        </w:tc>
        <w:tc>
          <w:tcPr>
            <w:tcW w:w="1440" w:type="dxa"/>
          </w:tcPr>
          <w:p>
            <w:pPr>
              <w:spacing w:before="40" w:after="40"/>
            </w:pPr>
            <w:r>
              <w:rPr>
                <w:sz w:val="18"/>
              </w:rPr>
              <w:t xml:space="preserve">Slow Age - Food Aging Scanner; id:com.toemtech.slowage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Polyphenol Pantry</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Fiberfirst</w:t>
            </w:r>
          </w:p>
        </w:tc>
        <w:tc>
          <w:tcPr>
            <w:tcW w:w="1440" w:type="dxa"/>
          </w:tcPr>
          <w:p>
            <w:pPr>
              <w:spacing w:before="40" w:after="40"/>
            </w:pPr>
            <w:r>
              <w:rPr>
                <w:sz w:val="18"/>
              </w:rPr>
              <w:t xml:space="preserve">FiberFirst TV (TiVo Platform Technologies LLC)</w:t>
            </w:r>
          </w:p>
        </w:tc>
        <w:tc>
          <w:tcPr>
            <w:tcW w:w="1440" w:type="dxa"/>
          </w:tcPr>
          <w:p>
            <w:pPr>
              <w:spacing w:before="40" w:after="40"/>
            </w:pPr>
            <w:r>
              <w:rPr>
                <w:sz w:val="18"/>
              </w:rPr>
              <w:t xml:space="preserve">FiberFirst TV</w:t>
            </w:r>
          </w:p>
        </w:tc>
        <w:tc>
          <w:tcPr>
            <w:tcW w:w="1440" w:type="dxa"/>
          </w:tcPr>
          <w:p>
            <w:pPr>
              <w:spacing w:before="40" w:after="40"/>
            </w:pPr>
            <w:r>
              <w:rPr>
                <w:sz w:val="18"/>
              </w:rPr>
              <w:t xml:space="preserve">FIBERFIRST [IC 038] Generate-Ubiquity Management, LLC (LIMITED LIABILITY COMPANY; DELAWARE, USA)</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Longevora</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LONGEVORA [IC 005] Yufeng Sun (INDIVIDUAL; China)</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Longevicart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Elderleaf</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Rootspan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Verdant Table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Yearsful</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Kindleaf</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Ageproof Pantry</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Lifespan Larder</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Evermeal</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Tenthdecade</w:t>
            </w:r>
          </w:p>
        </w:tc>
        <w:tc>
          <w:tcPr>
            <w:tcW w:w="1440" w:type="dxa"/>
          </w:tcPr>
          <w:p>
            <w:pPr>
              <w:spacing w:before="40" w:after="40"/>
            </w:pPr>
            <w:r>
              <w:rPr>
                <w:sz w:val="18"/>
              </w:rPr>
              <w:t xml:space="preserve">none</w:t>
            </w:r>
          </w:p>
        </w:tc>
        <w:tc>
          <w:tcPr>
            <w:tcW w:w="1440" w:type="dxa"/>
          </w:tcPr>
          <w:p>
            <w:pPr>
              <w:spacing w:before="40" w:after="40"/>
            </w:pPr>
            <w:r>
              <w:rPr>
                <w:sz w:val="18"/>
              </w:rPr>
              <w:t xml:space="preserve">Tenth Decade; Tenthdecade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Wellyears</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Graywise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Nonagen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Livelong Kitchen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Fullspan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Goodyears Kitchen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Aevum</w:t>
            </w:r>
          </w:p>
        </w:tc>
        <w:tc>
          <w:tcPr>
            <w:tcW w:w="1440" w:type="dxa"/>
          </w:tcPr>
          <w:p>
            <w:pPr>
              <w:spacing w:before="40" w:after="40"/>
            </w:pPr>
            <w:r>
              <w:rPr>
                <w:sz w:val="18"/>
              </w:rPr>
              <w:t xml:space="preserve">Aevum – Device Track (Christopher Jensen); Aevum - History Time Machine (Aleksandr Moskotin); Aevum - Countdown &amp; Days (Swen Knies)</w:t>
            </w:r>
          </w:p>
        </w:tc>
        <w:tc>
          <w:tcPr>
            <w:tcW w:w="1440" w:type="dxa"/>
          </w:tcPr>
          <w:p>
            <w:pPr>
              <w:spacing w:before="40" w:after="40"/>
            </w:pPr>
            <w:r>
              <w:rPr>
                <w:sz w:val="18"/>
              </w:rPr>
              <w:t xml:space="preserve">Aevum; Aevum: Auto Time Tracker; Aevum Health Hub; Aevum Climb Fusion Puzzle; Aevum Drift; Aevum - Age Calculator</w:t>
            </w:r>
          </w:p>
        </w:tc>
        <w:tc>
          <w:tcPr>
            <w:tcW w:w="1440" w:type="dxa"/>
          </w:tcPr>
          <w:p>
            <w:pPr>
              <w:spacing w:before="40" w:after="40"/>
            </w:pPr>
            <w:r>
              <w:rPr>
                <w:sz w:val="18"/>
              </w:rPr>
              <w:t xml:space="preserve">AEVUM [IC 009] Elise Rose Sutherland (INDIVIDUAL; United Kingdom); AEVUM [IC 021,IC 033] Southcorp Brands Pty Limited (PROFESSIONAL LIMITED LIABILITY COMPANY; AUSTRALIA); AEVUM [IC 045] Aevum Legal PLLC (LIMITED LIABILITY COMPANY; Florida, USA); AEVUM [IC 041] OLIVIA SALMEN AESTHETICS PLLC (LIMITED LIABILITY COMPANY; Tennessee, USA); AEVUM [IC 005] AEVUM LABS LIMITED (Limited Company; NEW ZEALAND)</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Aeviva</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AEVIVA [IC 005] AEVIVA INC (CORPORATION; Delaware, USA); AEVIVA [IC 004] MILLENNIUM INTERNATIONAL TRADE (CORPORATION; Canada)</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bl>
    <w:p>
      <w:pPr>
        <w:spacing w:after="0"/>
      </w:pP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Hl1" Type="http://schemas.openxmlformats.org/officeDocument/2006/relationships/hyperlink" Target="https://www.ftc.gov/business-guidance/resources/health-products-compliance-guidance" TargetMode="External"/>
<Relationship Id="rHl2" Type="http://schemas.openxmlformats.org/officeDocument/2006/relationships/hyperlink" Target="https://itunes.apple.com/search?term=hundredtable&amp;entity=software&amp;country=us" TargetMode="External"/>
<Relationship Id="rHl3" Type="http://schemas.openxmlformats.org/officeDocument/2006/relationships/hyperlink" Target="https://play.google.com/store/search?q=hundredtable&amp;c=apps&amp;hl=en_US&amp;gl=US" TargetMode="External"/>
<Relationship Id="rHl4" Type="http://schemas.openxmlformats.org/officeDocument/2006/relationships/hyperlink" Target="https://tmsearch.uspto.gov/" TargetMode="External"/>
<Relationship Id="rHl5" Type="http://schemas.openxmlformats.org/officeDocument/2006/relationships/hyperlink" Target="https://rdap.verisign.com/com/v1/domain/hundredtable.com" TargetMode="External"/>
<Relationship Id="rHl6" Type="http://schemas.openxmlformats.org/officeDocument/2006/relationships/hyperlink" Target="https://pubapi.registry.google/rdap/domain/hundredtable.app" TargetMode="External"/>
<Relationship Id="rHl7" Type="http://schemas.openxmlformats.org/officeDocument/2006/relationships/hyperlink" Target="https://www.ncbi.nlm.nih.gov/pmc/articles/PMC12756119/" TargetMode="External"/>
<Relationship Id="rHl8" Type="http://schemas.openxmlformats.org/officeDocument/2006/relationships/hyperlink" Target="https://www.atlantamagazine.com/dining-news/one-hundred-tables-launches-as-an-alternative-to-opentable-and-yelp/" TargetMode="External"/>
<Relationship Id="rHl9" Type="http://schemas.openxmlformats.org/officeDocument/2006/relationships/hyperlink" Target="https://en.wikipedia.org/wiki/Hundred_Burgers" TargetMode="External"/>
<Relationship Id="rHl10" Type="http://schemas.openxmlformats.org/officeDocument/2006/relationships/hyperlink" Target="https://en.wikipedia.org/wiki/Olive_Tree_of_Mouch%C3%A3o" TargetMode="External"/>
<Relationship Id="rHl11" Type="http://schemas.openxmlformats.org/officeDocument/2006/relationships/hyperlink" Target="https://bigthink.com/personal-growth/the-japanese-practice-that-will-change-your-eating-habits/" TargetMode="External"/>
<Relationship Id="rHl12" Type="http://schemas.openxmlformats.org/officeDocument/2006/relationships/hyperlink" Target="https://unseen-japan.com/hara-hachi-bunme/" TargetMode="External"/>
<Relationship Id="rHl13" Type="http://schemas.openxmlformats.org/officeDocument/2006/relationships/hyperlink" Target="https://www.obi.de/p/5553151/dekorspanplatte-280-cm-x-207-cm-x-1-6-cm-eiche-astig-zuschnitt" TargetMode="External"/>
<Relationship Id="rHl14" Type="http://schemas.openxmlformats.org/officeDocument/2006/relationships/hyperlink" Target="https://forum.ripe.net/t/35-years-of-ripe/953" TargetMode="External"/>
</Relationships>
</file>