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Which Idea To Keep — Scored From the Research</w:t>
      </w:r>
    </w:p>
    <w:p>
      <w:r>
        <w:rPr>
          <w:b/>
        </w:rPr>
        <w:t xml:space="preserve">Prepared:</w:t>
      </w:r>
      <w:r>
        <w:t xml:space="preserve"> September 22, 2026 · Sources: the five-section dossiers in </w:t>
      </w:r>
      <w:r>
        <w:rPr>
          <w:rFonts w:ascii="Consolas" w:hAnsi="Consolas"/>
        </w:rPr>
        <w:t xml:space="preserve">07_DietGroceryApp</w:t>
      </w:r>
      <w:r>
        <w:t xml:space="preserve">, </w:t>
      </w:r>
      <w:r>
        <w:rPr>
          <w:rFonts w:ascii="Consolas" w:hAnsi="Consolas"/>
        </w:rPr>
        <w:t xml:space="preserve">08_StartupValuationApp</w:t>
      </w:r>
      <w:r>
        <w:t xml:space="preserve">, </w:t>
      </w:r>
      <w:r>
        <w:rPr>
          <w:rFonts w:ascii="Consolas" w:hAnsi="Consolas"/>
        </w:rPr>
        <w:t xml:space="preserve">09_VotingApp</w:t>
      </w:r>
      <w:r>
        <w:t xml:space="preserve"> and </w:t>
      </w:r>
      <w:r>
        <w:rPr>
          <w:rFonts w:ascii="Consolas" w:hAnsi="Consolas"/>
        </w:rPr>
        <w:t xml:space="preserve">10_ArtCommissionApp</w:t>
      </w:r>
      <w:r>
        <w:t xml:space="preserve">.</w:t>
      </w:r>
    </w:p>
    <w:p>
      <w:r>
        <w:t xml:space="preserve">Scale 1–5. Every score carries the line of research behind it. Where the research doesn't support a score, it says </w:t>
      </w:r>
      <w:r>
        <w:rPr>
          <w:b/>
        </w:rPr>
        <w:t xml:space="preserve">not established</w:t>
      </w:r>
      <w:r>
        <w:t xml:space="preserve">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07 DietGrocery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08 StartupValuation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09 Voting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10 ArtCommission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How often it happens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</w:t>
            </w:r>
            <w:r>
              <w:rPr>
                <w:sz w:val="18"/>
              </w:rPr>
              <w:t xml:space="preserve"> — "Americans average ~40 minutes/day on food prep and cleanup… people who regularly cook spend ~62–63 min/day" (BLS ATUS). Daily.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"investors now recommend founders assume 6–8 months for a full fundraising cycle." Once every year or two.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"big-city mayoral turnout: NYC 23% vs 54%… Charlotte 15% vs 70%" — attention collapses between elections. Once or twice a year.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 xml:space="preserve">not established</w:t>
            </w:r>
            <w:r>
              <w:rPr>
                <w:sz w:val="18"/>
              </w:rPr>
              <w:t xml:space="preserve"> for households. For designers the model assumed "4 completed commissions per designer per year," tagged </w:t>
            </w: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What it costs them today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"the human-labor equivalent of what this app would do runs from roughly </w:t>
            </w:r>
            <w:r>
              <w:rPr>
                <w:b/>
                <w:sz w:val="18"/>
              </w:rPr>
              <w:t xml:space="preserve">$150/month</w:t>
            </w:r>
            <w:r>
              <w:rPr>
                <w:sz w:val="18"/>
              </w:rPr>
              <w:t xml:space="preserve"> (coach + shopper, unbundled) to </w:t>
            </w:r>
            <w:r>
              <w:rPr>
                <w:b/>
                <w:sz w:val="18"/>
              </w:rPr>
              <w:t xml:space="preserve">$1,500+/month</w:t>
            </w:r>
            <w:r>
              <w:rPr>
                <w:sz w:val="18"/>
              </w:rPr>
              <w:t xml:space="preserve"> (personal chef)."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</w:t>
            </w:r>
            <w:r>
              <w:rPr>
                <w:sz w:val="18"/>
              </w:rPr>
              <w:t xml:space="preserve"> — "a fundraising consultant at 3–8% of $2M = </w:t>
            </w:r>
            <w:r>
              <w:rPr>
                <w:b/>
                <w:sz w:val="18"/>
              </w:rPr>
              <w:t xml:space="preserve">$60,000–$160,000</w:t>
            </w:r>
            <w:r>
              <w:rPr>
                <w:sz w:val="18"/>
              </w:rPr>
              <w:t xml:space="preserve">, or a fractional CFO at $5,000/month × 6 months = </w:t>
            </w:r>
            <w:r>
              <w:rPr>
                <w:b/>
                <w:sz w:val="18"/>
              </w:rPr>
              <w:t xml:space="preserve">$30,000</w:t>
            </w:r>
            <w:r>
              <w:rPr>
                <w:sz w:val="18"/>
              </w:rPr>
              <w:t xml:space="preserve">."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</w:t>
            </w:r>
            <w:r>
              <w:rPr>
                <w:sz w:val="18"/>
              </w:rPr>
              <w:t xml:space="preserve"> — the alternatives are free: "VOTE411… 9M+ users across 29,000+ races in 2024," free and volunteer-run. Cost is time, not money.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"Saatchi Art raised its commission from 35% to 40% in 2026"; galleries take 30–50%; advisors 5–20% (≈$500–$1,000 on a $5,000 commission).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Does anyone already pay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"MyFitnessPal generated $310 million revenue in 2025"; "Cal AI… over $40 million in sales in the last 12 months"; WeightWatchers 2.8M subscribers.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"Carta's 409A valuation services are trusted with more than 16,000 valuations per year"; Eqvista sells a 409A + cap table at </w:t>
            </w:r>
            <w:r>
              <w:rPr>
                <w:b/>
                <w:sz w:val="18"/>
              </w:rPr>
              <w:t xml:space="preserve">$990/yr</w:t>
            </w:r>
            <w:r>
              <w:rPr>
                <w:sz w:val="18"/>
              </w:rPr>
              <w:t xml:space="preserve">. But founder-facing valuation tools show near-zero usage: "Equidam… 15 lifetime Trustpilot reviews, 2 in the past year."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</w:t>
            </w:r>
            <w:r>
              <w:rPr>
                <w:sz w:val="18"/>
              </w:rPr>
              <w:t xml:space="preserve"> — "four of five majors are nonprofits or foundation-funded. The one that charges ($8.33/month) is accused of monetizing truth" — 43% of Ground News complaints are about the paywall.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a $26.2B US art market with paid intermediaries at every layer: Saatchi 40%, Fiverr 20% + 5.5%, Etsy ~10%, advisors 5–20%.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Can we reach them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proven consumer channel: "Cal AI… 15 million downloads" in under two years, and </w:t>
            </w:r>
            <w:r>
              <w:rPr>
                <w:b/>
                <w:sz w:val="18"/>
              </w:rPr>
              <w:t xml:space="preserve">Mealime shuts down October 21, 2026</w:t>
            </w:r>
            <w:r>
              <w:rPr>
                <w:sz w:val="18"/>
              </w:rPr>
              <w:t xml:space="preserve"> with "no export button," leaving 5M+ downloads of users looking.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</w:t>
            </w:r>
            <w:r>
              <w:rPr>
                <w:sz w:val="18"/>
              </w:rPr>
              <w:t xml:space="preserve"> — a public list exists — "</w:t>
            </w:r>
            <w:r>
              <w:rPr>
                <w:b/>
                <w:sz w:val="18"/>
              </w:rPr>
              <w:t xml:space="preserve">34,553</w:t>
            </w:r>
            <w:r>
              <w:rPr>
                <w:sz w:val="18"/>
              </w:rPr>
              <w:t xml:space="preserve"> initial Form D filings (2025 YTD)" names companies that just raised — but no channel is proven, and Equidam had 13 years and left almost no footprint.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the distribution is already taken: Google ships voting info "across Search, AI Mode, AI Overviews and the Gemini app," and OpenAI and Anthropic both ship Democracy Works data. Free and pre-installed.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supply side is gated: VGen — "until generative AI is made with Consent, Credit, and Compensation, it is not welcome" — suspends accounts; Artfinder "explicitly prohibits" AI art. Buyer-side channel (87,100 interior designers) is </w:t>
            </w:r>
            <w:r>
              <w:rPr>
                <w:b/>
                <w:sz w:val="18"/>
              </w:rPr>
              <w:t xml:space="preserve">not established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17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11</w:t>
            </w:r>
          </w:p>
        </w:tc>
      </w:tr>
    </w:tbl>
    <w:p>
      <w:pPr>
        <w:spacing w:after="0"/>
      </w:pPr>
    </w:p>
    <w:p>
      <w:r>
        <w:rPr>
          <w:b/>
        </w:rPr>
        <w:t xml:space="preserve">One uncertainty worth stating plainly:</w:t>
      </w:r>
      <w:r>
        <w:t xml:space="preserve"> the DietGrocery score for "does anyone already pay" is the most solid number in the table, and the ArtCommission "how often" score is the weakest — the research never established commissioning frequency for any buyer group, so 1 reflects missing evidence, not a measured low.</w:t>
      </w:r>
    </w:p>
    <w:p>
      <w:r>
        <w:br w:type="page"/>
      </w:r>
    </w:p>
    <w:p>
      <w:pPr>
        <w:pStyle w:val="Title"/>
      </w:pPr>
      <w:r>
        <w:t xml:space="preserve">What Would Have To Be True — DietGroceryApp at $19.99/month or a Cut of Each Order</w:t>
      </w:r>
    </w:p>
    <w:p>
      <w:r>
        <w:rPr>
          <w:b/>
        </w:rPr>
        <w:t xml:space="preserve">Prepared:</w:t>
      </w:r>
      <w:r>
        <w:t xml:space="preserve"> September 22, 2026 · Section 2 of this document.</w:t>
      </w:r>
    </w:p>
    <w:p>
      <w:pPr>
        <w:pStyle w:val="Heading1"/>
      </w:pPr>
      <w:r>
        <w:t xml:space="preserve">On the transaction price, since you asked</w:t>
      </w:r>
    </w:p>
    <w:p>
      <w:r>
        <w:rPr>
          <w:b/>
        </w:rPr>
        <w:t xml:space="preserve">Suggested starting point: 2% of the completed cart, or a flat $1.99 per order — whichever is lower — with the app free.</w:t>
      </w:r>
    </w:p>
    <w:p>
      <w:r>
        <w:t xml:space="preserve">The arithmetic that sets the ceiling: a household ordering </w:t>
      </w:r>
      <w:r>
        <w:rPr>
          <w:b/>
        </w:rPr>
        <w:t xml:space="preserve">4 times a month at $150 a cart</w:t>
      </w:r>
      <w:r>
        <w:t xml:space="preserve"> spends $600/month online, so </w:t>
      </w:r>
      <w:r>
        <w:rPr>
          <w:b/>
        </w:rPr>
        <w:t xml:space="preserve">2% = $12/month</w:t>
      </w:r>
      <w:r>
        <w:t xml:space="preserve"> — *less* than the $19.99 subscription. </w:t>
      </w:r>
      <w:r>
        <w:rPr>
          <w:b/>
        </w:rPr>
        <w:t xml:space="preserve">The transaction model only beats the subscription for households with big carts or high order frequency.</w:t>
      </w:r>
      <w:r>
        <w:t xml:space="preserve"> </w:t>
      </w:r>
      <w:r>
        <w:rPr>
          <w:rFonts w:ascii="Consolas" w:hAnsi="Consolas"/>
        </w:rPr>
        <w:t xml:space="preserve">[The $150/$600 figures are illustrative — this dossier never sourced US household grocery spend. Verify before using.]</w:t>
      </w:r>
    </w:p>
    <w:p>
      <w:r>
        <w:t xml:space="preserve">Two things that favor the transaction model anyway: </w:t>
      </w:r>
      <w:r>
        <w:rPr>
          <w:b/>
        </w:rPr>
        <w:t xml:space="preserve">it charges nothing to a user who doesn't order</w:t>
      </w:r>
      <w:r>
        <w:t xml:space="preserve">, which fits a product people abandon (Section 1: tracking consistency falls 68% → 21% by week 12), and </w:t>
      </w:r>
      <w:r>
        <w:rPr>
          <w:b/>
        </w:rPr>
        <w:t xml:space="preserve">revenue collected outside the app avoids Apple's 15–30% cut</w:t>
      </w:r>
      <w:r>
        <w:t xml:space="preserve"> that a subscription pays.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Group 1 — Things the research already established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Assumption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Evidence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$19.99 is a real price point in this category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MyFitnessPal Premium and Fitia Premium both charge exactly $19.99/month.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It is at the </w:t>
            </w:r>
            <w:r>
              <w:rPr>
                <w:b/>
                <w:sz w:val="18"/>
              </w:rPr>
              <w:t xml:space="preserve">top</w:t>
            </w:r>
            <w:r>
              <w:rPr>
                <w:sz w:val="18"/>
              </w:rPr>
              <w:t xml:space="preserve"> of the range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Plan to Eat $5.95, eMeals ~$4.99, Samsung Food $6.99, MealPrepPro $9.99, MacroFactor $11.99.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People do pay for nutrition apps at scale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MyFitnessPal earned $310M in 2025; Cal AI made $40M in its first 18 months.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Charging is the most complained-about thing in this category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39% of 479 critical reviews were about pricing, paywalls and billing.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grocery-ordering rail exists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Instacart's Developer Platform opens ~1B products from 85,000 stores to third-party apps.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already order groceries online at scale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19.5% of US consumers order groceries online at least monthly.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competing human service costs far more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$150/month (coach + shopper) to $1,500+/month (personal chef).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 competitor already sells the same bundle at the same price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MyFitnessPal Premium+ advertises "personalized meal plans, integrated grocery delivery" at $19.99/month.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Retention will be the binding constraint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Consistent calorie tracking falls from 68% of users in week 1 to 21% by week 12.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Group 2 — Things five conversations next week would settle</w:t>
      </w:r>
    </w:p>
    <w:p>
      <w:r>
        <w:t xml:space="preserve">1. Do they currently pay for </w:t>
      </w:r>
      <w:r>
        <w:rPr>
          <w:b/>
        </w:rPr>
        <w:t xml:space="preserve">any</w:t>
      </w:r>
      <w:r>
        <w:t xml:space="preserve"> nutrition or meal app, and how much?</w:t>
      </w:r>
    </w:p>
    <w:p>
      <w:r>
        <w:t xml:space="preserve">2. Would they pay $19.99/month on top of the grocery bill — or does it read as a second grocery fee?</w:t>
      </w:r>
    </w:p>
    <w:p>
      <w:r>
        <w:t xml:space="preserve">3. </w:t>
      </w:r>
      <w:r>
        <w:rPr>
          <w:b/>
        </w:rPr>
        <w:t xml:space="preserve">Who in the household actually places the order?</w:t>
      </w:r>
      <w:r>
        <w:t xml:space="preserve"> The person who cooks is often not the person who shops, and the app assumes they're the same.</w:t>
      </w:r>
    </w:p>
    <w:p>
      <w:r>
        <w:t xml:space="preserve">4. Do they order </w:t>
      </w:r>
      <w:r>
        <w:rPr>
          <w:b/>
        </w:rPr>
        <w:t xml:space="preserve">delivery or pickup</w:t>
      </w:r>
      <w:r>
        <w:t xml:space="preserve">? Pickup is cheaper and may not carry the same fees.</w:t>
      </w:r>
    </w:p>
    <w:p>
      <w:r>
        <w:t xml:space="preserve">5. Do they shop </w:t>
      </w:r>
      <w:r>
        <w:rPr>
          <w:b/>
        </w:rPr>
        <w:t xml:space="preserve">one store or several</w:t>
      </w:r>
      <w:r>
        <w:t xml:space="preserve"> — warehouse club for bulk, supermarket for fresh?</w:t>
      </w:r>
    </w:p>
    <w:p>
      <w:r>
        <w:t xml:space="preserve">6. How do they handle </w:t>
      </w:r>
      <w:r>
        <w:rPr>
          <w:b/>
        </w:rPr>
        <w:t xml:space="preserve">substitutions</w:t>
      </w:r>
      <w:r>
        <w:t xml:space="preserve"> today, and who decides when an item is out?</w:t>
      </w:r>
    </w:p>
    <w:p>
      <w:r>
        <w:t xml:space="preserve">7. Do they use </w:t>
      </w:r>
      <w:r>
        <w:rPr>
          <w:b/>
        </w:rPr>
        <w:t xml:space="preserve">SNAP/EBT</w:t>
      </w:r>
      <w:r>
        <w:t xml:space="preserve">, loyalty cards or coupons? Those constrain what can be charged and where.</w:t>
      </w:r>
    </w:p>
    <w:p>
      <w:r>
        <w:t xml:space="preserve">8. Does anyone in the household have a </w:t>
      </w:r>
      <w:r>
        <w:rPr>
          <w:b/>
        </w:rPr>
        <w:t xml:space="preserve">medical diet</w:t>
      </w:r>
      <w:r>
        <w:t xml:space="preserve"> with a dietitian already involved?</w:t>
      </w:r>
    </w:p>
    <w:p>
      <w:r>
        <w:t xml:space="preserve">9. How often do they re-order the same basket versus plan something new?</w:t>
      </w:r>
    </w:p>
    <w:p>
      <w:r>
        <w:t xml:space="preserve">10. Would they rather pay </w:t>
      </w:r>
      <w:r>
        <w:rPr>
          <w:b/>
        </w:rPr>
        <w:t xml:space="preserve">per order</w:t>
      </w:r>
      <w:r>
        <w:t xml:space="preserve"> than monthly — and at what number does a per-order fee start to annoy them?</w:t>
      </w:r>
    </w:p>
    <w:p>
      <w:r>
        <w:t xml:space="preserve">11. What made them </w:t>
      </w:r>
      <w:r>
        <w:rPr>
          <w:b/>
        </w:rPr>
        <w:t xml:space="preserve">quit</w:t>
      </w:r>
      <w:r>
        <w:t xml:space="preserve"> the last diet app they used?</w:t>
      </w:r>
    </w:p>
    <w:p>
      <w:r>
        <w:t xml:space="preserve">12. Is a GLP-1 part of their situation, and has it changed what they want from food?</w:t>
      </w:r>
    </w:p>
    <w:p>
      <w:r>
        <w:rPr>
          <w:b/>
        </w:rPr>
        <w:t xml:space="preserve">Do these as twelve questions in one 20-minute call. The answer to #3 alone could change the product.</w:t>
      </w:r>
    </w:p>
    <w:p>
      <w:pPr>
        <w:pStyle w:val="Heading1"/>
      </w:pPr>
      <w:r>
        <w:t xml:space="preserve">Group 3 — Things we cannot know yet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Unknown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Why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Instacart or a retailer will pay an affiliate rate at all, and how much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Not published; requires a partnership conversation.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MyFitnessPal's Premium+ bundle is any good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Their support page is 403 to research tools; only Apple's listing confirms the feature exists.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Real retention for this specific product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benchmark exists for a nutrition-plus-grocery subscription; the 68%→21% figure is tracking-only.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an AI-built cart can hit ~95% line-item accuracy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Untested, and it's where OpenAI's Instant Checkout failed publicly in March 2026.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What it costs to acquire a paying user here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Nobody in the category publishes CAC.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the Mealime shutdown (Oct 21, 2026) actually converts to paying users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5M+ downloads are real; their willingness to pay is not established.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allergen exclusion can be made safe enough to promise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Current models produce unsafe answers 5–13% of the time on medical questions.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households will accept a subscription </w:t>
            </w:r>
            <w:r>
              <w:rPr>
                <w:b/>
                <w:sz w:val="18"/>
              </w:rPr>
              <w:t xml:space="preserve">and</w:t>
            </w:r>
            <w:r>
              <w:rPr>
                <w:sz w:val="18"/>
              </w:rPr>
              <w:t xml:space="preserve"> delivery fees </w:t>
            </w:r>
            <w:r>
              <w:rPr>
                <w:b/>
                <w:sz w:val="18"/>
              </w:rPr>
              <w:t xml:space="preserve">and</w:t>
            </w:r>
            <w:r>
              <w:rPr>
                <w:sz w:val="18"/>
              </w:rPr>
              <w:t xml:space="preserve"> a service fee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Three charges on one grocery order; no evidence either way.</w:t>
            </w:r>
          </w:p>
        </w:tc>
      </w:tr>
    </w:tbl>
    <w:p>
      <w:pPr>
        <w:spacing w:after="0"/>
      </w:pP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  <w:outlineLvl w:val="0"/>
    </w:pPr>
    <w:rPr>
      <w:b/>
      <w:sz w:val="52"/>
      <w:color w:val="1A1A1A"/>
    </w:rPr>
  </w:style>
  <w:style w:type="paragraph" w:styleId="Heading1">
    <w:name w:val="heading 1"/>
    <w:basedOn w:val="Normal"/>
    <w:qFormat/>
    <w:pPr>
      <w:keepNext/>
      <w:spacing w:before="360" w:after="140"/>
      <w:outlineLvl w:val="0"/>
    </w:pPr>
    <w:rPr>
      <w:b/>
      <w:sz w:val="34"/>
      <w:color w:val="1F3864"/>
    </w:rPr>
  </w:style>
  <w:style w:type="paragraph" w:styleId="Heading2">
    <w:name w:val="heading 2"/>
    <w:basedOn w:val="Normal"/>
    <w:qFormat/>
    <w:pPr>
      <w:keepNext/>
      <w:spacing w:before="280" w:after="120"/>
      <w:outlineLvl w:val="1"/>
    </w:pPr>
    <w:rPr>
      <w:b/>
      <w:sz w:val="26"/>
      <w:color w:val="2E5A88"/>
    </w:rPr>
  </w:style>
  <w:style w:type="paragraph" w:styleId="Heading3">
    <w:name w:val="heading 3"/>
    <w:basedOn w:val="Normal"/>
    <w:qFormat/>
    <w:pPr>
      <w:keepNext/>
      <w:spacing w:before="220" w:after="100"/>
      <w:outlineLvl w:val="2"/>
    </w:pPr>
    <w:rPr>
      <w:b/>
      <w:sz w:val="23"/>
      <w:color w:val="3C3C3C"/>
    </w:rPr>
  </w:style>
  <w:style w:type="character" w:styleId="Hyperlink">
    <w:name w:val="Hyperlink"/>
    <w:rPr>
      <w:color w:val="1155CC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
</Relationships>
</file>