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ArtCommissionApp — Research Dossier</w:t>
      </w:r>
    </w:p>
    <w:p>
      <w:r>
        <w:rPr>
          <w:b/>
        </w:rPr>
        <w:t xml:space="preserve">Project:</w:t>
      </w:r>
      <w:r>
        <w:t xml:space="preserve"> 10_ArtCommissionApp (ENTP 6314)</w:t>
      </w:r>
    </w:p>
    <w:p>
      <w:r>
        <w:rPr>
          <w:b/>
        </w:rPr>
        <w:t xml:space="preserve">Owner:</w:t>
      </w:r>
      <w:r>
        <w:t xml:space="preserve"> Stephen Pinson</w:t>
      </w:r>
    </w:p>
    <w:p>
      <w:r>
        <w:rPr>
          <w:b/>
        </w:rPr>
        <w:t xml:space="preserve">Started:</w:t>
      </w:r>
      <w:r>
        <w:t xml:space="preserve"> September 22, 2026</w:t>
      </w:r>
    </w:p>
    <w:p>
      <w:r>
        <w:rPr>
          <w:b/>
        </w:rPr>
        <w:t xml:space="preserve">Status:</w:t>
      </w:r>
      <w:r>
        <w:t xml:space="preserve"> Living document — a new section is added for each research prompt.</w:t>
      </w:r>
    </w:p>
    <w:p>
      <w:pPr>
        <w:pStyle w:val="Heading1"/>
      </w:pPr>
      <w:r>
        <w:t xml:space="preserve">Contents so far</w:t>
      </w:r>
    </w:p>
    <w:p>
      <w:pPr>
        <w:numPr>
          <w:ilvl w:val="0"/>
          <w:numId w:val="1"/>
        </w:numPr>
      </w:pPr>
      <w:r>
        <w:t xml:space="preserve">Section 1 — Opportunity Scan: who has the art-commissioning problem, how many, what they use today, complaints about current tools, and what AI actually changed. *(Added Sept 22, 2026)*</w:t>
      </w:r>
    </w:p>
    <w:p>
      <w:r>
        <w:t xml:space="preserve">Every factual claim carries a source link. Items that could not be verified are listed explicitly at the end of each section rather than being smoothed over.</w:t>
      </w:r>
    </w:p>
    <w:p>
      <w:r>
        <w:br w:type="page"/>
      </w:r>
    </w:p>
    <w:p>
      <w:pPr>
        <w:pStyle w:val="Title"/>
      </w:pPr>
      <w:r>
        <w:t xml:space="preserve">Opportunity Scan — Art Commission &amp; Room-Matching App</w:t>
      </w:r>
    </w:p>
    <w:p>
      <w:r>
        <w:rPr>
          <w:b/>
        </w:rPr>
        <w:t xml:space="preserve">Prepared:</w:t>
      </w:r>
      <w:r>
        <w:t xml:space="preserve"> September 22, 2026</w:t>
      </w:r>
    </w:p>
    <w:p>
      <w:r>
        <w:rPr>
          <w:b/>
        </w:rPr>
        <w:t xml:space="preserve">Analyst role:</w:t>
      </w:r>
      <w:r>
        <w:t xml:space="preserve"> Market research analyst</w:t>
      </w:r>
    </w:p>
    <w:p>
      <w:r>
        <w:rPr>
          <w:b/>
        </w:rPr>
        <w:t xml:space="preserve">Problem space:</w:t>
      </w:r>
      <w:r>
        <w:t xml:space="preserve"> Fine artists make work nobody buys because it doesn't fit a buyer's wall, palette or theme; buyers want art that appreciates but resent 30–50% gallery commissions; artists get blocked on new themes. The proposed app vets artists by degree, lets a buyer photograph their space, choose size/color/theme/texture, upload inspiration images, and generates a brief (text or images) for a commissioned work.</w:t>
      </w:r>
    </w:p>
    <w:p>
      <w:pPr>
        <w:ind w:left="360"/>
        <w:pBdr>
          <w:left w:val="single" w:sz="18" w:space="8" w:color="9AA0A6"/>
        </w:pBdr>
      </w:pPr>
      <w:r>
        <w:rPr>
          <w:b/>
        </w:rPr>
        <w:t xml:space="preserve">Access note.</w:t>
      </w:r>
      <w:r>
        <w:t xml:space="preserve"> Reddit is blocked to this tool — which costs more here than in any previous project, because artist-commission culture lives on Reddit, Discord and X. G2 is blocked; Capterra covers gallery-management software, not artist or buyer tools. Evidence below comes from the </w:t>
      </w:r>
      <w:r>
        <w:rPr>
          <w:b/>
        </w:rPr>
        <w:t xml:space="preserve">Apple App Store review feed (289 critical reviews across 8 relevant apps)</w:t>
      </w:r>
      <w:r>
        <w:t xml:space="preserve">, Trustpilot, and industry reports. See </w:t>
      </w:r>
      <w:r>
        <w:rPr>
          <w:b/>
        </w:rPr>
        <w:t xml:space="preserve">Section 5</w:t>
      </w:r>
      <w:r>
        <w:t xml:space="preserve"> for everything unverified.</w:t>
      </w:r>
    </w:p>
    <w:p>
      <w:pPr>
        <w:pBdr>
          <w:bottom w:val="single" w:sz="6" w:space="6" w:color="C9CCD1"/>
        </w:pBdr>
      </w:pPr>
    </w:p>
    <w:p>
      <w:pPr>
        <w:pStyle w:val="Heading1"/>
      </w:pPr>
      <w:r>
        <w:t xml:space="preserve">1. Who has this problem, and how many?</w:t>
      </w:r>
    </w:p>
    <w:p>
      <w:pPr>
        <w:pStyle w:val="Heading2"/>
      </w:pPr>
      <w:r>
        <w:t xml:space="preserve">1a. Supply side — the artists</w:t>
      </w:r>
    </w:p>
    <w:tbl>
      <w:tblPr>
        <w:tblW w:w="1008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single" w:sz="4" w:space="0" w:color="C9CCD1"/>
          <w:insideV w:val="single" w:sz="4" w:space="0" w:color="C9CCD1"/>
        </w:tblBorders>
        <w:tblLayout w:type="fixed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w="336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Measure</w:t>
            </w:r>
          </w:p>
        </w:tc>
        <w:tc>
          <w:tcPr>
            <w:tcW w:w="336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US figure</w:t>
            </w:r>
          </w:p>
        </w:tc>
        <w:tc>
          <w:tcPr>
            <w:tcW w:w="336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Source</w:t>
            </w:r>
          </w:p>
        </w:tc>
      </w:tr>
      <w:tr>
        <w:tc>
          <w:tcPr>
            <w:tcW w:w="336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People in fine-arts occupations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347,000 (2023)</w:t>
            </w:r>
            <w:r>
              <w:rPr>
                <w:sz w:val="18"/>
              </w:rPr>
              <w:t xml:space="preserve">, up </w:t>
            </w:r>
            <w:r>
              <w:rPr>
                <w:b/>
                <w:sz w:val="18"/>
              </w:rPr>
              <w:t xml:space="preserve">51%</w:t>
            </w:r>
            <w:r>
              <w:rPr>
                <w:sz w:val="18"/>
              </w:rPr>
              <w:t xml:space="preserve"> from 230,000 in 2015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hyperlink r:id="rHl1">
              <w:r>
                <w:rPr>
                  <w:rStyle w:val="Hyperlink"/>
                  <w:sz w:val="18"/>
                </w:rPr>
                <w:t xml:space="preserve">NEA Arts Data Profile</w:t>
              </w:r>
            </w:hyperlink>
          </w:p>
        </w:tc>
      </w:tr>
      <w:tr>
        <w:tc>
          <w:tcPr>
            <w:tcW w:w="336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Wage-and-salary</w:t>
            </w:r>
            <w:r>
              <w:rPr>
                <w:sz w:val="18"/>
              </w:rPr>
              <w:t xml:space="preserve"> fine artists (painters, sculptors, illustrators — BLS 27-1013)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10,910 (May 2023)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hyperlink r:id="rHl2">
              <w:r>
                <w:rPr>
                  <w:rStyle w:val="Hyperlink"/>
                  <w:sz w:val="18"/>
                </w:rPr>
                <w:t xml:space="preserve">BLS OES</w:t>
              </w:r>
            </w:hyperlink>
          </w:p>
        </w:tc>
      </w:tr>
      <w:tr>
        <w:tc>
          <w:tcPr>
            <w:tcW w:w="336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US visual artists' median income from art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$20,000–$30,000/yr; ~60% earn under $30,000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hyperlink r:id="rHl3">
              <w:r>
                <w:rPr>
                  <w:rStyle w:val="Hyperlink"/>
                  <w:sz w:val="18"/>
                </w:rPr>
                <w:t xml:space="preserve">The Creative Independent artist survey</w:t>
              </w:r>
            </w:hyperlink>
          </w:p>
        </w:tc>
      </w:tr>
      <w:tr>
        <w:tc>
          <w:tcPr>
            <w:tcW w:w="336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UK comparison (median visual-artist income)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£12,500</w:t>
            </w:r>
            <w:r>
              <w:rPr>
                <w:sz w:val="18"/>
              </w:rPr>
              <w:t xml:space="preserve">, down ~50% in real terms since 2010; </w:t>
            </w:r>
            <w:r>
              <w:rPr>
                <w:b/>
                <w:sz w:val="18"/>
              </w:rPr>
              <w:t xml:space="preserve">80%+ call earnings unstable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hyperlink r:id="rHl4">
              <w:r>
                <w:rPr>
                  <w:rStyle w:val="Hyperlink"/>
                  <w:sz w:val="18"/>
                </w:rPr>
                <w:t xml:space="preserve">CREATe / University of Glasgow</w:t>
              </w:r>
            </w:hyperlink>
          </w:p>
        </w:tc>
      </w:tr>
    </w:tbl>
    <w:p>
      <w:pPr>
        <w:spacing w:after="0"/>
      </w:pPr>
    </w:p>
    <w:p>
      <w:r>
        <w:rPr>
          <w:b/>
        </w:rPr>
        <w:t xml:space="preserve">Read the first two rows together.</w:t>
      </w:r>
      <w:r>
        <w:t xml:space="preserve"> 347,000 people work in fine-arts occupations but only </w:t>
      </w:r>
      <w:r>
        <w:rPr>
          <w:b/>
        </w:rPr>
        <w:t xml:space="preserve">10,910 hold wage-and-salary fine-artist jobs</w:t>
      </w:r>
      <w:r>
        <w:t xml:space="preserve"> — the rest are self-employed, freelance or working other jobs. </w:t>
      </w:r>
      <w:r>
        <w:rPr>
          <w:b/>
        </w:rPr>
        <w:t xml:space="preserve">This is a large, growing, and poor population.</w:t>
      </w:r>
      <w:r>
        <w:t xml:space="preserve"> They have the problem. Whether they can pay to solve it is Section 4's question, not this one.</w:t>
      </w:r>
    </w:p>
    <w:p>
      <w:pPr>
        <w:pStyle w:val="Heading2"/>
      </w:pPr>
      <w:r>
        <w:t xml:space="preserve">1b. Demand side — the buyers</w:t>
      </w:r>
    </w:p>
    <w:tbl>
      <w:tblPr>
        <w:tblW w:w="1008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single" w:sz="4" w:space="0" w:color="C9CCD1"/>
          <w:insideV w:val="single" w:sz="4" w:space="0" w:color="C9CCD1"/>
        </w:tblBorders>
        <w:tblLayout w:type="fixed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w="336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Measure</w:t>
            </w:r>
          </w:p>
        </w:tc>
        <w:tc>
          <w:tcPr>
            <w:tcW w:w="336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Figure</w:t>
            </w:r>
          </w:p>
        </w:tc>
        <w:tc>
          <w:tcPr>
            <w:tcW w:w="336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Source</w:t>
            </w:r>
          </w:p>
        </w:tc>
      </w:tr>
      <w:tr>
        <w:tc>
          <w:tcPr>
            <w:tcW w:w="336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Global art market, 2025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$59.6B</w:t>
            </w:r>
            <w:r>
              <w:rPr>
                <w:sz w:val="18"/>
              </w:rPr>
              <w:t xml:space="preserve">, +4% after two down years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hyperlink r:id="rHl5">
              <w:r>
                <w:rPr>
                  <w:rStyle w:val="Hyperlink"/>
                  <w:sz w:val="18"/>
                </w:rPr>
                <w:t xml:space="preserve">Art Basel &amp; UBS Art Market Report 2026</w:t>
              </w:r>
            </w:hyperlink>
          </w:p>
        </w:tc>
      </w:tr>
      <w:tr>
        <w:tc>
          <w:tcPr>
            <w:tcW w:w="336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US share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44% — roughly $26.2B</w:t>
            </w:r>
            <w:r>
              <w:rPr>
                <w:sz w:val="18"/>
              </w:rPr>
              <w:t xml:space="preserve"> *(my arithmetic on their figures)*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hyperlink r:id="rHl6">
              <w:r>
                <w:rPr>
                  <w:rStyle w:val="Hyperlink"/>
                  <w:sz w:val="18"/>
                </w:rPr>
                <w:t xml:space="preserve">Art Basel/UBS via Family Wealth Report</w:t>
              </w:r>
            </w:hyperlink>
          </w:p>
        </w:tc>
      </w:tr>
      <w:tr>
        <w:tc>
          <w:tcPr>
            <w:tcW w:w="336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Dealer-sector sales, global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$34.8B (+2%)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hyperlink r:id="rHl5">
              <w:r>
                <w:rPr>
                  <w:rStyle w:val="Hyperlink"/>
                  <w:sz w:val="18"/>
                </w:rPr>
                <w:t xml:space="preserve">Art Basel/UBS</w:t>
              </w:r>
            </w:hyperlink>
          </w:p>
        </w:tc>
      </w:tr>
      <w:tr>
        <w:tc>
          <w:tcPr>
            <w:tcW w:w="336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Online-only sales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$9.2B — down 11%</w:t>
            </w:r>
            <w:r>
              <w:rPr>
                <w:sz w:val="18"/>
              </w:rPr>
              <w:t xml:space="preserve">, lowest since 2019; </w:t>
            </w:r>
            <w:r>
              <w:rPr>
                <w:b/>
                <w:sz w:val="18"/>
              </w:rPr>
              <w:t xml:space="preserve">15% of market, down 3 points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hyperlink r:id="rHl7">
              <w:r>
                <w:rPr>
                  <w:rStyle w:val="Hyperlink"/>
                  <w:sz w:val="18"/>
                </w:rPr>
                <w:t xml:space="preserve">Art Basel/UBS 2026</w:t>
              </w:r>
            </w:hyperlink>
          </w:p>
        </w:tc>
      </w:tr>
      <w:tr>
        <w:tc>
          <w:tcPr>
            <w:tcW w:w="336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Collectors who bought art online (2022)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78%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hyperlink r:id="rHl8">
              <w:r>
                <w:rPr>
                  <w:rStyle w:val="Hyperlink"/>
                  <w:sz w:val="18"/>
                </w:rPr>
                <w:t xml:space="preserve">Hiscox Online Art Trade Report</w:t>
              </w:r>
            </w:hyperlink>
          </w:p>
        </w:tc>
      </w:tr>
      <w:tr>
        <w:tc>
          <w:tcPr>
            <w:tcW w:w="336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Instagram as preferred art-discovery platform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65%</w:t>
            </w:r>
            <w:r>
              <w:rPr>
                <w:sz w:val="18"/>
              </w:rPr>
              <w:t xml:space="preserve"> of respondents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hyperlink r:id="rHl8">
              <w:r>
                <w:rPr>
                  <w:rStyle w:val="Hyperlink"/>
                  <w:sz w:val="18"/>
                </w:rPr>
                <w:t xml:space="preserve">Hiscox</w:t>
              </w:r>
            </w:hyperlink>
          </w:p>
        </w:tc>
      </w:tr>
    </w:tbl>
    <w:p>
      <w:pPr>
        <w:spacing w:after="0"/>
      </w:pPr>
    </w:p>
    <w:p>
      <w:r>
        <w:rPr>
          <w:b/>
        </w:rPr>
        <w:t xml:space="preserve">The headline risk sits in row 4: online art sales fell 11% in 2025 and are at their lowest level since 2019</w:t>
      </w:r>
      <w:r>
        <w:t xml:space="preserve">, as high-value buying moved back in person. The proposed app is an online-art product entering a shrinking online-art segment.</w:t>
      </w:r>
    </w:p>
    <w:p>
      <w:pPr>
        <w:pStyle w:val="Heading2"/>
      </w:pPr>
      <w:r>
        <w:t xml:space="preserve">1c. The commission grievance, quantified</w:t>
      </w:r>
    </w:p>
    <w:p>
      <w:r>
        <w:t xml:space="preserve">Gallery splits run </w:t>
      </w:r>
      <w:r>
        <w:rPr>
          <w:b/>
        </w:rPr>
        <w:t xml:space="preserve">40–60% to the gallery</w:t>
      </w:r>
      <w:r>
        <w:t xml:space="preserve">, with </w:t>
      </w:r>
      <w:r>
        <w:rPr>
          <w:b/>
        </w:rPr>
        <w:t xml:space="preserve">50/50 the industry standard</w:t>
      </w:r>
      <w:r>
        <w:t xml:space="preserve"> and prestige galleries taking 60–70%. (</w:t>
      </w:r>
      <w:hyperlink r:id="rHl9">
        <w:r>
          <w:rPr>
            <w:rStyle w:val="Hyperlink"/>
          </w:rPr>
          <w:t xml:space="preserve">PuppetVendors 2026 benchmarks</w:t>
        </w:r>
      </w:hyperlink>
      <w:r>
        <w:t xml:space="preserve">; </w:t>
      </w:r>
      <w:hyperlink r:id="rHl10">
        <w:r>
          <w:rPr>
            <w:rStyle w:val="Hyperlink"/>
          </w:rPr>
          <w:t xml:space="preserve">Hyperallergic</w:t>
        </w:r>
      </w:hyperlink>
      <w:r>
        <w:t xml:space="preserve">) The 30–50% figure in your premise is accurate and, if anything, understates the top end.</w:t>
      </w:r>
    </w:p>
    <w:p>
      <w:pPr>
        <w:pStyle w:val="Heading2"/>
      </w:pPr>
      <w:r>
        <w:t xml:space="preserve">1d. The professional buyers nobody in this premise mentions</w:t>
      </w:r>
    </w:p>
    <w:tbl>
      <w:tblPr>
        <w:tblW w:w="1008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single" w:sz="4" w:space="0" w:color="C9CCD1"/>
          <w:insideV w:val="single" w:sz="4" w:space="0" w:color="C9CCD1"/>
        </w:tblBorders>
        <w:tblLayout w:type="fixed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w="336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Segment</w:t>
            </w:r>
          </w:p>
        </w:tc>
        <w:tc>
          <w:tcPr>
            <w:tcW w:w="336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US figure</w:t>
            </w:r>
          </w:p>
        </w:tc>
        <w:tc>
          <w:tcPr>
            <w:tcW w:w="336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Source</w:t>
            </w:r>
          </w:p>
        </w:tc>
      </w:tr>
      <w:tr>
        <w:tc>
          <w:tcPr>
            <w:tcW w:w="336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Interior designers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87,100 jobs (2024)</w:t>
            </w:r>
            <w:r>
              <w:rPr>
                <w:sz w:val="18"/>
              </w:rPr>
              <w:t xml:space="preserve">; median wage $63,490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hyperlink r:id="rHl11">
              <w:r>
                <w:rPr>
                  <w:rStyle w:val="Hyperlink"/>
                  <w:sz w:val="18"/>
                </w:rPr>
                <w:t xml:space="preserve">BLS OOH</w:t>
              </w:r>
            </w:hyperlink>
          </w:p>
        </w:tc>
      </w:tr>
      <w:tr>
        <w:tc>
          <w:tcPr>
            <w:tcW w:w="336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Corporate art buyers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Role exists as a paid occupation; average </w:t>
            </w:r>
            <w:r>
              <w:rPr>
                <w:b/>
                <w:sz w:val="18"/>
              </w:rPr>
              <w:t xml:space="preserve">$72,133/yr</w:t>
            </w:r>
            <w:r>
              <w:rPr>
                <w:sz w:val="18"/>
              </w:rPr>
              <w:t xml:space="preserve">, $57,500–$89,000 typical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hyperlink r:id="rHl12">
              <w:r>
                <w:rPr>
                  <w:rStyle w:val="Hyperlink"/>
                  <w:sz w:val="18"/>
                </w:rPr>
                <w:t xml:space="preserve">ZipRecruiter</w:t>
              </w:r>
            </w:hyperlink>
          </w:p>
        </w:tc>
      </w:tr>
      <w:tr>
        <w:tc>
          <w:tcPr>
            <w:tcW w:w="336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Art consulting firms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An established industry placing art in offices, healthcare and commercial spaces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hyperlink r:id="rHl13">
              <w:r>
                <w:rPr>
                  <w:rStyle w:val="Hyperlink"/>
                  <w:sz w:val="18"/>
                </w:rPr>
                <w:t xml:space="preserve">TurningArt guide</w:t>
              </w:r>
            </w:hyperlink>
          </w:p>
        </w:tc>
      </w:tr>
    </w:tbl>
    <w:p>
      <w:pPr>
        <w:spacing w:after="0"/>
      </w:pPr>
    </w:p>
    <w:p>
      <w:r>
        <w:rPr>
          <w:b/>
        </w:rPr>
        <w:t xml:space="preserve">87,100 interior designers are a more concentrated, higher-intent, already-paying customer than any consumer segment in this space</w:t>
      </w:r>
      <w:r>
        <w:t xml:space="preserve"> — and they already do the size/palette/theme matching by hand. </w:t>
      </w:r>
      <w:r>
        <w:rPr>
          <w:rFonts w:ascii="Consolas" w:hAnsi="Consolas"/>
        </w:rPr>
        <w:t xml:space="preserve">[No published count of designers who commission original art specifically — see flags.]</w:t>
      </w:r>
    </w:p>
    <w:p>
      <w:pPr>
        <w:pStyle w:val="Heading2"/>
      </w:pPr>
      <w:r>
        <w:t xml:space="preserve">1e. The premise that needs testing before anything is built</w:t>
      </w:r>
    </w:p>
    <w:p>
      <w:r>
        <w:t xml:space="preserve">Your app vets artists by </w:t>
      </w:r>
      <w:r>
        <w:rPr>
          <w:b/>
        </w:rPr>
        <w:t xml:space="preserve">degree</w:t>
      </w:r>
      <w:r>
        <w:t xml:space="preserve"> (associate's, bachelor's, master's). </w:t>
      </w:r>
      <w:r>
        <w:rPr>
          <w:b/>
        </w:rPr>
        <w:t xml:space="preserve">I found no evidence that formal art education predicts sales, price or appreciation</w:t>
      </w:r>
      <w:r>
        <w:t xml:space="preserve"> — and the art market's own value signals (gallery representation, auction record, exhibition history, collector base) are different variables entirely. </w:t>
      </w:r>
      <w:r>
        <w:rPr>
          <w:rFonts w:ascii="Consolas" w:hAnsi="Consolas"/>
        </w:rPr>
        <w:t xml:space="preserve">[UNVERIFIED — I could not find research either supporting or refuting degree-as-quality-signal in art sales. Worth testing before it becomes the product's core filter.]</w:t>
      </w:r>
    </w:p>
    <w:p>
      <w:pPr>
        <w:pBdr>
          <w:bottom w:val="single" w:sz="6" w:space="6" w:color="C9CCD1"/>
        </w:pBdr>
      </w:pPr>
    </w:p>
    <w:p>
      <w:pPr>
        <w:pStyle w:val="Heading1"/>
      </w:pPr>
      <w:r>
        <w:t xml:space="preserve">2. What do they use today?</w:t>
      </w:r>
    </w:p>
    <w:tbl>
      <w:tblPr>
        <w:tblW w:w="1008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single" w:sz="4" w:space="0" w:color="C9CCD1"/>
          <w:insideV w:val="single" w:sz="4" w:space="0" w:color="C9CCD1"/>
        </w:tblBorders>
        <w:tblLayout w:type="fixed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w="336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Category</w:t>
            </w:r>
          </w:p>
        </w:tc>
        <w:tc>
          <w:tcPr>
            <w:tcW w:w="336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Tools</w:t>
            </w:r>
          </w:p>
        </w:tc>
        <w:tc>
          <w:tcPr>
            <w:tcW w:w="336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Where it stops</w:t>
            </w:r>
          </w:p>
        </w:tc>
      </w:tr>
      <w:tr>
        <w:tc>
          <w:tcPr>
            <w:tcW w:w="336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Online art marketplaces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Saatchi Art (</w:t>
            </w:r>
            <w:r>
              <w:rPr>
                <w:b/>
                <w:sz w:val="18"/>
              </w:rPr>
              <w:t xml:space="preserve">4.5★, 10,491 Trustpilot reviews</w:t>
            </w:r>
            <w:r>
              <w:rPr>
                <w:sz w:val="18"/>
              </w:rPr>
              <w:t xml:space="preserve">), Artsy (4.80★, 6,455 App Store ratings), Singulart, Artfinder, 1stDibs, Etsy, Peggy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Browsing catalogs of existing work. </w:t>
            </w:r>
            <w:r>
              <w:rPr>
                <w:b/>
                <w:sz w:val="18"/>
              </w:rPr>
              <w:t xml:space="preserve">None commissions new work to a room.</w:t>
            </w:r>
          </w:p>
        </w:tc>
      </w:tr>
      <w:tr>
        <w:tc>
          <w:tcPr>
            <w:tcW w:w="336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AR "see it on your wall"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Smartist (8,529 ratings)</w:t>
            </w:r>
            <w:r>
              <w:rPr>
                <w:sz w:val="18"/>
              </w:rPr>
              <w:t xml:space="preserve">, Artrooms (1,930), ArtStage (2,104), iArtView (573), plus in-app AR at Etsy and Artsy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This feature already exists at scale</w:t>
            </w:r>
            <w:r>
              <w:rPr>
                <w:sz w:val="18"/>
              </w:rPr>
              <w:t xml:space="preserve"> — and is the single most-complained-about category in Section 3</w:t>
            </w:r>
          </w:p>
        </w:tc>
      </w:tr>
      <w:tr>
        <w:tc>
          <w:tcPr>
            <w:tcW w:w="336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Artist audience/portfolio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Instagram (</w:t>
            </w:r>
            <w:r>
              <w:rPr>
                <w:b/>
                <w:sz w:val="18"/>
              </w:rPr>
              <w:t xml:space="preserve">65% preferred discovery platform</w:t>
            </w:r>
            <w:r>
              <w:rPr>
                <w:sz w:val="18"/>
              </w:rPr>
              <w:t xml:space="preserve">), Cara (</w:t>
            </w:r>
            <w:r>
              <w:rPr>
                <w:b/>
                <w:sz w:val="18"/>
              </w:rPr>
              <w:t xml:space="preserve">40k → 650k+ users in one week, June 2024</w:t>
            </w:r>
            <w:r>
              <w:rPr>
                <w:sz w:val="18"/>
              </w:rPr>
              <w:t xml:space="preserve">), Artfol ("AI-Free Art Community"), Behance, ArtStation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Reach, not transactions; algorithm-dependent</w:t>
            </w:r>
          </w:p>
        </w:tc>
      </w:tr>
      <w:tr>
        <w:tc>
          <w:tcPr>
            <w:tcW w:w="336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Commission workflow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Fiverr, VGen, Artconomy, direct DMs, PayPal/Venmo invoices, Google Forms briefs, Trello/Notion trackers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</w:rPr>
              <w:t xml:space="preserve">[Inferred from category structure — no survey found quantifying what artists actually use. See flags.]</w:t>
            </w:r>
          </w:p>
        </w:tc>
      </w:tr>
      <w:tr>
        <w:tc>
          <w:tcPr>
            <w:tcW w:w="336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Professional placement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Interior designers, art consultants, corporate art buyers, TurningArt-style leasing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Human, expensive, relationship-driven — and the real competition for "art that fits the space"</w:t>
            </w:r>
          </w:p>
        </w:tc>
      </w:tr>
      <w:tr>
        <w:tc>
          <w:tcPr>
            <w:tcW w:w="336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Art as investment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Masterworks</w:t>
            </w:r>
            <w:r>
              <w:rPr>
                <w:sz w:val="18"/>
              </w:rPr>
              <w:t xml:space="preserve"> (2,482 App Store ratings) — fractional shares in blue-chip works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Not original commissions; see its complaint record in Section 3</w:t>
            </w:r>
          </w:p>
        </w:tc>
      </w:tr>
      <w:tr>
        <w:tc>
          <w:tcPr>
            <w:tcW w:w="336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Inspiration / mood boards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Pinterest (5.8M App Store ratings), Midjourney, DALL·E, Google image search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Already how briefs get assembled; free</w:t>
            </w:r>
          </w:p>
        </w:tc>
      </w:tr>
      <w:tr>
        <w:tc>
          <w:tcPr>
            <w:tcW w:w="336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Galleries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Physical representation at 40–60% commission</w:t>
            </w:r>
          </w:p>
        </w:tc>
        <w:tc>
          <w:tcPr>
            <w:tcW w:w="336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The cost the premise is attacking</w:t>
            </w:r>
          </w:p>
        </w:tc>
      </w:tr>
    </w:tbl>
    <w:p>
      <w:pPr>
        <w:spacing w:after="0"/>
      </w:pPr>
    </w:p>
    <w:p>
      <w:pPr>
        <w:pBdr>
          <w:bottom w:val="single" w:sz="6" w:space="6" w:color="C9CCD1"/>
        </w:pBdr>
      </w:pPr>
    </w:p>
    <w:p>
      <w:pPr>
        <w:pStyle w:val="Heading1"/>
      </w:pPr>
      <w:r>
        <w:t xml:space="preserve">3. Complaints about current solutions</w:t>
      </w:r>
    </w:p>
    <w:p>
      <w:r>
        <w:t xml:space="preserve">Ten complaints from 289 critical (≤3★) App Store reviews plus Trustpilot. </w:t>
      </w:r>
      <w:r>
        <w:rPr>
          <w:b/>
        </w:rPr>
        <w:t xml:space="preserve">They cluster hard: 47% are "the app is broken," 26% are about price.</w:t>
      </w:r>
    </w:p>
    <w:tbl>
      <w:tblPr>
        <w:tblW w:w="1008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single" w:sz="4" w:space="0" w:color="C9CCD1"/>
          <w:insideV w:val="single" w:sz="4" w:space="0" w:color="C9CCD1"/>
        </w:tblBorders>
        <w:tblLayout w:type="fixed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w="252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w="252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Complaint (paraphrased)</w:t>
            </w:r>
          </w:p>
        </w:tc>
        <w:tc>
          <w:tcPr>
            <w:tcW w:w="252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App / rating / date</w:t>
            </w:r>
          </w:p>
        </w:tc>
        <w:tc>
          <w:tcPr>
            <w:tcW w:w="252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Source</w:t>
            </w:r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AR wall-preview scale is badly wrong — art doesn't match the real dimensions even after calibrating, and you can only view one piece at a time.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iArtView, 1★, Feb 20 2021 (*Bethanyjeanthebeautyqueen*)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hyperlink r:id="rHl14">
              <w:r>
                <w:rPr>
                  <w:rStyle w:val="Hyperlink"/>
                  <w:sz w:val="18"/>
                </w:rPr>
                <w:t xml:space="preserve">App Store</w:t>
              </w:r>
            </w:hyperlink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Two uploads before hitting a paywall, then $50/yr for 14 more — with scale "WAY off."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iArtView, 1★, Feb 2 2021 (*Jessyhess*) and 1★, Nov 8 2020 (*Wake 4 Life*)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hyperlink r:id="rHl14">
              <w:r>
                <w:rPr>
                  <w:rStyle w:val="Hyperlink"/>
                  <w:sz w:val="18"/>
                </w:rPr>
                <w:t xml:space="preserve">App Store</w:t>
              </w:r>
            </w:hyperlink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Room images in the preview app now look "obviously AI — really cartoony and fake"; the reviewer notes they can make a bad AI image themselves for free.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Artrooms, 3★, Jun 3 2025 (*RoxyBird_2026*)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hyperlink r:id="rHl15">
              <w:r>
                <w:rPr>
                  <w:rStyle w:val="Hyperlink"/>
                  <w:sz w:val="18"/>
                </w:rPr>
                <w:t xml:space="preserve">App Store</w:t>
              </w:r>
            </w:hyperlink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Professionally photographed paintings come out blurry with artifacts; reviewer cancelled the subscription.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Artrooms, 1★, Apr 22 2026 (*Weatherfacinator*)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hyperlink r:id="rHl15">
              <w:r>
                <w:rPr>
                  <w:rStyle w:val="Hyperlink"/>
                  <w:sz w:val="18"/>
                </w:rPr>
                <w:t xml:space="preserve">App Store</w:t>
              </w:r>
            </w:hyperlink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Subscription can't be cancelled easily — "once they have your account for payment, there's no way out."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Artrooms, 1★, Jan 3 2025 (*TripodAM*)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hyperlink r:id="rHl15">
              <w:r>
                <w:rPr>
                  <w:rStyle w:val="Hyperlink"/>
                  <w:sz w:val="18"/>
                </w:rPr>
                <w:t xml:space="preserve">App Store</w:t>
              </w:r>
            </w:hyperlink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Paying artist finds the tool expensive and still inaccurate — artwork disappears and has to be re-troubleshot.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Smartist, 3★, Jul 15 2026 (*Mattier555*); 1★, Jul 3 2026 (*komty Adam*)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hyperlink r:id="rHl16">
              <w:r>
                <w:rPr>
                  <w:rStyle w:val="Hyperlink"/>
                  <w:sz w:val="18"/>
                </w:rPr>
                <w:t xml:space="preserve">App Store</w:t>
              </w:r>
            </w:hyperlink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The art community app crashes on nearly every action — editing a post, posting, logging in — for two years running.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Artfol, 2★, May 13 2025 (*moderndayicarus*); 3★, Jun 5 2026 (*Cane24*)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hyperlink r:id="rHl17">
              <w:r>
                <w:rPr>
                  <w:rStyle w:val="Hyperlink"/>
                  <w:sz w:val="18"/>
                </w:rPr>
                <w:t xml:space="preserve">App Store</w:t>
              </w:r>
            </w:hyperlink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Can't delete the account or get a response; privacy terms described as vague.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Artfol, 1★, Aug 17 2025 (*Eightyuh*); Peggy, 1★, Apr 6 2025 (*Nikeskates*)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hyperlink r:id="rHl17">
              <w:r>
                <w:rPr>
                  <w:rStyle w:val="Hyperlink"/>
                  <w:sz w:val="18"/>
                </w:rPr>
                <w:t xml:space="preserve">App Store</w:t>
              </w:r>
            </w:hyperlink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Marketplace listing sat in review for six days with no reply; artist gave up. And a buyer reports winning a bid at $150 before the artist raised the ask to $750, voiding it.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Peggy, 1★, Nov 12 2025 (*monclernami*); 2★, Sep 10 2024 (*lllllooooppppppsssff*)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hyperlink r:id="rHl18">
              <w:r>
                <w:rPr>
                  <w:rStyle w:val="Hyperlink"/>
                  <w:sz w:val="18"/>
                </w:rPr>
                <w:t xml:space="preserve">App Store</w:t>
              </w:r>
            </w:hyperlink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Art-investment platform: three years in, the reviewer can't sell shares even at a discount; another reports the secondary market was closed to investors by email.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Masterworks, 1★, Jul 2 2026 (*Paulaonnnn22*); 1★, Mar 12 2026 (*echoarcade*)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hyperlink r:id="rHl19">
              <w:r>
                <w:rPr>
                  <w:rStyle w:val="Hyperlink"/>
                  <w:sz w:val="18"/>
                </w:rPr>
                <w:t xml:space="preserve">App Store</w:t>
              </w:r>
            </w:hyperlink>
          </w:p>
        </w:tc>
      </w:tr>
    </w:tbl>
    <w:p>
      <w:pPr>
        <w:spacing w:after="0"/>
      </w:pPr>
    </w:p>
    <w:p>
      <w:r>
        <w:rPr>
          <w:b/>
        </w:rPr>
        <w:t xml:space="preserve">Also on the record (Trustpilot, Saatchi Art — 4.5★ across 10,491 reviews):</w:t>
      </w:r>
      <w:r>
        <w:t xml:space="preserve"> a 50-year-career artist stuck in ID verification for three weeks with unanswered support requests (Sep 15, 2026), and a buyer charged $50 shipping on a package costing about $20 to send, with no reply after nine days (Sep 3, 2026). (</w:t>
      </w:r>
      <w:hyperlink r:id="rHl20">
        <w:r>
          <w:rPr>
            <w:rStyle w:val="Hyperlink"/>
          </w:rPr>
          <w:t xml:space="preserve">Trustpilot</w:t>
        </w:r>
      </w:hyperlink>
      <w:r>
        <w:t xml:space="preserve">)</w:t>
      </w:r>
    </w:p>
    <w:p>
      <w:pPr>
        <w:pStyle w:val="Heading2"/>
      </w:pPr>
      <w:r>
        <w:t xml:space="preserve">Theme frequencies (n=289)</w:t>
      </w:r>
    </w:p>
    <w:tbl>
      <w:tblPr>
        <w:tblW w:w="1008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single" w:sz="4" w:space="0" w:color="C9CCD1"/>
          <w:insideV w:val="single" w:sz="4" w:space="0" w:color="C9CCD1"/>
        </w:tblBorders>
        <w:tblLayout w:type="fixed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w="252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Theme</w:t>
            </w:r>
          </w:p>
        </w:tc>
        <w:tc>
          <w:tcPr>
            <w:tcW w:w="252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Count</w:t>
            </w:r>
          </w:p>
        </w:tc>
        <w:tc>
          <w:tcPr>
            <w:tcW w:w="252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Share</w:t>
            </w:r>
          </w:p>
        </w:tc>
        <w:tc>
          <w:tcPr>
            <w:tcW w:w="252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Type</w:t>
            </w:r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App is broken — crashes, freezes, won't load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137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47%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Product</w:t>
            </w:r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Pricing — subscriptions, paywalls, cancellation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75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26%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Pricing</w:t>
            </w:r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Discovery / reach / algorithm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27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9%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Product</w:t>
            </w:r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Moderation, scams, account issues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22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8%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Product</w:t>
            </w:r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Commission/payment workflow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3%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Product</w:t>
            </w:r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AI backlash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2%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Product</w:t>
            </w:r>
          </w:p>
        </w:tc>
      </w:tr>
    </w:tbl>
    <w:p>
      <w:pPr>
        <w:spacing w:after="0"/>
      </w:pPr>
    </w:p>
    <w:p>
      <w:r>
        <w:rPr>
          <w:b/>
        </w:rPr>
        <w:t xml:space="preserve">Two findings that matter more than the percentages:</w:t>
      </w:r>
    </w:p>
    <w:p>
      <w:pPr>
        <w:numPr>
          <w:ilvl w:val="0"/>
          <w:numId w:val="1"/>
        </w:numPr>
      </w:pPr>
      <w:r>
        <w:rPr>
          <w:b/>
        </w:rPr>
        <w:t xml:space="preserve">The "photograph your space" feature already exists, at scale, and is the worst-reviewed thing in this category.</w:t>
      </w:r>
      <w:r>
        <w:t xml:space="preserve"> Smartist alone has 8,529 ratings and 68 recent critical reviews; the complaints are about </w:t>
      </w:r>
      <w:r>
        <w:rPr>
          <w:b/>
        </w:rPr>
        <w:t xml:space="preserve">scale accuracy</w:t>
      </w:r>
      <w:r>
        <w:t xml:space="preserve">, image quality and subscription traps — not about the idea.</w:t>
      </w:r>
    </w:p>
    <w:p>
      <w:pPr>
        <w:numPr>
          <w:ilvl w:val="0"/>
          <w:numId w:val="1"/>
        </w:numPr>
      </w:pPr>
      <w:r>
        <w:rPr>
          <w:b/>
        </w:rPr>
        <w:t xml:space="preserve">AI backlash registers at only 2% of complaints, but it shapes the market structurally.</w:t>
      </w:r>
      <w:r>
        <w:t xml:space="preserve"> Artfol's entire brand is "AI-Free Art Community." Cara went from 40,000 to 650,000+ users in a week in June 2024 when Meta announced it would train on users' images. (</w:t>
      </w:r>
      <w:hyperlink r:id="rHl21">
        <w:r>
          <w:rPr>
            <w:rStyle w:val="Hyperlink"/>
          </w:rPr>
          <w:t xml:space="preserve">TechCrunch</w:t>
        </w:r>
      </w:hyperlink>
      <w:r>
        <w:t xml:space="preserve">)</w:t>
      </w:r>
    </w:p>
    <w:p>
      <w:pPr>
        <w:pBdr>
          <w:bottom w:val="single" w:sz="6" w:space="6" w:color="C9CCD1"/>
        </w:pBdr>
      </w:pPr>
    </w:p>
    <w:p>
      <w:pPr>
        <w:pStyle w:val="Heading1"/>
      </w:pPr>
      <w:r>
        <w:t xml:space="preserve">4. Why might this be newly solvable with AI in 2026?</w:t>
      </w:r>
    </w:p>
    <w:p>
      <w:r>
        <w:rPr>
          <w:b/>
        </w:rPr>
        <w:t xml:space="preserve">(a) Consistent, targeted image editing shipped in August 2025.</w:t>
      </w:r>
    </w:p>
    <w:p>
      <w:r>
        <w:t xml:space="preserve">Google released </w:t>
      </w:r>
      <w:r>
        <w:rPr>
          <w:b/>
        </w:rPr>
        <w:t xml:space="preserve">Gemini 2.5 Flash Image ("nano banana") on August 26, 2025</w:t>
      </w:r>
      <w:r>
        <w:t xml:space="preserve"> — it maintains the appearance of a subject across multiple edits, performs local edits by natural-language instruction (recolor, remove, reposition), and fuses multiple input images. Roughly </w:t>
      </w:r>
      <w:r>
        <w:rPr>
          <w:b/>
        </w:rPr>
        <w:t xml:space="preserve">$0.039 per image</w:t>
      </w:r>
      <w:r>
        <w:t xml:space="preserve">. (</w:t>
      </w:r>
      <w:hyperlink r:id="rHl22">
        <w:r>
          <w:rPr>
            <w:rStyle w:val="Hyperlink"/>
          </w:rPr>
          <w:t xml:space="preserve">Google Developers Blog</w:t>
        </w:r>
      </w:hyperlink>
      <w:r>
        <w:t xml:space="preserve">; </w:t>
      </w:r>
      <w:hyperlink r:id="rHl23">
        <w:r>
          <w:rPr>
            <w:rStyle w:val="Hyperlink"/>
          </w:rPr>
          <w:t xml:space="preserve">Cloud blog</w:t>
        </w:r>
      </w:hyperlink>
      <w:r>
        <w:t xml:space="preserve">)</w:t>
      </w:r>
    </w:p>
    <w:p>
      <w:r>
        <w:rPr>
          <w:b/>
        </w:rPr>
        <w:t xml:space="preserve">That is precisely the technical requirement for "show this artwork, at this size, in this photographed room, in this palette" and for fusing a buyer's inspiration uploads into a coherent brief.</w:t>
      </w:r>
      <w:r>
        <w:t xml:space="preserve"> Before mid-2025, edit-to-edit consistency was the failure mode — which is exactly what reviewers of Artrooms and iArtView complain about.</w:t>
      </w:r>
    </w:p>
    <w:p>
      <w:r>
        <w:rPr>
          <w:b/>
        </w:rPr>
        <w:t xml:space="preserve">(b) The Copyright Office drew a line in January 2025 that favors this product's design.</w:t>
      </w:r>
    </w:p>
    <w:p>
      <w:r>
        <w:t xml:space="preserve">On </w:t>
      </w:r>
      <w:r>
        <w:rPr>
          <w:b/>
        </w:rPr>
        <w:t xml:space="preserve">January 29, 2025</w:t>
      </w:r>
      <w:r>
        <w:t xml:space="preserve">, the US Copyright Office concluded that </w:t>
      </w:r>
      <w:r>
        <w:rPr>
          <w:b/>
        </w:rPr>
        <w:t xml:space="preserve">prompting alone does not create copyrightable authorship</w:t>
      </w:r>
      <w:r>
        <w:t xml:space="preserve">, but works where AI is an </w:t>
      </w:r>
      <w:r>
        <w:rPr>
          <w:b/>
        </w:rPr>
        <w:t xml:space="preserve">assistive tool</w:t>
      </w:r>
      <w:r>
        <w:t xml:space="preserve"> and a human contributes the expression </w:t>
      </w:r>
      <w:r>
        <w:rPr>
          <w:b/>
        </w:rPr>
        <w:t xml:space="preserve">are</w:t>
      </w:r>
      <w:r>
        <w:t xml:space="preserve"> protectable. (</w:t>
      </w:r>
      <w:hyperlink r:id="rHl24">
        <w:r>
          <w:rPr>
            <w:rStyle w:val="Hyperlink"/>
          </w:rPr>
          <w:t xml:space="preserve">Copyright Office</w:t>
        </w:r>
      </w:hyperlink>
      <w:r>
        <w:t xml:space="preserve">; </w:t>
      </w:r>
      <w:hyperlink r:id="rHl25">
        <w:r>
          <w:rPr>
            <w:rStyle w:val="Hyperlink"/>
          </w:rPr>
          <w:t xml:space="preserve">Jones Day summary</w:t>
        </w:r>
      </w:hyperlink>
      <w:r>
        <w:t xml:space="preserve">)</w:t>
      </w:r>
    </w:p>
    <w:p>
      <w:r>
        <w:rPr>
          <w:b/>
        </w:rPr>
        <w:t xml:space="preserve">Your design — AI generates a brief or inspiration, a human artist paints the work — lands on the protectable side of that line.</w:t>
      </w:r>
      <w:r>
        <w:t xml:space="preserve"> An app that sold AI-generated images would land on the other side. That is a real, dated, legal advantage and the strongest argument in the claim's favor.</w:t>
      </w:r>
    </w:p>
    <w:p>
      <w:r>
        <w:rPr>
          <w:b/>
        </w:rPr>
        <w:t xml:space="preserve">(c) Buyer appetite for AI-adjacent art is measurable but polarized.</w:t>
      </w:r>
    </w:p>
    <w:p>
      <w:r>
        <w:t xml:space="preserve">Hiscox's Art and AI Report 2024 (400+ respondents): </w:t>
      </w:r>
      <w:r>
        <w:rPr>
          <w:b/>
        </w:rPr>
        <w:t xml:space="preserve">28% of emerging buyers had already bought AI-generated art and 52% expect to</w:t>
      </w:r>
      <w:r>
        <w:t xml:space="preserve">, while </w:t>
      </w:r>
      <w:r>
        <w:rPr>
          <w:b/>
        </w:rPr>
        <w:t xml:space="preserve">only 16% of seasoned collectors</w:t>
      </w:r>
      <w:r>
        <w:t xml:space="preserve"> think AI art will reach the value of human work and </w:t>
      </w:r>
      <w:r>
        <w:rPr>
          <w:b/>
        </w:rPr>
        <w:t xml:space="preserve">82% want clear labelling</w:t>
      </w:r>
      <w:r>
        <w:t xml:space="preserve"> of what is AI-made. (</w:t>
      </w:r>
      <w:hyperlink r:id="rHl26">
        <w:r>
          <w:rPr>
            <w:rStyle w:val="Hyperlink"/>
          </w:rPr>
          <w:t xml:space="preserve">Hiscox</w:t>
        </w:r>
      </w:hyperlink>
      <w:r>
        <w:t xml:space="preserve">)</w:t>
      </w:r>
    </w:p>
    <w:p>
      <w:r>
        <w:rPr>
          <w:b/>
        </w:rPr>
        <w:t xml:space="preserve">(d) The legal ground under AI training got firmer — for the models, not the artists.</w:t>
      </w:r>
    </w:p>
    <w:p>
      <w:r>
        <w:t xml:space="preserve">The UK High Court </w:t>
      </w:r>
      <w:r>
        <w:rPr>
          <w:b/>
        </w:rPr>
        <w:t xml:space="preserve">largely rejected Getty's claims against Stability AI on November 4, 2025</w:t>
      </w:r>
      <w:r>
        <w:t xml:space="preserve">, holding that model weights are not a copy of the training images (</w:t>
      </w:r>
      <w:hyperlink r:id="rHl27">
        <w:r>
          <w:rPr>
            <w:rStyle w:val="Hyperlink"/>
          </w:rPr>
          <w:t xml:space="preserve">Mayer Brown</w:t>
        </w:r>
      </w:hyperlink>
      <w:r>
        <w:t xml:space="preserve">). </w:t>
      </w:r>
      <w:r>
        <w:rPr>
          <w:b/>
        </w:rPr>
        <w:t xml:space="preserve">Andersen v. Stability AI</w:t>
      </w:r>
      <w:r>
        <w:t xml:space="preserve"> — the artists' class action — remains active, with class-certification briefing completed in </w:t>
      </w:r>
      <w:r>
        <w:rPr>
          <w:b/>
        </w:rPr>
        <w:t xml:space="preserve">April 2026</w:t>
      </w:r>
      <w:r>
        <w:t xml:space="preserve"> (</w:t>
      </w:r>
      <w:hyperlink r:id="rHl28">
        <w:r>
          <w:rPr>
            <w:rStyle w:val="Hyperlink"/>
          </w:rPr>
          <w:t xml:space="preserve">BakerHostetler tracker</w:t>
        </w:r>
      </w:hyperlink>
      <w:r>
        <w:t xml:space="preserve">).</w:t>
      </w:r>
    </w:p>
    <w:p>
      <w:pPr>
        <w:pStyle w:val="Heading2"/>
      </w:pPr>
      <w:r>
        <w:t xml:space="preserve">Where AI does not solve this</w:t>
      </w:r>
    </w:p>
    <w:p>
      <w:pPr>
        <w:numPr>
          <w:ilvl w:val="0"/>
          <w:numId w:val="1"/>
        </w:numPr>
      </w:pPr>
      <w:r>
        <w:rPr>
          <w:b/>
        </w:rPr>
        <w:t xml:space="preserve">"Photograph your room" is not new.</w:t>
      </w:r>
      <w:r>
        <w:t xml:space="preserve"> Smartist, Artrooms, ArtStage and iArtView have shipped it for years, and reviewers say the </w:t>
      </w:r>
      <w:r>
        <w:rPr>
          <w:b/>
        </w:rPr>
        <w:t xml:space="preserve">scale is wrong</w:t>
      </w:r>
      <w:r>
        <w:t xml:space="preserve"> — a measurement and calibration problem, not a model problem.</w:t>
      </w:r>
    </w:p>
    <w:p>
      <w:pPr>
        <w:numPr>
          <w:ilvl w:val="0"/>
          <w:numId w:val="1"/>
        </w:numPr>
      </w:pPr>
      <w:r>
        <w:rPr>
          <w:b/>
        </w:rPr>
        <w:t xml:space="preserve">"Art that appreciates in value" is not something an app can manufacture.</w:t>
      </w:r>
      <w:r>
        <w:t xml:space="preserve"> Appreciation requires a secondary market, and Masterworks reviewers report being unable to sell at all, with the secondary market closed by email in March 2026.</w:t>
      </w:r>
    </w:p>
    <w:p>
      <w:pPr>
        <w:numPr>
          <w:ilvl w:val="0"/>
          <w:numId w:val="1"/>
        </w:numPr>
      </w:pPr>
      <w:r>
        <w:rPr>
          <w:b/>
        </w:rPr>
        <w:t xml:space="preserve">Artist's block is not an information problem.</w:t>
      </w:r>
      <w:r>
        <w:t xml:space="preserve"> Generating themes is cheap; the reviews suggest artists' actual constraints are reach, money and broken tools.</w:t>
      </w:r>
    </w:p>
    <w:p>
      <w:pPr>
        <w:numPr>
          <w:ilvl w:val="0"/>
          <w:numId w:val="1"/>
        </w:numPr>
      </w:pPr>
      <w:r>
        <w:rPr>
          <w:b/>
        </w:rPr>
        <w:t xml:space="preserve">The audience is hostile to the input.</w:t>
      </w:r>
      <w:r>
        <w:t xml:space="preserve"> Etsy now requires AI disclosure on any listing where AI touched the process </w:t>
      </w:r>
      <w:r>
        <w:rPr>
          <w:rFonts w:ascii="Consolas" w:hAnsi="Consolas"/>
        </w:rPr>
        <w:t xml:space="preserve">[a secondary source claims 17,000+ listings were removed in early 2025 — see flags]</w:t>
      </w:r>
      <w:r>
        <w:t xml:space="preserve">, Artfol markets itself as AI-free, and Cara exists because artists fled AI training. </w:t>
      </w:r>
      <w:r>
        <w:rPr>
          <w:b/>
        </w:rPr>
        <w:t xml:space="preserve">An app that puts "AI-generated inspiration" in front of fine artists is selling to the most AI-averse professional audience in the economy.</w:t>
      </w:r>
    </w:p>
    <w:p>
      <w:pPr>
        <w:numPr>
          <w:ilvl w:val="0"/>
          <w:numId w:val="1"/>
        </w:numPr>
      </w:pPr>
      <w:r>
        <w:rPr>
          <w:b/>
        </w:rPr>
        <w:t xml:space="preserve">Matching art to a sofa is taste, not computation.</w:t>
      </w:r>
      <w:r>
        <w:t xml:space="preserve"> </w:t>
      </w:r>
      <w:r>
        <w:rPr>
          <w:rFonts w:ascii="Consolas" w:hAnsi="Consolas"/>
        </w:rPr>
        <w:t xml:space="preserve">[Inference — no study found on algorithmic art-to-interior matching accuracy.]</w:t>
      </w:r>
    </w:p>
    <w:p>
      <w:pPr>
        <w:pBdr>
          <w:bottom w:val="single" w:sz="6" w:space="6" w:color="C9CCD1"/>
        </w:pBdr>
      </w:pPr>
    </w:p>
    <w:p>
      <w:pPr>
        <w:pStyle w:val="Heading1"/>
      </w:pPr>
      <w:r>
        <w:t xml:space="preserve">5. Flags and gaps</w:t>
      </w:r>
    </w:p>
    <w:tbl>
      <w:tblPr>
        <w:tblW w:w="1008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single" w:sz="4" w:space="0" w:color="C9CCD1"/>
          <w:insideV w:val="single" w:sz="4" w:space="0" w:color="C9CCD1"/>
        </w:tblBorders>
        <w:tblLayout w:type="fixed"/>
      </w:tblPr>
      <w:tblGrid>
        <w:gridCol w:w="5040"/>
        <w:gridCol w:w="5040"/>
      </w:tblGrid>
      <w:tr>
        <w:trPr>
          <w:tblHeader/>
        </w:trPr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Item</w:t>
            </w:r>
          </w:p>
        </w:tc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Reddit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❌ Blocked — and this is the biggest evidence gap in this dossier, because commission culture lives there.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G2 / Capterra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❌ G2 blocked; Capterra covers gallery-management software, not these tools.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Verbatim quotes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⚠️ Paraphrased with app, rating, date and handle; originals in </w:t>
            </w:r>
            <w:hyperlink r:id="rHl29">
              <w:r>
                <w:rPr>
                  <w:rStyle w:val="Hyperlink"/>
                  <w:sz w:val="18"/>
                </w:rPr>
                <w:t xml:space="preserve">../research/appstore-reviews.json</w:t>
              </w:r>
            </w:hyperlink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US art market $26.2B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⚠️ My arithmetic: 44% of the reported $59.6B global total.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Fine-artist population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⚠️ The NEA's 347,000 covers "fine arts occupations" </w:t>
            </w:r>
            <w:r>
              <w:rPr>
                <w:b/>
                <w:sz w:val="18"/>
              </w:rPr>
              <w:t xml:space="preserve">including art directors and animators</w:t>
            </w:r>
            <w:r>
              <w:rPr>
                <w:sz w:val="18"/>
              </w:rPr>
              <w:t xml:space="preserve"> — not only painters and sculptors. BLS's 10,910 covers only wage-and-salary workers. The true count of practicing fine artists sits between, and nobody publishes it.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Artist income figures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⚠️ The Creative Independent survey is self-selected, not a probability sample. The UK figures are not US data.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Degree-as-quality-signal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</w:rPr>
              <w:t xml:space="preserve">[UNVERIFIED]</w:t>
            </w:r>
            <w:r>
              <w:rPr>
                <w:sz w:val="18"/>
              </w:rPr>
              <w:t xml:space="preserve"> — no research found either way. </w:t>
            </w:r>
            <w:r>
              <w:rPr>
                <w:b/>
                <w:sz w:val="18"/>
              </w:rPr>
              <w:t xml:space="preserve">This is the product's core filter and it rests on an untested assumption.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Interior designers who commission original art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❌ Not published. The 87,100 is all interior designers.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Commission-workflow tools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</w:rPr>
              <w:t xml:space="preserve">[Inferred]</w:t>
            </w:r>
            <w:r>
              <w:rPr>
                <w:sz w:val="18"/>
              </w:rPr>
              <w:t xml:space="preserve"> — no survey found quantifying what artists actually use for briefs, deposits and contracts.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"17,000+ Etsy listings removed"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⚠️ Attributed to "internal data obtained by the Etsy Sellers' Alliance" via a third-party blog. </w:t>
            </w:r>
            <w:r>
              <w:rPr>
                <w:b/>
                <w:sz w:val="18"/>
              </w:rPr>
              <w:t xml:space="preserve">Weak sourcing — do not cite without corroboration.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Hiscox Art &amp; AI figures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⚠️ 400+ respondents, self-selected, 2024 — no 2025 or 2026 edition found.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App age skew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⚠️ Several complaint sources (iArtView, Peggy) are small apps with reviews dating to 2020–2021. The Smartist, Artrooms and Artfol complaints are 2025–2026.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Online art market decline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⚠️ Art Basel/UBS measures </w:t>
            </w:r>
            <w:r>
              <w:rPr>
                <w:b/>
                <w:sz w:val="18"/>
              </w:rPr>
              <w:t xml:space="preserve">online-only</w:t>
            </w:r>
            <w:r>
              <w:rPr>
                <w:sz w:val="18"/>
              </w:rPr>
              <w:t xml:space="preserve"> sales; hybrid and dealer-website sales are counted elsewhere, so this is not the whole of "art sold online."</w:t>
            </w:r>
          </w:p>
        </w:tc>
      </w:tr>
    </w:tbl>
    <w:p>
      <w:pPr>
        <w:spacing w:after="0"/>
      </w:pPr>
    </w:p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40"/>
      <w:outlineLvl w:val="0"/>
    </w:pPr>
    <w:rPr>
      <w:b/>
      <w:sz w:val="52"/>
      <w:color w:val="1A1A1A"/>
    </w:rPr>
  </w:style>
  <w:style w:type="paragraph" w:styleId="Heading1">
    <w:name w:val="heading 1"/>
    <w:basedOn w:val="Normal"/>
    <w:qFormat/>
    <w:pPr>
      <w:keepNext/>
      <w:spacing w:before="360" w:after="140"/>
      <w:outlineLvl w:val="0"/>
    </w:pPr>
    <w:rPr>
      <w:b/>
      <w:sz w:val="34"/>
      <w:color w:val="1F3864"/>
    </w:rPr>
  </w:style>
  <w:style w:type="paragraph" w:styleId="Heading2">
    <w:name w:val="heading 2"/>
    <w:basedOn w:val="Normal"/>
    <w:qFormat/>
    <w:pPr>
      <w:keepNext/>
      <w:spacing w:before="280" w:after="120"/>
      <w:outlineLvl w:val="1"/>
    </w:pPr>
    <w:rPr>
      <w:b/>
      <w:sz w:val="26"/>
      <w:color w:val="2E5A88"/>
    </w:rPr>
  </w:style>
  <w:style w:type="paragraph" w:styleId="Heading3">
    <w:name w:val="heading 3"/>
    <w:basedOn w:val="Normal"/>
    <w:qFormat/>
    <w:pPr>
      <w:keepNext/>
      <w:spacing w:before="220" w:after="100"/>
      <w:outlineLvl w:val="2"/>
    </w:pPr>
    <w:rPr>
      <w:b/>
      <w:sz w:val="23"/>
      <w:color w:val="3C3C3C"/>
    </w:rPr>
  </w:style>
  <w:style w:type="character" w:styleId="Hyperlink">
    <w:name w:val="Hyperlink"/>
    <w:rPr>
      <w:color w:val="1155CC"/>
      <w:u w:val="single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Hl1" Type="http://schemas.openxmlformats.org/officeDocument/2006/relationships/hyperlink" Target="https://www.arts.gov/sites/default/files/a5-report-202412.pdf" TargetMode="External"/>
<Relationship Id="rHl2" Type="http://schemas.openxmlformats.org/officeDocument/2006/relationships/hyperlink" Target="https://www.bls.gov/oes/2023/may/oes271013.htm" TargetMode="External"/>
<Relationship Id="rHl3" Type="http://schemas.openxmlformats.org/officeDocument/2006/relationships/hyperlink" Target="https://thecreativeindependent.com/artist-survey/" TargetMode="External"/>
<Relationship Id="rHl4" Type="http://schemas.openxmlformats.org/officeDocument/2006/relationships/hyperlink" Target="https://www.create.ac.uk/blog/2024/11/25/new-report-earnings-and-contracts-of-uk-visual-artists/" TargetMode="External"/>
<Relationship Id="rHl5" Type="http://schemas.openxmlformats.org/officeDocument/2006/relationships/hyperlink" Target="https://theartmarket.artbasel.com/" TargetMode="External"/>
<Relationship Id="rHl6" Type="http://schemas.openxmlformats.org/officeDocument/2006/relationships/hyperlink" Target="https://www.familywealthreport.com/article.php/US-Remained-Largest-Art-Market-In-2025-%E2%80%93-Art-Basel,-UBS-Report-2026-?id=207156" TargetMode="External"/>
<Relationship Id="rHl7" Type="http://schemas.openxmlformats.org/officeDocument/2006/relationships/hyperlink" Target="https://artlyst.com/art-basel-and-ubs-global-market-report-2026-highlights-growth/" TargetMode="External"/>
<Relationship Id="rHl8" Type="http://schemas.openxmlformats.org/officeDocument/2006/relationships/hyperlink" Target="https://www.hiscox.co.uk/online-art-trade-report" TargetMode="External"/>
<Relationship Id="rHl9" Type="http://schemas.openxmlformats.org/officeDocument/2006/relationships/hyperlink" Target="https://puppetvendors.com/blogs/consignment-commission-rates-guide" TargetMode="External"/>
<Relationship Id="rHl10" Type="http://schemas.openxmlformats.org/officeDocument/2006/relationships/hyperlink" Target="https://hyperallergic.com/its-time-rethink-the-50-50-split-with-art-galleries/" TargetMode="External"/>
<Relationship Id="rHl11" Type="http://schemas.openxmlformats.org/officeDocument/2006/relationships/hyperlink" Target="https://www.bls.gov/ooh/arts-and-Design/interior-Designers.htm" TargetMode="External"/>
<Relationship Id="rHl12" Type="http://schemas.openxmlformats.org/officeDocument/2006/relationships/hyperlink" Target="https://www.ziprecruiter.com/Jobs/Corporate-Art-Buyer" TargetMode="External"/>
<Relationship Id="rHl13" Type="http://schemas.openxmlformats.org/officeDocument/2006/relationships/hyperlink" Target="https://blog.turningart.com/guide-to-art-consultant-firms" TargetMode="External"/>
<Relationship Id="rHl14" Type="http://schemas.openxmlformats.org/officeDocument/2006/relationships/hyperlink" Target="https://apps.apple.com/us/app/id922553017?see-all=reviews" TargetMode="External"/>
<Relationship Id="rHl15" Type="http://schemas.openxmlformats.org/officeDocument/2006/relationships/hyperlink" Target="https://apps.apple.com/us/app/id1366610184?see-all=reviews" TargetMode="External"/>
<Relationship Id="rHl16" Type="http://schemas.openxmlformats.org/officeDocument/2006/relationships/hyperlink" Target="https://apps.apple.com/us/app/id1505234753?see-all=reviews" TargetMode="External"/>
<Relationship Id="rHl17" Type="http://schemas.openxmlformats.org/officeDocument/2006/relationships/hyperlink" Target="https://apps.apple.com/us/app/id1522710478?see-all=reviews" TargetMode="External"/>
<Relationship Id="rHl18" Type="http://schemas.openxmlformats.org/officeDocument/2006/relationships/hyperlink" Target="https://apps.apple.com/us/app/id1584224807?see-all=reviews" TargetMode="External"/>
<Relationship Id="rHl19" Type="http://schemas.openxmlformats.org/officeDocument/2006/relationships/hyperlink" Target="https://apps.apple.com/us/app/id1591085645?see-all=reviews" TargetMode="External"/>
<Relationship Id="rHl20" Type="http://schemas.openxmlformats.org/officeDocument/2006/relationships/hyperlink" Target="https://www.trustpilot.com/review/saatchiart.com" TargetMode="External"/>
<Relationship Id="rHl21" Type="http://schemas.openxmlformats.org/officeDocument/2006/relationships/hyperlink" Target="https://techcrunch.com/2024/06/06/a-social-app-for-creatives-cara-grew-from-40k-to-650k-users-in-a-week-because-artists-are-fed-up-with-metas-ai-policies/" TargetMode="External"/>
<Relationship Id="rHl22" Type="http://schemas.openxmlformats.org/officeDocument/2006/relationships/hyperlink" Target="https://developers.googleblog.com/en/introducing-gemini-2-5-flash-image/" TargetMode="External"/>
<Relationship Id="rHl23" Type="http://schemas.openxmlformats.org/officeDocument/2006/relationships/hyperlink" Target="https://cloud.google.com/blog/products/ai-machine-learning/gemini-2-5-flash-image-on-vertex-ai/" TargetMode="External"/>
<Relationship Id="rHl24" Type="http://schemas.openxmlformats.org/officeDocument/2006/relationships/hyperlink" Target="https://copyright.gov/ai/" TargetMode="External"/>
<Relationship Id="rHl25" Type="http://schemas.openxmlformats.org/officeDocument/2006/relationships/hyperlink" Target="https://www.jonesday.com/en/insights/2025/02/copyrightability-of-ai-outputs-us-copyright-office-analyzes-human-authorship-requirement" TargetMode="External"/>
<Relationship Id="rHl26" Type="http://schemas.openxmlformats.org/officeDocument/2006/relationships/hyperlink" Target="https://www.hiscoxgroup.com/news/press-releases/2024/19-09-24" TargetMode="External"/>
<Relationship Id="rHl27" Type="http://schemas.openxmlformats.org/officeDocument/2006/relationships/hyperlink" Target="https://www.mayerbrown.com/en/insights/publications/2025/11/getty-images-v-stability-ai-what-the-high-courts-decision-means-for-rights-holders-and-ai-developers" TargetMode="External"/>
<Relationship Id="rHl28" Type="http://schemas.openxmlformats.org/officeDocument/2006/relationships/hyperlink" Target="https://www.bakerlaw.com/andersen-v-stability-ai/" TargetMode="External"/>
<Relationship Id="rHl29" Type="http://schemas.openxmlformats.org/officeDocument/2006/relationships/hyperlink" Target="../research/appstore-reviews.json" TargetMode="External"/>
</Relationships>
</file>