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prd-1.md Commits HushPlate To</w:t>
      </w:r>
    </w:p>
    <w:p>
      <w:r>
        <w:rPr>
          <w:b/>
        </w:rPr>
        <w:t xml:space="preserve">Prepared:</w:t>
      </w:r>
      <w:r>
        <w:t xml:space="preserve"> October 16, 2026 (written against the 13:10 version of prd-1.md)</w:t>
      </w:r>
    </w:p>
    <w:p>
      <w:r>
        <w:rPr>
          <w:b/>
        </w:rPr>
        <w:t xml:space="preserve">Sources:</w:t>
      </w:r>
      <w:r>
        <w:t xml:space="preserve"> </w:t>
      </w:r>
      <w:r>
        <w:rPr>
          <w:rFonts w:ascii="Consolas" w:hAnsi="Consolas"/>
        </w:rPr>
        <w:t xml:space="preserve">prd-1.md</w:t>
      </w:r>
      <w:r>
        <w:t xml:space="preserve"> (its header still reads </w:t>
      </w:r>
      <w:r>
        <w:rPr>
          <w:rFonts w:ascii="Consolas" w:hAnsi="Consolas"/>
        </w:rPr>
        <w:t xml:space="preserve">FILE: prd.md</w:t>
      </w:r>
      <w:r>
        <w:t xml:space="preserve">)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prd-1.md unless marked otherwise. Anything worked out rather than read is marked </w:t>
      </w:r>
      <w:r>
        <w:rPr>
          <w:b/>
        </w:rPr>
        <w:t xml:space="preserve">[INFERRED]</w:t>
      </w:r>
      <w:r>
        <w:t xml:space="preserve">. The core user story's numbered items are cited as "story (n)," using this version's numbering of (1) to (22).</w:t>
      </w:r>
    </w:p>
    <w:p>
      <w:pPr>
        <w:pBdr>
          <w:bottom w:val="single" w:sz="6" w:space="6" w:color="C9CCD1"/>
        </w:pBdr>
      </w:pPr>
    </w:p>
    <w:p>
      <w:pPr>
        <w:pStyle w:val="Heading1"/>
      </w:pPr>
      <w:r>
        <w:t xml:space="preserve">1. THE USER</w:t>
      </w:r>
    </w:p>
    <w:p>
      <w:r>
        <w:rPr>
          <w:b/>
        </w:rPr>
        <w:t xml:space="preserve">What prd-1.md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now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(14), (15) and (16)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(19) "Access to a longevity doctor," and story (22)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now includes them: "the user can choose a healthy food choice from a restaurant on the days the user does not want to cook food." Also story (10), (11), (13) and Feature 4 ("eat out at restaurants (or fast food)").</w:t>
      </w:r>
    </w:p>
    <w:p>
      <w:pPr>
        <w:numPr>
          <w:ilvl w:val="0"/>
          <w:numId w:val="1"/>
        </w:numPr>
      </w:pPr>
      <w:r>
        <w:rPr>
          <w:b/>
        </w:rPr>
        <w:t xml:space="preserve">Budget eaters:</w:t>
      </w:r>
      <w:r>
        <w:t xml:space="preserve"> story (13) recommends "meals under $10," and story (12)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r>
        <w:t xml:space="preserve">The USER line describes a cart filled "with food for those recipes, which the user will approve the final purchase of," with restaurant meals on days the user "does not want to cook."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and lifestyle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six features end at a confirmation the user sees. Feature 4 points back to story items (10) through (20) for its content. Several outside providers these features rely on are now listed in OUT OF SCOPE; section 6 covers what that means for each feature.</w:t>
      </w:r>
    </w:p>
    <w:p>
      <w:pPr>
        <w:pStyle w:val="Heading2"/>
      </w:pPr>
      <w:r>
        <w:t xml:space="preserve">Feature 1: "User submits a health statistic form, diet goals, diet choice selection, preferred foods, excluded foods, workout plan, and foods in their pantry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and the foods in the user's pantry.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#18."</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(16):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(20)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(20)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#20)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(11)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(10), plus picks one of the three.</w:t>
            </w:r>
          </w:p>
        </w:tc>
      </w:tr>
      <w:tr>
        <w:tc>
          <w:tcPr>
            <w:tcW w:w="3360" w:type="dxa"/>
          </w:tcPr>
          <w:p>
            <w:pPr>
              <w:spacing w:before="40" w:after="40"/>
            </w:pPr>
            <w:r>
              <w:rPr>
                <w:sz w:val="18"/>
              </w:rPr>
              <w:t xml:space="preserve">(12)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(20) audit.</w:t>
            </w:r>
          </w:p>
        </w:tc>
      </w:tr>
      <w:tr>
        <w:tc>
          <w:tcPr>
            <w:tcW w:w="3360" w:type="dxa"/>
          </w:tcPr>
          <w:p>
            <w:pPr>
              <w:spacing w:before="40" w:after="40"/>
            </w:pPr>
            <w:r>
              <w:rPr>
                <w:sz w:val="18"/>
              </w:rPr>
              <w:t xml:space="preserve">(13)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(20) audit.</w:t>
            </w:r>
          </w:p>
        </w:tc>
      </w:tr>
      <w:tr>
        <w:tc>
          <w:tcPr>
            <w:tcW w:w="3360" w:type="dxa"/>
          </w:tcPr>
          <w:p>
            <w:pPr>
              <w:spacing w:before="40" w:after="40"/>
            </w:pPr>
            <w:r>
              <w:rPr>
                <w:sz w:val="18"/>
              </w:rPr>
              <w:t xml:space="preserve">(14)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(15)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#20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(20)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(16)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(17)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(18)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(20)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#18),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#18 in the CORE STORY."</w:t>
      </w:r>
    </w:p>
    <w:p>
      <w:r>
        <w:t xml:space="preserve">This feature repeats story (21). </w:t>
      </w:r>
      <w:r>
        <w:rPr>
          <w:b/>
        </w:rPr>
        <w:t xml:space="preserve">[INFERRED]</w:t>
      </w:r>
      <w:r>
        <w:t xml:space="preserve"> "#1 to #18" refers to the core user story items, which in this version run from diet goals (1) to daily motivation (18), including the pantry (6) and workout plan (16).</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(1)–(18)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20),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#18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(22): the report "will contain all the health metrics of the patient, specifically, the health statistical information inputted into the app by the user (height, weight, BMI, BMR, muscle mass, visceral fat, GLP-1 dosage, or Inbody Scan Statistical information) and items #1 to #7, and #10 to #11, #14 to #16, and #20."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restaurant choices (10, 11), workout education, tracking and plan (14, 15, 16) and the daily audit (20).</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(22) calls the contents "all the health metrics of the patient," while Feature 6 calls it a report "on their activity using the app."</w:t>
      </w:r>
    </w:p>
    <w:p>
      <w:pPr>
        <w:pBdr>
          <w:bottom w:val="single" w:sz="6" w:space="6" w:color="C9CCD1"/>
        </w:pBdr>
      </w:pPr>
    </w:p>
    <w:p>
      <w:pPr>
        <w:pStyle w:val="Heading1"/>
      </w:pPr>
      <w:r>
        <w:t xml:space="preserve">3. WHAT WE HOLD</w:t>
      </w:r>
    </w:p>
    <w:p>
      <w:r>
        <w:rPr>
          <w:b/>
        </w:rPr>
        <w:t xml:space="preserve">What prd-1.md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#18 but do so in a deidentified way where only an avatar name is used. Avatar names for the Top 10% of users can be seen by other users, and their choices are visible, except their excluded foods and allergies, and their pantry use. Top 10% of Users cannot opt out of having their choices shown. Users can see other avatar names. Other users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(22), that's the health statistics plus diet goal and choice, nutritional requirements, preferred and excluded foods, pantry, recipes,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#18,"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though not named in the passages above: the grocery list and recipe list "on the app" (Feature 3).</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"United States state and federal data privacy laws related to the collection of consumer and health information collected by a third-party app apply to this app.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prd-1.md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each with its own mechanism and timing.</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(12) and (13) say "over time the app learns what the user eats." Story (20) supplies the input: a "yes/no answer" each day plus changed foods, restaurant meals, amounts and workout details. Story (15) and (16) add the daily workout plan, with workout type, time and calories burned.</w:t>
      </w:r>
    </w:p>
    <w:p>
      <w:pPr>
        <w:numPr>
          <w:ilvl w:val="0"/>
          <w:numId w:val="1"/>
        </w:numPr>
      </w:pPr>
      <w:r>
        <w:rPr>
          <w:b/>
        </w:rPr>
        <w:t xml:space="preserve">For everyone as more people join:</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 Most rows are now covered by an OUT OF SCOPE item: AI agents and grocery stores; the AI model; recipe, nutrition, restaurant, calories-burned and promotion data; the CheapFoodMap agreement; the doctor; workout content and quotes; and platforms (see section 6).</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prd-1.md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"curated for them by the app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(10), (11):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(10), (11), (13)</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(13)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(12):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(19)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(14):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(18):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w:t>
            </w:r>
          </w:p>
        </w:tc>
        <w:tc>
          <w:tcPr>
            <w:tcW w:w="3360" w:type="dxa"/>
          </w:tcPr>
          <w:p>
            <w:pPr>
              <w:spacing w:before="40" w:after="40"/>
            </w:pPr>
            <w:r>
              <w:rPr>
                <w:sz w:val="18"/>
              </w:rPr>
              <w:t xml:space="preserve">Which platforms is not stated. Yes, others can use them: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comes from HushPlate's own users (Feature 5, DATA WE STORE), so it isn't an outside dependency. </w:t>
      </w:r>
      <w:r>
        <w:rPr>
          <w:b/>
        </w:rPr>
        <w:t xml:space="preserve">[INFERRED]</w:t>
      </w:r>
      <w:r>
        <w:t xml:space="preserve"> A competitor can't buy HushPlate's own user history, but can build its own from its own users.</w:t>
      </w:r>
    </w:p>
    <w:p>
      <w:pPr>
        <w:pBdr>
          <w:bottom w:val="single" w:sz="6" w:space="6" w:color="C9CCD1"/>
        </w:pBdr>
      </w:pPr>
    </w:p>
    <w:p>
      <w:pPr>
        <w:pStyle w:val="Heading1"/>
      </w:pPr>
      <w:r>
        <w:t xml:space="preserve">6. WHAT WE RULED OUT</w:t>
      </w:r>
    </w:p>
    <w:p>
      <w:r>
        <w:rPr>
          <w:b/>
        </w:rPr>
        <w:t xml:space="preserve">What prd-1.md says:</w:t>
      </w:r>
    </w:p>
    <w:p>
      <w:pPr>
        <w:ind w:left="360"/>
        <w:pBdr>
          <w:left w:val="single" w:sz="18" w:space="8" w:color="9AA0A6"/>
        </w:pBdr>
      </w:pPr>
      <w:r>
        <w:t xml:space="preserve">OUT OF SCOPE (the v2 parking lot):</w:t>
      </w:r>
    </w:p>
    <w:p>
      <w:pPr>
        <w:ind w:left="360"/>
        <w:pBdr>
          <w:left w:val="single" w:sz="18" w:space="8" w:color="9AA0A6"/>
        </w:pBdr>
      </w:pPr>
      <w:r>
        <w:t xml:space="preserve">• AI agents and grocery stores</w:t>
      </w:r>
    </w:p>
    <w:p>
      <w:pPr>
        <w:ind w:left="360"/>
        <w:pBdr>
          <w:left w:val="single" w:sz="18" w:space="8" w:color="9AA0A6"/>
        </w:pBdr>
      </w:pPr>
      <w:r>
        <w:t xml:space="preserve">• AI model is used for recipes and menus</w:t>
      </w:r>
    </w:p>
    <w:p>
      <w:pPr>
        <w:ind w:left="360"/>
        <w:pBdr>
          <w:left w:val="single" w:sz="18" w:space="8" w:color="9AA0A6"/>
        </w:pBdr>
      </w:pPr>
      <w:r>
        <w:t xml:space="preserve">• Recipe, nutrition, restaurant, calories-burned and promotion data come from</w:t>
      </w:r>
    </w:p>
    <w:p>
      <w:pPr>
        <w:ind w:left="360"/>
        <w:pBdr>
          <w:left w:val="single" w:sz="18" w:space="8" w:color="9AA0A6"/>
        </w:pBdr>
      </w:pPr>
      <w:r>
        <w:t xml:space="preserve">• CheapFoodMap agreement</w:t>
      </w:r>
    </w:p>
    <w:p>
      <w:pPr>
        <w:ind w:left="360"/>
        <w:pBdr>
          <w:left w:val="single" w:sz="18" w:space="8" w:color="9AA0A6"/>
        </w:pBdr>
      </w:pPr>
      <w:r>
        <w:t xml:space="preserve">• Doctor</w:t>
      </w:r>
    </w:p>
    <w:p>
      <w:pPr>
        <w:ind w:left="360"/>
        <w:pBdr>
          <w:left w:val="single" w:sz="18" w:space="8" w:color="9AA0A6"/>
        </w:pBdr>
      </w:pPr>
      <w:r>
        <w:t xml:space="preserve">• Workout content and quotes come from</w:t>
      </w:r>
    </w:p>
    <w:p>
      <w:pPr>
        <w:ind w:left="360"/>
        <w:pBdr>
          <w:left w:val="single" w:sz="18" w:space="8" w:color="9AA0A6"/>
        </w:pBdr>
      </w:pPr>
      <w:r>
        <w:t xml:space="preserve">• Platforms</w:t>
      </w:r>
    </w:p>
    <w:p>
      <w:pPr>
        <w:ind w:left="360"/>
        <w:pBdr>
          <w:left w:val="single" w:sz="18" w:space="8" w:color="9AA0A6"/>
        </w:pBdr>
      </w:pPr>
      <w:r>
        <w:t xml:space="preserve">• \*The items in this OUT OF SCOPE list are parked until further notice.</w:t>
      </w:r>
    </w:p>
    <w:p>
      <w:r>
        <w:t xml:space="preserve">The list has seven items, plus a note: "The items in this OUT OF SCOPE list are parked until further notice." Each item names an outside provider or source that sections 2 and 5 rely on. The list doesn't say whether an item parks only the choice of provider, or the capability itself. Below, for each item, is what the product can't do while it stays parked, read as parking the capability. Every entry in that column is </w:t>
      </w:r>
      <w:r>
        <w:rPr>
          <w:b/>
        </w:rPr>
        <w:t xml:space="preserve">[INFERRED]</w:t>
      </w:r>
      <w:r>
        <w:t xml:space="preserv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Parked item</w:t>
            </w:r>
          </w:p>
        </w:tc>
        <w:tc>
          <w:tcPr>
            <w:tcW w:w="3360" w:type="dxa"/>
            <w:shd w:val="clear" w:color="auto" w:fill="EFF1F3"/>
          </w:tcPr>
          <w:p>
            <w:pPr>
              <w:spacing w:before="40" w:after="40"/>
            </w:pPr>
            <w:r>
              <w:rPr>
                <w:b/>
                <w:sz w:val="18"/>
              </w:rPr>
              <w:t xml:space="preserve">What the product can't do while it stays parked </w:t>
            </w:r>
            <w:r>
              <w:rPr>
                <w:b/>
                <w:sz w:val="18"/>
              </w:rPr>
              <w:t xml:space="preserve">[INFERRED]</w:t>
            </w:r>
          </w:p>
        </w:tc>
        <w:tc>
          <w:tcPr>
            <w:tcW w:w="3360" w:type="dxa"/>
            <w:shd w:val="clear" w:color="auto" w:fill="EFF1F3"/>
          </w:tcPr>
          <w:p>
            <w:pPr>
              <w:spacing w:before="40" w:after="40"/>
            </w:pPr>
            <w:r>
              <w:rPr>
                <w:b/>
                <w:sz w:val="18"/>
              </w:rPr>
              <w:t xml:space="preserve">Where the PRD still describes it as in scope</w:t>
            </w:r>
          </w:p>
        </w:tc>
      </w:tr>
      <w:tr>
        <w:tc>
          <w:tcPr>
            <w:tcW w:w="3360" w:type="dxa"/>
          </w:tcPr>
          <w:p>
            <w:pPr>
              <w:spacing w:before="40" w:after="40"/>
            </w:pPr>
            <w:r>
              <w:rPr>
                <w:b/>
                <w:sz w:val="18"/>
              </w:rPr>
              <w:t xml:space="preserve">AI agents and grocery stores</w:t>
            </w:r>
          </w:p>
        </w:tc>
        <w:tc>
          <w:tcPr>
            <w:tcW w:w="3360" w:type="dxa"/>
          </w:tcPr>
          <w:p>
            <w:pPr>
              <w:spacing w:before="40" w:after="40"/>
            </w:pPr>
            <w:r>
              <w:rPr>
                <w:sz w:val="18"/>
              </w:rPr>
              <w:t xml:space="preserve">Fill a grocery cart, order for home delivery or curbside pickup, take payment and address data, or read CheapFoodMap. These are the AI agent's three jobs: "(1) puts together a grocery cart, (2) will take payments, and (3) read CheapFoodMap." Option (1), "purchase the groceries themselves," still leaves the user with "a grocery list and recipe list on the app."</w:t>
            </w:r>
          </w:p>
        </w:tc>
        <w:tc>
          <w:tcPr>
            <w:tcW w:w="3360" w:type="dxa"/>
          </w:tcPr>
          <w:p>
            <w:pPr>
              <w:spacing w:before="40" w:after="40"/>
            </w:pPr>
            <w:r>
              <w:rPr>
                <w:sz w:val="18"/>
              </w:rPr>
              <w:t xml:space="preserve">USER line ("an AI agent fills the users grocery cart"); story (8), (9); Feature 3 options (2) and (3); DATA WE STORE ("Payment and address data will be taken by the AI agent")</w:t>
            </w:r>
          </w:p>
        </w:tc>
      </w:tr>
      <w:tr>
        <w:tc>
          <w:tcPr>
            <w:tcW w:w="3360" w:type="dxa"/>
          </w:tcPr>
          <w:p>
            <w:pPr>
              <w:spacing w:before="40" w:after="40"/>
            </w:pPr>
            <w:r>
              <w:rPr>
                <w:b/>
                <w:sz w:val="18"/>
              </w:rPr>
              <w:t xml:space="preserve">AI model is used for recipes and menus</w:t>
            </w:r>
          </w:p>
        </w:tc>
        <w:tc>
          <w:tcPr>
            <w:tcW w:w="3360" w:type="dxa"/>
          </w:tcPr>
          <w:p>
            <w:pPr>
              <w:spacing w:before="40" w:after="40"/>
            </w:pPr>
            <w:r>
              <w:rPr>
                <w:sz w:val="18"/>
              </w:rPr>
              <w:t xml:space="preserve">Read a menu "online or from a photo" and pick dishes (story 10, 11), and curate recipes, if those depend on an AI model. The PRD itself doesn't say either one needs a model.</w:t>
            </w:r>
          </w:p>
        </w:tc>
        <w:tc>
          <w:tcPr>
            <w:tcW w:w="3360" w:type="dxa"/>
          </w:tcPr>
          <w:p>
            <w:pPr>
              <w:spacing w:before="40" w:after="40"/>
            </w:pPr>
            <w:r>
              <w:rPr>
                <w:sz w:val="18"/>
              </w:rPr>
              <w:t xml:space="preserve">Story (7), (10), (11); Feature 2; Feature 3 ("The app then curates")</w:t>
            </w:r>
          </w:p>
        </w:tc>
      </w:tr>
      <w:tr>
        <w:tc>
          <w:tcPr>
            <w:tcW w:w="3360" w:type="dxa"/>
          </w:tcPr>
          <w:p>
            <w:pPr>
              <w:spacing w:before="40" w:after="40"/>
            </w:pPr>
            <w:r>
              <w:rPr>
                <w:b/>
                <w:sz w:val="18"/>
              </w:rPr>
              <w:t xml:space="preserve">Recipe, nutrition, restaurant, calories-burned and promotion data come from</w:t>
            </w:r>
          </w:p>
        </w:tc>
        <w:tc>
          <w:tcPr>
            <w:tcW w:w="3360" w:type="dxa"/>
          </w:tcPr>
          <w:p>
            <w:pPr>
              <w:spacing w:before="40" w:after="40"/>
            </w:pPr>
            <w:r>
              <w:rPr>
                <w:sz w:val="18"/>
              </w:rPr>
              <w:t xml:space="preserve">Offer recipes (Feature 2), output "daily nutritional requirements" (story 3), pick restaurant dishes "to meet the user's nutrition targets" (story 10, 11), recommend "meals under $10" (story 13), work out "calories burned" (workout plan), or recommend "grocery sales, discounts and promos" (story 12). Each needs a data source.</w:t>
            </w:r>
          </w:p>
        </w:tc>
        <w:tc>
          <w:tcPr>
            <w:tcW w:w="3360" w:type="dxa"/>
          </w:tcPr>
          <w:p>
            <w:pPr>
              <w:spacing w:before="40" w:after="40"/>
            </w:pPr>
            <w:r>
              <w:rPr>
                <w:sz w:val="18"/>
              </w:rPr>
              <w:t xml:space="preserve">Features 2, 4 and 6; story (3), (7), (10)–(13), (15)</w:t>
            </w:r>
          </w:p>
        </w:tc>
      </w:tr>
      <w:tr>
        <w:tc>
          <w:tcPr>
            <w:tcW w:w="3360" w:type="dxa"/>
          </w:tcPr>
          <w:p>
            <w:pPr>
              <w:spacing w:before="40" w:after="40"/>
            </w:pPr>
            <w:r>
              <w:rPr>
                <w:b/>
                <w:sz w:val="18"/>
              </w:rPr>
              <w:t xml:space="preserve">CheapFoodMap agreement</w:t>
            </w:r>
          </w:p>
        </w:tc>
        <w:tc>
          <w:tcPr>
            <w:tcW w:w="3360" w:type="dxa"/>
          </w:tcPr>
          <w:p>
            <w:pPr>
              <w:spacing w:before="40" w:after="40"/>
            </w:pPr>
            <w:r>
              <w:rPr>
                <w:sz w:val="18"/>
              </w:rPr>
              <w:t xml:space="preserve">Recommend food under $10 "via CheapFoodMap app" (story 13), if reading CheapFoodMap needs an agreement. The PRD doesn't say whether it does.</w:t>
            </w:r>
          </w:p>
        </w:tc>
        <w:tc>
          <w:tcPr>
            <w:tcW w:w="3360" w:type="dxa"/>
          </w:tcPr>
          <w:p>
            <w:pPr>
              <w:spacing w:before="40" w:after="40"/>
            </w:pPr>
            <w:r>
              <w:rPr>
                <w:sz w:val="18"/>
              </w:rPr>
              <w:t xml:space="preserve">Story (13); "the AI agent will read that CheapFoodMap recommendation of food under $10"</w:t>
            </w:r>
          </w:p>
        </w:tc>
      </w:tr>
      <w:tr>
        <w:tc>
          <w:tcPr>
            <w:tcW w:w="3360" w:type="dxa"/>
          </w:tcPr>
          <w:p>
            <w:pPr>
              <w:spacing w:before="40" w:after="40"/>
            </w:pPr>
            <w:r>
              <w:rPr>
                <w:b/>
                <w:sz w:val="18"/>
              </w:rPr>
              <w:t xml:space="preserve">Doctor</w:t>
            </w:r>
          </w:p>
        </w:tc>
        <w:tc>
          <w:tcPr>
            <w:tcW w:w="3360" w:type="dxa"/>
          </w:tcPr>
          <w:p>
            <w:pPr>
              <w:spacing w:before="40" w:after="40"/>
            </w:pPr>
            <w:r>
              <w:rPr>
                <w:sz w:val="18"/>
              </w:rPr>
              <w:t xml:space="preserve">List a longevity doctor's contact information, so story (19) has no doctor to connect the user to. The User Health Report (Feature 6) can still be exported and printed or emailed.</w:t>
            </w:r>
          </w:p>
        </w:tc>
        <w:tc>
          <w:tcPr>
            <w:tcW w:w="3360" w:type="dxa"/>
          </w:tcPr>
          <w:p>
            <w:pPr>
              <w:spacing w:before="40" w:after="40"/>
            </w:pPr>
            <w:r>
              <w:rPr>
                <w:sz w:val="18"/>
              </w:rPr>
              <w:t xml:space="preserve">Story (19), (22); Feature 4 ("access a longevity doctor"); the doctor paragraph (booking hours, "will pay that doctor separately"); DATA WE STORE ("in connection with their longevity doctor")</w:t>
            </w:r>
          </w:p>
        </w:tc>
      </w:tr>
      <w:tr>
        <w:tc>
          <w:tcPr>
            <w:tcW w:w="3360" w:type="dxa"/>
          </w:tcPr>
          <w:p>
            <w:pPr>
              <w:spacing w:before="40" w:after="40"/>
            </w:pPr>
            <w:r>
              <w:rPr>
                <w:b/>
                <w:sz w:val="18"/>
              </w:rPr>
              <w:t xml:space="preserve">Workout content and quotes come from</w:t>
            </w:r>
          </w:p>
        </w:tc>
        <w:tc>
          <w:tcPr>
            <w:tcW w:w="3360" w:type="dxa"/>
          </w:tcPr>
          <w:p>
            <w:pPr>
              <w:spacing w:before="40" w:after="40"/>
            </w:pPr>
            <w:r>
              <w:rPr>
                <w:sz w:val="18"/>
              </w:rPr>
              <w:t xml:space="preserve">Educate the user "on how to work out" (story 14) or show "positive quotes" (story 18).</w:t>
            </w:r>
          </w:p>
        </w:tc>
        <w:tc>
          <w:tcPr>
            <w:tcW w:w="3360" w:type="dxa"/>
          </w:tcPr>
          <w:p>
            <w:pPr>
              <w:spacing w:before="40" w:after="40"/>
            </w:pPr>
            <w:r>
              <w:rPr>
                <w:sz w:val="18"/>
              </w:rPr>
              <w:t xml:space="preserve">Story (14), (18); Feature 4 ("receive motivation")</w:t>
            </w:r>
          </w:p>
        </w:tc>
      </w:tr>
      <w:tr>
        <w:tc>
          <w:tcPr>
            <w:tcW w:w="3360" w:type="dxa"/>
          </w:tcPr>
          <w:p>
            <w:pPr>
              <w:spacing w:before="40" w:after="40"/>
            </w:pPr>
            <w:r>
              <w:rPr>
                <w:b/>
                <w:sz w:val="18"/>
              </w:rPr>
              <w:t xml:space="preserve">Platforms</w:t>
            </w:r>
          </w:p>
        </w:tc>
        <w:tc>
          <w:tcPr>
            <w:tcW w:w="3360" w:type="dxa"/>
          </w:tcPr>
          <w:p>
            <w:pPr>
              <w:spacing w:before="40" w:after="40"/>
            </w:pPr>
            <w:r>
              <w:rPr>
                <w:sz w:val="18"/>
              </w:rPr>
              <w:t xml:space="preserve">Name the devices the app runs on. No platform is committed. Feature 6's printing and email depend on the device.</w:t>
            </w:r>
          </w:p>
        </w:tc>
        <w:tc>
          <w:tcPr>
            <w:tcW w:w="3360" w:type="dxa"/>
          </w:tcPr>
          <w:p>
            <w:pPr>
              <w:spacing w:before="40" w:after="40"/>
            </w:pPr>
            <w:r>
              <w:rPr>
                <w:sz w:val="18"/>
              </w:rPr>
              <w:t xml:space="preserve">"the app" throughout; Feature 6 ("print it to their local printer or emailing")</w:t>
            </w:r>
          </w:p>
        </w:tc>
      </w:tr>
    </w:tbl>
    <w:p>
      <w:pPr>
        <w:spacing w:after="0"/>
      </w:pPr>
    </w:p>
    <w:p>
      <w:r>
        <w:rPr>
          <w:b/>
        </w:rPr>
        <w:t xml:space="preserve">[INFERRED]</w:t>
      </w:r>
      <w:r>
        <w:t xml:space="preserve"> Every feature line is unchanged from the previous version. Features 2–6 still describe the capabilities these seven items cover.</w:t>
      </w:r>
    </w:p>
    <w:p>
      <w:pPr>
        <w:pBdr>
          <w:bottom w:val="single" w:sz="6" w:space="6" w:color="C9CCD1"/>
        </w:pBdr>
      </w:pPr>
    </w:p>
    <w:p>
      <w:pPr>
        <w:pStyle w:val="Heading1"/>
      </w:pPr>
      <w:r>
        <w:t xml:space="preserve">GAPS</w:t>
      </w:r>
    </w:p>
    <w:p>
      <w:r>
        <w:t xml:space="preserve">These are the places where prd-1.md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None found in this version.</w:t>
      </w:r>
    </w:p>
    <w:p>
      <w:r>
        <w:rPr>
          <w:b/>
        </w:rPr>
        <w:t xml:space="preserve">What we hold (3)</w:t>
      </w:r>
    </w:p>
    <w:p>
      <w:pPr>
        <w:numPr>
          <w:ilvl w:val="0"/>
          <w:numId w:val="1"/>
        </w:numPr>
      </w:pPr>
      <w:r>
        <w:t xml:space="preserve">None found in this version.</w:t>
      </w:r>
    </w:p>
    <w:p>
      <w:r>
        <w:rPr>
          <w:b/>
        </w:rPr>
        <w:t xml:space="preserve">Does it get better with use (4)</w:t>
      </w:r>
    </w:p>
    <w:p>
      <w:pPr>
        <w:numPr>
          <w:ilvl w:val="0"/>
          <w:numId w:val="1"/>
        </w:numPr>
      </w:pPr>
      <w:r>
        <w:t xml:space="preserve">None found in this version. Daily learning "uses the daily confirmations."</w:t>
      </w:r>
    </w:p>
    <w:p>
      <w:r>
        <w:rPr>
          <w:b/>
        </w:rPr>
        <w:t xml:space="preserve">Who we depend on (5)</w:t>
      </w:r>
    </w:p>
    <w:p>
      <w:pPr>
        <w:numPr>
          <w:ilvl w:val="0"/>
          <w:numId w:val="1"/>
        </w:numPr>
      </w:pPr>
      <w:r>
        <w:t xml:space="preserve">None beyond the seven items now listed in OUT OF SCOPE. Which AI agents, stores, models, data sources, CheapFoodMap terms, doctor, workout and quote sources, and platforms are all parked there rather than answered.</w:t>
      </w:r>
    </w:p>
    <w:p>
      <w:r>
        <w:rPr>
          <w:b/>
        </w:rPr>
        <w:t xml:space="preserve">What we ruled out (6)</w:t>
      </w:r>
    </w:p>
    <w:p>
      <w:pPr>
        <w:numPr>
          <w:ilvl w:val="0"/>
          <w:numId w:val="1"/>
        </w:numPr>
      </w:pPr>
      <w:r>
        <w:t xml:space="preserve">Whether each OUT OF SCOPE item parks only the choice of provider, or the capability itself.</w:t>
      </w:r>
    </w:p>
    <w:p>
      <w:pPr>
        <w:numPr>
          <w:ilvl w:val="0"/>
          <w:numId w:val="1"/>
        </w:numPr>
      </w:pPr>
      <w:r>
        <w:t xml:space="preserve">What Features 2–6 do while those items stay parked. The feature lines still describe AI-agent ordering, menu reading, recipes and nutrition outputs, CheapFoodMap recommendations, doctor access, workout education, quotes and printing or email.</w:t>
      </w:r>
    </w:p>
    <w:p>
      <w:pPr>
        <w:numPr>
          <w:ilvl w:val="0"/>
          <w:numId w:val="1"/>
        </w:numPr>
      </w:pPr>
      <w:r>
        <w:t xml:space="preserve">When the parked items come back. The list says only "until further notice."</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