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B8963E"/>
          <w:sz w:val="20"/>
          <w:szCs w:val="20"/>
        </w:rPr>
        <w:t xml:space="preserve">SPIRALA — DEVELOPER BRIEF</w:t>
      </w:r>
    </w:p>
    <w:p>
      <w:pPr>
        <w:spacing w:after="40"/>
      </w:pPr>
      <w:r>
        <w:rPr>
          <w:b/>
          <w:bCs/>
          <w:color w:val="2B2B2B"/>
          <w:sz w:val="40"/>
          <w:szCs w:val="40"/>
        </w:rPr>
        <w:t xml:space="preserve">New page: Mother, Wife, Lover</w:t>
      </w:r>
    </w:p>
    <w:p>
      <w:pPr>
        <w:spacing w:after="300"/>
      </w:pPr>
      <w:r>
        <w:rPr>
          <w:i/>
          <w:iCs/>
          <w:color w:val="6B6B6B"/>
          <w:sz w:val="20"/>
          <w:szCs w:val="20"/>
        </w:rPr>
        <w:t xml:space="preserve">Proposed slug: /mother-wife-lover (PL site: /matka-zona-kochanka)  ·  Content language: Polish (final copy below is in Polish — the live page is PL-only)  ·  Brand archetype: The Magician</w:t>
      </w:r>
    </w:p>
    <w:p>
      <w:pPr>
        <w:pStyle w:val="Heading1"/>
        <w:pBdr>
          <w:bottom w:val="single" w:color="B8963E" w:sz="6"/>
        </w:pBdr>
        <w:spacing w:after="200" w:before="480"/>
      </w:pPr>
      <w:r>
        <w:rPr>
          <w:color w:val="2B2B2B"/>
        </w:rPr>
        <w:t xml:space="preserve">0. Page purpose and tone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A niche specialization page within the Spirala site. Topic: unconscious feminine role patterns (mother / wife / lover), their roots in family-of-origin dynamics, and the path to recognizing and changing them.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Tone: warm but firm and self-assured (Magician archetype — see other pages on the site for visual and tonal consistency, e.g. /jak-pracuje [How I work], /o-mnie [About me]). Avoid inducing guilt in the reader — section 2 requires particular care (see note below).</w:t>
      </w:r>
    </w:p>
    <w:p>
      <w:pPr>
        <w:spacing w:after="160"/>
      </w:pPr>
      <w:r>
        <w:rPr>
          <w:i/>
          <w:iCs/>
          <w:color w:val="2B2B2B"/>
          <w:sz w:val="22"/>
          <w:szCs w:val="22"/>
        </w:rPr>
        <w:t xml:space="preserve">IMPORTANT for content: this page touches on infidelity, both committing it and experiencing it. The copy must read as explaining a MECHANISM (where this comes from), never as an excuse that removes personal responsibility for one's choices. Do not alter the meaning of the section 2 sentences without checking with the client.</w:t>
      </w:r>
    </w:p>
    <w:p>
      <w:pPr>
        <w:spacing w:after="160"/>
      </w:pPr>
      <w:r>
        <w:rPr>
          <w:i/>
          <w:iCs/>
          <w:color w:val="6B6B6B"/>
          <w:sz w:val="22"/>
          <w:szCs w:val="22"/>
        </w:rPr>
        <w:t xml:space="preserve">Note on copy language: all body copy below is the client-approved Polish text and must be implemented verbatim (it is the live copy, not placeholder text). This brief's instructions and labels are in English for the development team; only the actual page content is Polish.</w:t>
      </w:r>
    </w:p>
    <w:p>
      <w:pPr>
        <w:pStyle w:val="Heading1"/>
        <w:pBdr>
          <w:bottom w:val="single" w:color="B8963E" w:sz="6"/>
        </w:pBdr>
        <w:spacing w:after="200" w:before="480"/>
      </w:pPr>
      <w:r>
        <w:rPr>
          <w:color w:val="2B2B2B"/>
        </w:rPr>
        <w:t xml:space="preserve">1. HERO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Heading (H1)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Matka, żona, kochanka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Subheading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Trzy role, w które wchodzi każda kobieta. Rzadko kto pyta, na ile są jej własne — a na ile odziedziczone.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CTA in hero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None (hero is a pure introduction, no button — first CTA only appears at the end of the page, consistent with the structure of other pages such as /o-mnie).</w:t>
      </w:r>
    </w:p>
    <w:p>
      <w:pPr>
        <w:pStyle w:val="Heading2"/>
        <w:spacing w:after="140" w:before="320"/>
      </w:pPr>
      <w:r>
        <w:rPr>
          <w:color w:val="B8963E"/>
        </w:rPr>
        <w:t xml:space="preserve">Hero image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Format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width, height approx. 480–560px (matching the hero on /jak-pracuje and /uslugi)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female silhouette/portrait with a visual motif of "layered identity" — e.g. a woman seen through a translucent veil, a reflection across several panes of glass/mirrors, or a silhouette with subtly overlapping, offset contours (suggesting several "versions of self" in one person). Avoid literally depicting 3 separate people (mother/wife/lover are roles of ONE woman, not three different characters).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Lighting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Warm, but with clear light/shadow contrast — consistent with the brand's overall visual direction (see brand visual brief: threshold/discovery motif, not flat ambient light).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Palette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Gold / deep brown / muted blush-salmon — consistent with brand palette. NOT bright/saturated colors.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Search keywords (Unsplash / Pexels / Adobe Stock)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"woman reflection multiple exposure", "woman through glass silhouette", "woman layered portrait identity"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 text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Woman whose reflection shows several overlapping layers of identity</w:t>
            </w:r>
          </w:p>
        </w:tc>
      </w:tr>
    </w:tbl>
    <w:p>
      <w:pPr>
        <w:pStyle w:val="Heading1"/>
        <w:pBdr>
          <w:bottom w:val="single" w:color="B8963E" w:sz="6"/>
        </w:pBdr>
        <w:spacing w:after="200" w:before="480"/>
      </w:pPr>
      <w:r>
        <w:rPr>
          <w:color w:val="2B2B2B"/>
        </w:rPr>
        <w:t xml:space="preserve">2. SECTION 1 — Roles we play without asking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Section heading (H2)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Role, które gramy bez pytania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Body copy (paragraphs, final approved Polish text — implement verbatim)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Role, które pełnimy, nie zawsze wybieramy świadomie. Często nieświadomie realizujemy to, co kolektywnie nam podpowiada otoczenie, pokolenie, rodzina.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Wychodzimy za mąż w „odpowiednim wieku”, bo kiedyś najgorszą rzeczą było zostać starą panną. Czujemy presję, żeby być żoną. A jeśli związek — to pewnie kolejny krok to rodzina. Lecimy po schemacie, choć niejedna z nas nie ma na to stuprocentowej ochoty. Ale rodzina to świętość, więc spełniamy oczekiwania mamy, która marzy, by być babcią, albo wreszcie przynależeć do grupy, która ma tyle do powiedzenia o dzieciach.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A życie płynie i wykolejasz się na pierwszym zakręcie, bo nikt nas nie nauczył, jak być matką. Więc robisz to, co znasz: jesteś matką taką samą, jaka była dla Ciebie Twoja mama. I są obszary, których nie chciałaś powielać, a w emocjach — stało się. Poczucie winy wchodzi jak burza.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Pogodzenie roli żony i matki to osobny temat, z którym boryka się większość kobiet. Bo gdzie tu znaleźć czas na bycie sobą?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Layout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Single-column text, max-width approx. 700px for readability (matching long paragraphs on /o-mnie). No image in this section — plain text on a calm, uniform background (e.g. --bg-secondary from the brand palette).</w:t>
      </w:r>
    </w:p>
    <w:p>
      <w:pPr>
        <w:pStyle w:val="Heading1"/>
        <w:pBdr>
          <w:bottom w:val="single" w:color="B8963E" w:sz="6"/>
        </w:pBdr>
        <w:spacing w:after="200" w:before="480"/>
      </w:pPr>
      <w:r>
        <w:rPr>
          <w:color w:val="2B2B2B"/>
        </w:rPr>
        <w:t xml:space="preserve">3. SECTION 2 — The role nobody talks about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Section heading (H2)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Rola, o której się nie mówi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Body copy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To jeszcze nie wszystko. Jest jedna rola, o której mówi się najmniej — rola kochanki. Temat tabu, zarezerwowany dla osądu, nie dla zrozumienia.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Zdrady i bycie zdradzaną. Jeśli to Twoja historia, chcę, żebyś wiedziała jedno: to nie sprawia, że jesteś wyklęta. Ale jeśli ten wzorzec się powtarza, warto zapytać, skąd się bierze.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Nie znika z niczego. Często ma swój początek w historii rodziny, z której pochodzisz — w romansach, dramatach, zdradach, które kiedyś przyniosły wykluczenie, wstyd i odrzucenie temu, kto je przeżył.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To nie jest wyjaśnienie, które zwalnia z wyboru. To jest mechanizm, który — kiedy go zobaczysz — przestaje rządzić Tobą po cichu.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Editorial note for developer / future edits</w:t>
      </w:r>
    </w:p>
    <w:p>
      <w:pPr>
        <w:spacing w:after="160"/>
      </w:pPr>
      <w:r>
        <w:rPr>
          <w:i/>
          <w:iCs/>
          <w:color w:val="6B6B6B"/>
          <w:sz w:val="22"/>
          <w:szCs w:val="22"/>
        </w:rPr>
        <w:t xml:space="preserve">The final sentence of this block is the key sentence both ethically and from a liability standpoint — do not remove it in any future revision of this section, even if the rest of the copy changes.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Layout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Same as Section 1 — plain text, single column. Consider a slightly darker background tone relative to Section 1, to visually mark the shift in emotional "weight" of the topic (subtly, not dramatically).</w:t>
      </w:r>
    </w:p>
    <w:p>
      <w:pPr>
        <w:pStyle w:val="Heading1"/>
        <w:pBdr>
          <w:bottom w:val="single" w:color="B8963E" w:sz="6"/>
        </w:pBdr>
        <w:spacing w:after="200" w:before="480"/>
      </w:pPr>
      <w:r>
        <w:rPr>
          <w:color w:val="2B2B2B"/>
        </w:rPr>
        <w:t xml:space="preserve">4. MID-PAGE IMAGE (between Section 2 and Section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Position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Full container width, placed as a visual breathing space between the heaviest section (infidelity/exclusion) and the section about hope/change.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Subject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symbol of metamorphosis / breaking a spell — e.g. dark, dense tree roots transitioning into light, or a butterfly emerging from shadow into light (same butterfly motif used on /uslugi in the closing section — keep this metamorphosis motif consistent across the site).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Mood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transition from darkness to light within a single frame — not static, the drama should live inside the photo itself.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Palette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Deep green/navy transitioning into gold — consistent with the butterfly motif from /uslugi.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Search keywords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"butterfly emerging shadow light", "tree roots golden light transformation"</w:t>
            </w:r>
          </w:p>
        </w:tc>
      </w:tr>
      <w:tr>
        <w:tc>
          <w:tcPr>
            <w:tcW w:type="dxa" w:w="24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7F3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Alt text</w:t>
            </w:r>
          </w:p>
        </w:tc>
        <w:tc>
          <w:tcPr>
            <w:tcW w:type="dxa" w:w="696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 butterfly emerging from shadow toward the light — a symbol of transformation</w:t>
            </w:r>
          </w:p>
        </w:tc>
      </w:tr>
    </w:tbl>
    <w:p>
      <w:pPr>
        <w:pStyle w:val="Heading1"/>
        <w:pBdr>
          <w:bottom w:val="single" w:color="B8963E" w:sz="6"/>
        </w:pBdr>
        <w:spacing w:after="200" w:before="480"/>
      </w:pPr>
      <w:r>
        <w:rPr>
          <w:color w:val="2B2B2B"/>
        </w:rPr>
        <w:t xml:space="preserve">5. SECTION 3 — It can be undone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Section heading (H2)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To da się odczarować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Body copy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Dobra wiadomość: to da się zmienić.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Ja to zrobiłam. Jestem wolna od tych wzorców. Tworzę relacje pełne szacunku i miłości — nie czyniąc drugiemu tego, co mnie nie byłoby miłe.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Jeśli to Twoja historia i chcesz napisać ją na nowo. Uwolnić się od poczucia winy, od wstydu — jesteś we właściwym miejscu. Pracuję metodą pracy z rodem: oddawania tym, do których coś należy, i odzyskiwania tego, co Twoje.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Twoje życie może być wolne od wstydu i poczucia winy.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Layout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Same as previous sections, but consider lightening the background back toward Section 1's tone — a visual "return to the light" after the heavier Section 2 and transition image.</w:t>
      </w:r>
    </w:p>
    <w:p>
      <w:pPr>
        <w:pStyle w:val="Heading1"/>
        <w:pBdr>
          <w:bottom w:val="single" w:color="B8963E" w:sz="6"/>
        </w:pBdr>
        <w:spacing w:after="200" w:before="480"/>
      </w:pPr>
      <w:r>
        <w:rPr>
          <w:color w:val="2B2B2B"/>
        </w:rPr>
        <w:t xml:space="preserve">6. FINAL CTA (section footer, before the site-wide footer)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Heading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To co, działamy?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Body copy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Napisz albo zadzwoń — zaplanujemy ścieżkę powrotu do prawdziwej Ciebie, bez uwikłań rodowych.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Button</w:t>
      </w:r>
    </w:p>
    <w:p>
      <w:pPr>
        <w:spacing w:after="100"/>
      </w:pPr>
      <w:r>
        <w:rPr>
          <w:rFonts w:ascii="Consolas" w:cs="Consolas" w:eastAsia="Consolas" w:hAnsi="Consolas"/>
          <w:color w:val="1A4D2E"/>
          <w:sz w:val="20"/>
          <w:szCs w:val="20"/>
        </w:rPr>
        <w:t xml:space="preserve">[Umawiam bezpłatną rozmowę →]  →  link to the same booking form/Calendly used on other pages (e.g. /uslugi and /jak-pracuje)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Layout / background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Full width, dark/deep background image (same treatment as the closing section on /uslugi with the butterflies) — the SAME butterfly photo from /uslugi can be reused for consistency, or a variant from the same shoot.</w:t>
      </w:r>
    </w:p>
    <w:p>
      <w:pPr>
        <w:pStyle w:val="Heading1"/>
        <w:pBdr>
          <w:bottom w:val="single" w:color="B8963E" w:sz="6"/>
        </w:pBdr>
        <w:spacing w:after="200" w:before="480"/>
      </w:pPr>
      <w:r>
        <w:rPr>
          <w:color w:val="2B2B2B"/>
        </w:rPr>
        <w:t xml:space="preserve">7. SITE FOOTER (global, identical to other pages)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Use the existing global footer component (as seen on /, /o-mnie, /jak-pracuje, /uslugi, /blog). No structural changes. Sections: logo + tagline, Navigation, Offer, Contact, social icons, copyright, privacy policy.</w:t>
      </w:r>
    </w:p>
    <w:p>
      <w:pPr>
        <w:spacing w:after="40" w:before="120"/>
      </w:pPr>
      <w:r>
        <w:rPr>
          <w:b/>
          <w:bCs/>
          <w:color w:val="2B2B2B"/>
          <w:sz w:val="22"/>
          <w:szCs w:val="22"/>
        </w:rPr>
        <w:t xml:space="preserve">Only open question</w:t>
      </w:r>
    </w:p>
    <w:p>
      <w:pPr>
        <w:spacing w:after="160"/>
      </w:pPr>
      <w:r>
        <w:rPr>
          <w:i w:val="false"/>
          <w:iCs w:val="false"/>
          <w:color w:val="2B2B2B"/>
          <w:sz w:val="22"/>
          <w:szCs w:val="22"/>
        </w:rPr>
        <w:t xml:space="preserve">Confirm whether this new page should be added to the "Offer" footer menu and the main top navigation — to be decided with the client (should it be discovered organically, e.g. via a link from a blog post, or included in the main menu?).</w:t>
      </w:r>
    </w:p>
    <w:p>
      <w:pPr>
        <w:pStyle w:val="Heading1"/>
        <w:pBdr>
          <w:bottom w:val="single" w:color="B8963E" w:sz="6"/>
        </w:pBdr>
        <w:spacing w:after="200" w:before="480"/>
      </w:pPr>
      <w:r>
        <w:rPr>
          <w:color w:val="2B2B2B"/>
        </w:rPr>
        <w:t xml:space="preserve">8. SEO / meta (client to finalize before launch)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 title — suggested: „Matka, żona, kochanka — rozpoznaj wzorzec | Spirala”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Meta description — suggested: „Role kobiece, które odtwarzamy bez pytania. Praca z wzorcami rodowymi w relacjach — sesje z Anetą, Spirala.”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URL slug — to confirm: /matka-zona-kochanka</w:t>
      </w:r>
    </w:p>
    <w:p>
      <w:pPr>
        <w:pBdr>
          <w:bottom w:val="single" w:color="CCCCCC" w:sz="4"/>
        </w:pBdr>
        <w:spacing w:after="200" w:before="200"/>
      </w:pPr>
      <w:r>
        <w:t xml:space="preserve"/>
      </w:r>
    </w:p>
    <w:p>
      <w:pPr>
        <w:spacing w:after="160"/>
      </w:pPr>
      <w:r>
        <w:rPr>
          <w:i/>
          <w:iCs/>
          <w:color w:val="6B6B6B"/>
          <w:sz w:val="22"/>
          <w:szCs w:val="22"/>
        </w:rPr>
        <w:t xml:space="preserve">This document is a development brief for handoff to the engineering team. All Polish copy is final, client-approved text ready to paste in — it does not require further editing, only implementation in an HTML structure consistent with the rest of the site.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2B2B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B8963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2026-06-26T11:08:51.828Z</dcterms:created>
  <dcterms:modified xsi:type="dcterms:W3CDTF">2026-06-26T11:08:51.846Z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