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Bitácora · 2026-06-07 — Spira: Paso 2 (core de la app) y niveles de rol</w:t>
      </w:r>
    </w:p>
    <w:p>
      <w:pPr>
        <w:spacing w:after="120"/>
      </w:pPr>
      <w:r>
        <w:rPr>
          <w:b/>
          <w:bCs/>
        </w:rPr>
        <w:t xml:space="preserve">Proyecto:</w:t>
      </w:r>
      <w:r>
        <w:t xml:space="preserve"> Spira (unificación de Spira Track + Spira Pharma)</w:t>
      </w:r>
    </w:p>
    <w:p>
      <w:pPr>
        <w:spacing w:after="120"/>
      </w:pPr>
      <w:r>
        <w:rPr>
          <w:b/>
          <w:bCs/>
        </w:rPr>
        <w:t xml:space="preserve">Autor:</w:t>
      </w:r>
      <w:r>
        <w:t xml:space="preserve"> Lautaro Molina</w:t>
      </w:r>
    </w:p>
    <w:p>
      <w:pPr>
        <w:spacing w:after="120"/>
      </w:pPr>
      <w:r>
        <w:rPr>
          <w:b/>
          <w:bCs/>
        </w:rPr>
        <w:t xml:space="preserve">Contexto:</w:t>
      </w:r>
      <w:r>
        <w:t xml:space="preserve"> Fundación Scherbovsky · farmacia e investigación clínica · sistema auditable</w:t>
      </w:r>
    </w:p>
    <w:p>
      <w:pPr>
        <w:pBdr>
          <w:bottom w:val="single" w:color="C9B98A" w:sz="6" w:space="1"/>
        </w:pBdr>
        <w:spacing w:after="160"/>
      </w:pPr>
    </w:p>
    <w:p>
      <w:pPr>
        <w:pStyle w:val="Heading2"/>
      </w:pPr>
      <w:r>
        <w:t xml:space="preserve">1. Objetivo de la jornada</w:t>
      </w:r>
    </w:p>
    <w:p>
      <w:pPr>
        <w:spacing w:after="120"/>
      </w:pPr>
      <w:r>
        <w:t xml:space="preserve">Arrancar el </w:t>
      </w:r>
      <w:r>
        <w:rPr>
          <w:b/>
          <w:bCs/>
        </w:rPr>
        <w:t xml:space="preserve">Paso 2</w:t>
      </w:r>
      <w:r>
        <w:t xml:space="preserve"> del plan (el merge): construir la aplicación React sobre la base de datos ya desplegada — shell único, autenticación real y acceso por rol. En paralelo, </w:t>
      </w:r>
      <w:r>
        <w:rPr>
          <w:b/>
          <w:bCs/>
        </w:rPr>
        <w:t xml:space="preserve">endurecer el modelo de niveles de rol</w:t>
      </w:r>
      <w:r>
        <w:t xml:space="preserve"> en la base de datos.</w:t>
      </w:r>
    </w:p>
    <w:p>
      <w:pPr>
        <w:spacing w:after="120"/>
      </w:pPr>
      <w:r>
        <w:t xml:space="preserve">Recordatorio de los tres pasos: </w:t>
      </w:r>
      <w:r>
        <w:rPr>
          <w:b/>
          <w:bCs/>
        </w:rPr>
        <w:t xml:space="preserve">1) SQL</w:t>
      </w:r>
      <w:r>
        <w:t xml:space="preserve"> (base de datos, completado el 2026-06-06) · </w:t>
      </w:r>
      <w:r>
        <w:rPr>
          <w:b/>
          <w:bCs/>
        </w:rPr>
        <w:t xml:space="preserve">2) Merge</w:t>
      </w:r>
      <w:r>
        <w:t xml:space="preserve"> (core de la app, foco de hoy) · </w:t>
      </w:r>
      <w:r>
        <w:rPr>
          <w:b/>
          <w:bCs/>
        </w:rPr>
        <w:t xml:space="preserve">3) Visual</w:t>
      </w:r>
      <w:r>
        <w:t xml:space="preserve"> (pulido de identidad, último).</w:t>
      </w:r>
    </w:p>
    <w:p>
      <w:pPr>
        <w:pStyle w:val="Heading2"/>
      </w:pPr>
      <w:r>
        <w:t xml:space="preserve">2. Decisiones de arquitectura tomadas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Lenguaje: TypeScript.</w:t>
      </w:r>
      <w:r>
        <w:t xml:space="preserve"> Se eligió TS sobre JavaScript por el type-safety contra el schema (caza typos de columnas antes de correr), asumiendo la curva de aprendizaje a cambio de robustez para una app clínica.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Reusar el design system existente</w:t>
      </w:r>
      <w:r>
        <w:t xml:space="preserve"> ("Identidad Visual / Sereno"): tokens CSS, shell, isotipo (vilano) e íconos se portaron a TypeScript siguiendo el </w:t>
      </w:r>
      <w:r>
        <w:rPr>
          <w:rFonts w:ascii="Consolas" w:cs="Consolas" w:eastAsia="Consolas" w:hAnsi="Consolas"/>
        </w:rPr>
        <w:t xml:space="preserve">HANDOFF.md</w:t>
      </w:r>
      <w:r>
        <w:t xml:space="preserve"> — no se reinventó.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Seguridad del front:</w:t>
      </w:r>
      <w:r>
        <w:t xml:space="preserve"> producción </w:t>
      </w:r>
      <w:r>
        <w:rPr>
          <w:b/>
          <w:bCs/>
        </w:rPr>
        <w:t xml:space="preserve">sin sourcemaps</w:t>
      </w:r>
      <w:r>
        <w:t xml:space="preserve">; la Publishable key es pública (la protege la RLS); la service_role nunca toca el front; el </w:t>
      </w:r>
      <w:r>
        <w:rPr>
          <w:rFonts w:ascii="Consolas" w:cs="Consolas" w:eastAsia="Consolas" w:hAnsi="Consolas"/>
        </w:rPr>
        <w:t xml:space="preserve">.env</w:t>
      </w:r>
      <w:r>
        <w:t xml:space="preserve"> queda fuera del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Modelo de niveles de rol</w:t>
      </w:r>
      <w:r>
        <w:t xml:space="preserve"> (escalera viewer &lt; operator &lt; leader &lt; admin, por módulo): viewer solo lectura; operator opera y configura su módulo; leader + el catálogo de medicación (pharma); gerencia administra roles, auditoría y borrados. Carve-out de seguridad: asignar coordinadores a protocolos queda en leader (control de acceso, no operator).</w:t>
      </w:r>
    </w:p>
    <w:p>
      <w:pPr>
        <w:pStyle w:val="Heading2"/>
      </w:pPr>
      <w:r>
        <w:t xml:space="preserve">3. Trabajo realizado</w:t>
      </w:r>
    </w:p>
    <w:p>
      <w:pPr>
        <w:pStyle w:val="Heading3"/>
      </w:pPr>
      <w:r>
        <w:t xml:space="preserve">3.1 Scaffold del front</w:t>
      </w:r>
    </w:p>
    <w:p>
      <w:pPr>
        <w:spacing w:after="120"/>
      </w:pPr>
      <w:r>
        <w:t xml:space="preserve">Proyecto </w:t>
      </w:r>
      <w:r>
        <w:rPr>
          <w:b/>
          <w:bCs/>
        </w:rPr>
        <w:t xml:space="preserve">Vite + React 19 + TypeScript</w:t>
      </w:r>
      <w:r>
        <w:t xml:space="preserve"> en la raíz del repo, con </w:t>
      </w:r>
      <w:r>
        <w:rPr>
          <w:rFonts w:ascii="Consolas" w:cs="Consolas" w:eastAsia="Consolas" w:hAnsi="Consolas"/>
        </w:rPr>
        <w:t xml:space="preserve">build.sourcemap = false</w:t>
      </w:r>
      <w:r>
        <w:t xml:space="preserve">. Build verificado (tsc + vite).</w:t>
      </w:r>
    </w:p>
    <w:p>
      <w:pPr>
        <w:pStyle w:val="Heading3"/>
      </w:pPr>
      <w:r>
        <w:t xml:space="preserve">3.2 Design system y shell en TypeScript</w:t>
      </w:r>
    </w:p>
    <w:p>
      <w:pPr>
        <w:spacing w:after="120"/>
      </w:pPr>
      <w:r>
        <w:t xml:space="preserve">Se portaron desde el prototipo: tokens CSS (tema claro/oscuro vía </w:t>
      </w:r>
      <w:r>
        <w:rPr>
          <w:rFonts w:ascii="Consolas" w:cs="Consolas" w:eastAsia="Consolas" w:hAnsi="Consolas"/>
        </w:rPr>
        <w:t xml:space="preserve">[data-theme]</w:t>
      </w:r>
      <w:r>
        <w:t xml:space="preserve"> + </w:t>
      </w:r>
      <w:r>
        <w:rPr>
          <w:rFonts w:ascii="Consolas" w:cs="Consolas" w:eastAsia="Consolas" w:hAnsi="Consolas"/>
        </w:rPr>
        <w:t xml:space="preserve">localStorage</w:t>
      </w:r>
      <w:r>
        <w:t xml:space="preserve">), componentes </w:t>
      </w:r>
      <w:r>
        <w:rPr>
          <w:rFonts w:ascii="Consolas" w:cs="Consolas" w:eastAsia="Consolas" w:hAnsi="Consolas"/>
        </w:rPr>
        <w:t xml:space="preserve">Icon</w:t>
      </w:r>
      <w:r>
        <w:t xml:space="preserve"> y </w:t>
      </w:r>
      <w:r>
        <w:rPr>
          <w:rFonts w:ascii="Consolas" w:cs="Consolas" w:eastAsia="Consolas" w:hAnsi="Consolas"/>
        </w:rPr>
        <w:t xml:space="preserve">Vilano</w:t>
      </w:r>
      <w:r>
        <w:t xml:space="preserve"> (isotipo de marca), el registro de módulos/submódulos, y el </w:t>
      </w:r>
      <w:r>
        <w:rPr>
          <w:b/>
          <w:bCs/>
        </w:rPr>
        <w:t xml:space="preserve">AppShell</w:t>
      </w:r>
      <w:r>
        <w:t xml:space="preserve"> (barra superior + riel de módulos + panel de submódulos + navegación de dos niveles + gating visual).</w:t>
      </w:r>
    </w:p>
    <w:p>
      <w:pPr>
        <w:pStyle w:val="Heading3"/>
      </w:pPr>
      <w:r>
        <w:t xml:space="preserve">3.3 Integración Supabase: login real y acceso por rol</w:t>
      </w:r>
    </w:p>
    <w:p>
      <w:pPr>
        <w:spacing w:after="120"/>
      </w:pPr>
      <w:r>
        <w:t xml:space="preserve">Cliente Supabase, </w:t>
      </w:r>
      <w:r>
        <w:rPr>
          <w:rFonts w:ascii="Consolas" w:cs="Consolas" w:eastAsia="Consolas" w:hAnsi="Consolas"/>
        </w:rPr>
        <w:t xml:space="preserve">AuthProvider</w:t>
      </w:r>
      <w:r>
        <w:t xml:space="preserve"> (sesión + perfil de </w:t>
      </w:r>
      <w:r>
        <w:rPr>
          <w:rFonts w:ascii="Consolas" w:cs="Consolas" w:eastAsia="Consolas" w:hAnsi="Consolas"/>
        </w:rPr>
        <w:t xml:space="preserve">public.users</w:t>
      </w:r>
      <w:r>
        <w:t xml:space="preserve"> + roles de </w:t>
      </w:r>
      <w:r>
        <w:rPr>
          <w:rFonts w:ascii="Consolas" w:cs="Consolas" w:eastAsia="Consolas" w:hAnsi="Consolas"/>
        </w:rPr>
        <w:t xml:space="preserve">user_module_roles</w:t>
      </w:r>
      <w:r>
        <w:t xml:space="preserve">), pantalla de </w:t>
      </w:r>
      <w:r>
        <w:rPr>
          <w:b/>
          <w:bCs/>
        </w:rPr>
        <w:t xml:space="preserve">login real</w:t>
      </w:r>
      <w:r>
        <w:t xml:space="preserve"> (email/contraseña), y </w:t>
      </w:r>
      <w:r>
        <w:rPr>
          <w:b/>
          <w:bCs/>
        </w:rPr>
        <w:t xml:space="preserve">gating de módulos según el rol real</w:t>
      </w:r>
      <w:r>
        <w:t xml:space="preserve"> del usuario — reemplaza el </w:t>
      </w:r>
      <w:r>
        <w:rPr>
          <w:rFonts w:ascii="Consolas" w:cs="Consolas" w:eastAsia="Consolas" w:hAnsi="Consolas"/>
        </w:rPr>
        <w:t xml:space="preserve">allowed</w:t>
      </w:r>
      <w:r>
        <w:t xml:space="preserve"> hardcodeado del prototipo.</w:t>
      </w:r>
    </w:p>
    <w:p>
      <w:pPr>
        <w:pStyle w:val="Heading3"/>
      </w:pPr>
      <w:r>
        <w:t xml:space="preserve">3.4 Migración 0009 — niveles de rol estrictos</w:t>
      </w:r>
    </w:p>
    <w:p>
      <w:pPr>
        <w:spacing w:after="120"/>
      </w:pPr>
      <w:r>
        <w:t xml:space="preserve">Helpers </w:t>
      </w:r>
      <w:r>
        <w:rPr>
          <w:rFonts w:ascii="Consolas" w:cs="Consolas" w:eastAsia="Consolas" w:hAnsi="Consolas"/>
        </w:rPr>
        <w:t xml:space="preserve">role_rank</w:t>
      </w:r>
      <w:r>
        <w:t xml:space="preserve"> + </w:t>
      </w:r>
      <w:r>
        <w:rPr>
          <w:rFonts w:ascii="Consolas" w:cs="Consolas" w:eastAsia="Consolas" w:hAnsi="Consolas"/>
        </w:rPr>
        <w:t xml:space="preserve">has_min_role</w:t>
      </w:r>
      <w:r>
        <w:t xml:space="preserve"> (la escalera de niveles) y ajuste de todas las policies de escritura para que cada nivel no pueda pasarse del suyo (un viewer no escribe; el catálogo de medicación es solo de la farmacéutica; etc.).</w:t>
      </w:r>
    </w:p>
    <w:p>
      <w:pPr>
        <w:pStyle w:val="Heading2"/>
      </w:pPr>
      <w:r>
        <w:t xml:space="preserve">4. Despliegue y validación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 corriendo</w:t>
      </w:r>
      <w:r>
        <w:t xml:space="preserve"> localmente (</w:t>
      </w:r>
      <w:r>
        <w:rPr>
          <w:rFonts w:ascii="Consolas" w:cs="Consolas" w:eastAsia="Consolas" w:hAnsi="Consolas"/>
        </w:rPr>
        <w:t xml:space="preserve">npm run dev</w:t>
      </w:r>
      <w:r>
        <w:t xml:space="preserve">): login real funcionando, módulos gateados por el rol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 en GitHub:</w:t>
      </w:r>
      <w:r>
        <w:t xml:space="preserve"> </w:t>
      </w:r>
      <w:r>
        <w:rPr>
          <w:rFonts w:ascii="Consolas" w:cs="Consolas" w:eastAsia="Consolas" w:hAnsi="Consolas"/>
        </w:rPr>
        <w:t xml:space="preserve">spiraclinicapp/Spira-App</w:t>
      </w:r>
      <w:r>
        <w:t xml:space="preserve"> (privado), commits bajo la cuenta </w:t>
      </w:r>
      <w:r>
        <w:rPr>
          <w:rFonts w:ascii="Consolas" w:cs="Consolas" w:eastAsia="Consolas" w:hAnsi="Consolas"/>
        </w:rPr>
        <w:t xml:space="preserve">Spira Dev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Migración 0009 verificada</w:t>
      </w:r>
      <w:r>
        <w:t xml:space="preserve"> con revisión adversarial multi-agente (veredicto </w:t>
      </w:r>
      <w:r>
        <w:rPr>
          <w:b/>
          <w:bCs/>
        </w:rPr>
        <w:t xml:space="preserve">GO</w:t>
      </w:r>
      <w:r>
        <w:t xml:space="preserve">; el propio sistema atrapó y descartó un falso positivo) y </w:t>
      </w:r>
      <w:r>
        <w:rPr>
          <w:b/>
          <w:bCs/>
        </w:rPr>
        <w:t xml:space="preserve">probada en vivo</w:t>
      </w:r>
      <w:r>
        <w:t xml:space="preserve">: un usuario </w:t>
      </w:r>
      <w:r>
        <w:rPr>
          <w:rFonts w:ascii="Consolas" w:cs="Consolas" w:eastAsia="Consolas" w:hAnsi="Consolas"/>
        </w:rPr>
        <w:t xml:space="preserve">viewer</w:t>
      </w:r>
      <w:r>
        <w:t xml:space="preserve"> intentó crear un paciente y la base lo </w:t>
      </w:r>
      <w:r>
        <w:rPr>
          <w:b/>
          <w:bCs/>
        </w:rPr>
        <w:t xml:space="preserve">rechazó por RLS</w:t>
      </w:r>
      <w:r>
        <w:t xml:space="preserve"> → viewer estricto confirmado.</w:t>
      </w:r>
    </w:p>
    <w:p>
      <w:pPr>
        <w:pStyle w:val="Heading2"/>
      </w:pPr>
      <w:r>
        <w:t xml:space="preserve">5. Problemas encontrados y resueltos (para referencia futura)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E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E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E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permission denied for table auth.users</w:t>
            </w:r>
            <w:r>
              <w:t xml:space="preserve"> (en el test de RLS)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rol </w:t>
            </w:r>
            <w:r>
              <w:rPr>
                <w:rFonts w:ascii="Consolas" w:cs="Consolas" w:eastAsia="Consolas" w:hAnsi="Consolas"/>
              </w:rPr>
              <w:t xml:space="preserve">authenticated</w:t>
            </w:r>
            <w:r>
              <w:t xml:space="preserve"> no puede leer el schema </w:t>
            </w:r>
            <w:r>
              <w:rPr>
                <w:rFonts w:ascii="Consolas" w:cs="Consolas" w:eastAsia="Consolas" w:hAnsi="Consolas"/>
              </w:rPr>
              <w:t xml:space="preserve">auth</w:t>
            </w:r>
            <w:r>
              <w:t xml:space="preserve"> (protegido a propósito)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usar </w:t>
            </w:r>
            <w:r>
              <w:rPr>
                <w:rFonts w:ascii="Consolas" w:cs="Consolas" w:eastAsia="Consolas" w:hAnsi="Consolas"/>
              </w:rPr>
              <w:t xml:space="preserve">auth.uid()</w:t>
            </w:r>
            <w:r>
              <w:t xml:space="preserve"> (lee el token), no consultar </w:t>
            </w:r>
            <w:r>
              <w:rPr>
                <w:rFonts w:ascii="Consolas" w:cs="Consolas" w:eastAsia="Consolas" w:hAnsi="Consolas"/>
              </w:rPr>
              <w:t xml:space="preserve">auth.users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Verificación con ruta inválida en </w:t>
            </w:r>
            <w:r>
              <w:rPr>
                <w:rFonts w:ascii="Consolas" w:cs="Consolas" w:eastAsia="Consolas" w:hAnsi="Consolas"/>
              </w:rPr>
              <w:t xml:space="preserve">node -e</w:t>
            </w:r>
            <w:r>
              <w:t xml:space="preserve"> al instalar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estilo git-bash no válido para </w:t>
            </w:r>
            <w:r>
              <w:rPr>
                <w:rFonts w:ascii="Consolas" w:cs="Consolas" w:eastAsia="Consolas" w:hAnsi="Consolas"/>
              </w:rPr>
              <w:t xml:space="preserve">require</w:t>
            </w:r>
            <w:r>
              <w:t xml:space="preserve"> de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trivial — la instalación fue correcta igual; ajustar la verificación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Estado al cierre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Paso 1 (base de datos): completo y en producción</w:t>
      </w:r>
      <w:r>
        <w:t xml:space="preserve"> (migraciones </w:t>
      </w:r>
      <w:r>
        <w:rPr>
          <w:rFonts w:ascii="Consolas" w:cs="Consolas" w:eastAsia="Consolas" w:hAnsi="Consolas"/>
        </w:rPr>
        <w:t xml:space="preserve">0001</w:t>
      </w:r>
      <w:r>
        <w:t xml:space="preserve">–</w:t>
      </w:r>
      <w:r>
        <w:rPr>
          <w:rFonts w:ascii="Consolas" w:cs="Consolas" w:eastAsia="Consolas" w:hAnsi="Consolas"/>
        </w:rPr>
        <w:t xml:space="preserve">0009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Core del Paso 2: listo</w:t>
      </w:r>
      <w:r>
        <w:t xml:space="preserve"> — shell + login real + acceso por rol + niveles de rol estrictos, todo sobre Supabase y versionado en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 que falta del Paso 2:</w:t>
      </w:r>
      <w:r>
        <w:t xml:space="preserve"> portar las vistas a datos reales (hoy son placeholders) y el panel de gerencia.</w:t>
      </w:r>
    </w:p>
    <w:p>
      <w:pPr>
        <w:pStyle w:val="Heading2"/>
      </w:pPr>
      <w:r>
        <w:t xml:space="preserve">7.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Panel de gerencia</w:t>
      </w:r>
      <w:r>
        <w:t xml:space="preserve"> (que Pablo asigne roles con clicks, con perfiles predefinidos) — reemplaza el SQL de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Portar las vistas a datos reales</w:t>
      </w:r>
      <w:r>
        <w:t xml:space="preserve"> (empezando por una, ej. Track → Pacientes) sobre el shell.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Realtime del handoff</w:t>
      </w:r>
      <w:r>
        <w:t xml:space="preserve"> Track↔Pharma.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Permiso por campo</w:t>
      </w:r>
      <w:r>
        <w:t xml:space="preserve"> en protocolos (operator algunos campos, leader todos) vía app + trigger guard, cuando se definan los campos.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430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5F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430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2026-06-07T16:26:48.612Z</dcterms:created>
  <dcterms:modified xsi:type="dcterms:W3CDTF">2026-06-07T16:26:48.613Z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