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Checklist de Arquitectura y Seguridad</w:t>
      </w:r>
    </w:p>
    <w:p>
      <w:pPr>
        <w:pBdr>
          <w:bottom w:val="single" w:color="2E75B6" w:sz="8" w:space="4"/>
        </w:pBdr>
        <w:spacing w:after="200"/>
      </w:pPr>
      <w:r>
        <w:rPr>
          <w:rFonts w:ascii="Arial" w:cs="Arial" w:eastAsia="Arial" w:hAnsi="Arial"/>
          <w:color w:val="595959"/>
          <w:sz w:val="26"/>
          <w:szCs w:val="26"/>
        </w:rPr>
        <w:t xml:space="preserve">Spira — Fundación Scherbovsky</w:t>
      </w:r>
    </w:p>
    <w:p>
      <w:pPr>
        <w:spacing w:after="120"/>
      </w:pPr>
      <w:r>
        <w:rPr>
          <w:b/>
          <w:bCs/>
        </w:rPr>
        <w:t xml:space="preserve">Arquitectura asumida: </w:t>
      </w:r>
      <w:r>
        <w:t xml:space="preserve">React + Vite (cliente) → backend propio (Node/JS) → Supabase (Postgres + Auth + Storage).</w:t>
      </w:r>
    </w:p>
    <w:p>
      <w:pPr>
        <w:spacing w:after="120"/>
      </w:pPr>
      <w:r>
        <w:rPr>
          <w:b/>
          <w:bCs/>
        </w:rPr>
        <w:t xml:space="preserve">Contexto: </w:t>
      </w:r>
      <w:r>
        <w:t xml:space="preserve">datos de salud de ~300 pacientes de ensayos clínicos. La barra es “ningún usuario ve datos de un paciente que no le corresponde”.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0000"/>
              </w:rPr>
              <w:t xml:space="preserve">CRÍTICO</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Hacelo antes de producción.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F8F00"/>
              </w:rPr>
              <w:t xml:space="preserve">IMPORTANTE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bloquea, pero no lo dejes pendiente mucho.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548235"/>
              </w:rPr>
              <w:t xml:space="preserve">MEJORA</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Higiene u optimización. Suma, no protege por sí solo.</w:t>
            </w:r>
          </w:p>
        </w:tc>
      </w:tr>
    </w:tbl>
    <w:p>
      <w:pPr>
        <w:spacing w:after="120"/>
      </w:pPr>
    </w:p>
    <w:p>
      <w:pPr>
        <w:pStyle w:val="Heading2"/>
        <w:pBdr>
          <w:bottom w:val="single" w:color="DDDDDD" w:sz="4" w:space="4"/>
        </w:pBdr>
        <w:spacing w:after="120" w:before="280"/>
      </w:pPr>
      <w:r>
        <w:rPr>
          <w:rFonts w:ascii="Arial" w:cs="Arial" w:eastAsia="Arial" w:hAnsi="Arial"/>
          <w:b/>
          <w:bCs/>
          <w:sz w:val="26"/>
          <w:szCs w:val="26"/>
        </w:rPr>
        <w:t xml:space="preserve">1. RLS en Supabase</w:t>
      </w:r>
      <w:r>
        <w:rPr>
          <w:b/>
          <w:bCs/>
          <w:color w:val="C00000"/>
          <w:sz w:val="20"/>
          <w:szCs w:val="20"/>
        </w:rPr>
        <w:t xml:space="preserve">  CRÍTICO</w:t>
      </w:r>
    </w:p>
    <w:p>
      <w:pPr>
        <w:spacing w:after="120"/>
      </w:pPr>
      <w:r>
        <w:t xml:space="preserve">Es tu última línea de defensa: aunque tu backend tenga un bug, RLS evita la fuga a nivel base.</w:t>
      </w:r>
    </w:p>
    <w:p>
      <w:pPr>
        <w:pStyle w:val="ListParagraph"/>
        <w:numPr>
          <w:ilvl w:val="0"/>
          <w:numId w:val="2"/>
        </w:numPr>
        <w:spacing w:after="80"/>
      </w:pPr>
      <w:r>
        <w:t xml:space="preserve">ENABLE ROW LEVEL SECURITY en </w:t>
      </w:r>
      <w:r>
        <w:rPr>
          <w:b/>
          <w:bCs/>
        </w:rPr>
        <w:t xml:space="preserve">toda</w:t>
      </w:r>
      <w:r>
        <w:t xml:space="preserve"> tabla con datos de paciente. Sin política + RLS on = tabla cerrada (preferible a abierta).</w:t>
      </w:r>
    </w:p>
    <w:p>
      <w:pPr>
        <w:pStyle w:val="ListParagraph"/>
        <w:numPr>
          <w:ilvl w:val="0"/>
          <w:numId w:val="2"/>
        </w:numPr>
        <w:spacing w:after="80"/>
      </w:pPr>
      <w:r>
        <w:t xml:space="preserve">Políticas que filtren por la relación real (coordinador / sitio / estudio), no por el rol “authenticated” a secas.</w:t>
      </w:r>
    </w:p>
    <w:p>
      <w:pPr>
        <w:pStyle w:val="ListParagraph"/>
        <w:numPr>
          <w:ilvl w:val="0"/>
          <w:numId w:val="2"/>
        </w:numPr>
        <w:spacing w:after="80"/>
      </w:pPr>
      <w:r>
        <w:t xml:space="preserve">Activar RLS </w:t>
      </w:r>
      <w:r>
        <w:rPr>
          <w:b/>
          <w:bCs/>
        </w:rPr>
        <w:t xml:space="preserve">también</w:t>
      </w:r>
      <w:r>
        <w:t xml:space="preserve"> en tablas a las que solo accede el backend: si alguna vez quedan accesibles por anon key, RLS te cubre.</w:t>
      </w:r>
    </w:p>
    <w:p>
      <w:pPr>
        <w:pStyle w:val="ListParagraph"/>
        <w:numPr>
          <w:ilvl w:val="0"/>
          <w:numId w:val="2"/>
        </w:numPr>
        <w:spacing w:after="80"/>
      </w:pPr>
      <w:r>
        <w:t xml:space="preserve">Correr el Security Advisor de Supabase después de cada migración (detecta tablas sin RLS y funciones security definer mal configuradas).</w:t>
      </w:r>
    </w:p>
    <w:p>
      <w:pPr>
        <w:pStyle w:val="ListParagraph"/>
        <w:numPr>
          <w:ilvl w:val="0"/>
          <w:numId w:val="2"/>
        </w:numPr>
        <w:spacing w:after="80"/>
      </w:pPr>
      <w:r>
        <w:t xml:space="preserve">Test de RLS: autenticarse como usuario A, intentar leer datos del paciente de B, verificar que devuelve 0 filas. Que falle el CI si lo logra.</w:t>
      </w:r>
    </w:p>
    <w:p>
      <w:pPr>
        <w:pStyle w:val="Heading2"/>
        <w:pBdr>
          <w:bottom w:val="single" w:color="DDDDDD" w:sz="4" w:space="4"/>
        </w:pBdr>
        <w:spacing w:after="120" w:before="280"/>
      </w:pPr>
      <w:r>
        <w:rPr>
          <w:rFonts w:ascii="Arial" w:cs="Arial" w:eastAsia="Arial" w:hAnsi="Arial"/>
          <w:b/>
          <w:bCs/>
          <w:sz w:val="26"/>
          <w:szCs w:val="26"/>
        </w:rPr>
        <w:t xml:space="preserve">2. Manejo de keys y secretos</w:t>
      </w:r>
      <w:r>
        <w:rPr>
          <w:b/>
          <w:bCs/>
          <w:color w:val="C00000"/>
          <w:sz w:val="20"/>
          <w:szCs w:val="20"/>
        </w:rPr>
        <w:t xml:space="preserve">  CRÍTICO</w:t>
      </w:r>
    </w:p>
    <w:p>
      <w:pPr>
        <w:spacing w:after="120"/>
      </w:pPr>
      <w:r>
        <w:t xml:space="preserve">El error más fácil y más caro. La regla de oro: </w:t>
      </w:r>
      <w:r>
        <w:rPr>
          <w:b/>
          <w:bCs/>
        </w:rPr>
        <w:t xml:space="preserve">lo que va al cliente es público.</w:t>
      </w:r>
    </w:p>
    <w:p>
      <w:pPr>
        <w:pStyle w:val="ListParagraph"/>
        <w:numPr>
          <w:ilvl w:val="0"/>
          <w:numId w:val="2"/>
        </w:numPr>
        <w:spacing w:after="80"/>
      </w:pPr>
      <w:r>
        <w:rPr>
          <w:b/>
          <w:bCs/>
        </w:rPr>
        <w:t xml:space="preserve">anon key</w:t>
      </w:r>
      <w:r>
        <w:t xml:space="preserve"> de Supabase → puede ir al cliente (</w:t>
      </w:r>
      <w:r>
        <w:rPr>
          <w:rFonts w:ascii="Consolas" w:cs="Consolas" w:eastAsia="Consolas" w:hAnsi="Consolas"/>
          <w:sz w:val="20"/>
          <w:szCs w:val="20"/>
        </w:rPr>
        <w:t xml:space="preserve">VITE_SUPABASE_ANON_KEY</w:t>
      </w:r>
      <w:r>
        <w:t xml:space="preserve">). Está protegida por RLS.</w:t>
      </w:r>
    </w:p>
    <w:p>
      <w:pPr>
        <w:pStyle w:val="ListParagraph"/>
        <w:numPr>
          <w:ilvl w:val="0"/>
          <w:numId w:val="2"/>
        </w:numPr>
        <w:spacing w:after="80"/>
      </w:pPr>
      <w:r>
        <w:rPr>
          <w:b/>
          <w:bCs/>
        </w:rPr>
        <w:t xml:space="preserve">service_role key</w:t>
      </w:r>
      <w:r>
        <w:t xml:space="preserve"> → SOLO en el backend, en una variable </w:t>
      </w:r>
      <w:r>
        <w:rPr>
          <w:b/>
          <w:bCs/>
        </w:rPr>
        <w:t xml:space="preserve">sin</w:t>
      </w:r>
      <w:r>
        <w:t xml:space="preserve"> prefijo </w:t>
      </w:r>
      <w:r>
        <w:rPr>
          <w:rFonts w:ascii="Consolas" w:cs="Consolas" w:eastAsia="Consolas" w:hAnsi="Consolas"/>
          <w:sz w:val="20"/>
          <w:szCs w:val="20"/>
        </w:rPr>
        <w:t xml:space="preserve">VITE_</w:t>
      </w:r>
      <w:r>
        <w:t xml:space="preserve">. Nunca en el frontend: bypassea RLS por completo.</w:t>
      </w:r>
    </w:p>
    <w:p>
      <w:pPr>
        <w:pStyle w:val="ListParagraph"/>
        <w:numPr>
          <w:ilvl w:val="0"/>
          <w:numId w:val="2"/>
        </w:numPr>
        <w:spacing w:after="80"/>
      </w:pPr>
      <w:r>
        <w:t xml:space="preserve">Verificar que ninguna variable </w:t>
      </w:r>
      <w:r>
        <w:rPr>
          <w:rFonts w:ascii="Consolas" w:cs="Consolas" w:eastAsia="Consolas" w:hAnsi="Consolas"/>
          <w:sz w:val="20"/>
          <w:szCs w:val="20"/>
        </w:rPr>
        <w:t xml:space="preserve">VITE_*</w:t>
      </w:r>
      <w:r>
        <w:t xml:space="preserve"> contenga un secreto real (API keys de terceros, service_role, credenciales de DB).</w:t>
      </w:r>
    </w:p>
    <w:p>
      <w:pPr>
        <w:pStyle w:val="ListParagraph"/>
        <w:numPr>
          <w:ilvl w:val="0"/>
          <w:numId w:val="2"/>
        </w:numPr>
        <w:spacing w:after="80"/>
      </w:pPr>
      <w:r>
        <w:rPr>
          <w:rFonts w:ascii="Consolas" w:cs="Consolas" w:eastAsia="Consolas" w:hAnsi="Consolas"/>
          <w:sz w:val="20"/>
          <w:szCs w:val="20"/>
        </w:rPr>
        <w:t xml:space="preserve">.env</w:t>
      </w:r>
      <w:r>
        <w:t xml:space="preserve"> en </w:t>
      </w:r>
      <w:r>
        <w:rPr>
          <w:rFonts w:ascii="Consolas" w:cs="Consolas" w:eastAsia="Consolas" w:hAnsi="Consolas"/>
          <w:sz w:val="20"/>
          <w:szCs w:val="20"/>
        </w:rPr>
        <w:t xml:space="preserve">.gitignore</w:t>
      </w:r>
      <w:r>
        <w:t xml:space="preserve">. Commitear un </w:t>
      </w:r>
      <w:r>
        <w:rPr>
          <w:rFonts w:ascii="Consolas" w:cs="Consolas" w:eastAsia="Consolas" w:hAnsi="Consolas"/>
          <w:sz w:val="20"/>
          <w:szCs w:val="20"/>
        </w:rPr>
        <w:t xml:space="preserve">.env.example</w:t>
      </w:r>
      <w:r>
        <w:t xml:space="preserve"> con las claves vacías como documentación.</w:t>
      </w:r>
    </w:p>
    <w:p>
      <w:pPr>
        <w:pStyle w:val="ListParagraph"/>
        <w:numPr>
          <w:ilvl w:val="0"/>
          <w:numId w:val="2"/>
        </w:numPr>
        <w:spacing w:after="80"/>
      </w:pPr>
      <w:r>
        <w:t xml:space="preserve">Revisar el </w:t>
      </w:r>
      <w:r>
        <w:rPr>
          <w:b/>
          <w:bCs/>
        </w:rPr>
        <w:t xml:space="preserve">historial de git</w:t>
      </w:r>
      <w:r>
        <w:t xml:space="preserve">: si una key se commiteó alguna vez, sigue ahí aunque la borres. Si pasó → rotar la key en Supabase, no solo borrar el archivo.</w:t>
      </w:r>
    </w:p>
    <w:p>
      <w:pPr>
        <w:pStyle w:val="ListParagraph"/>
        <w:numPr>
          <w:ilvl w:val="0"/>
          <w:numId w:val="2"/>
        </w:numPr>
        <w:spacing w:after="80"/>
      </w:pPr>
      <w:r>
        <w:t xml:space="preserve">Secretos del backend en variables de entorno del entorno de deploy, no en el código.</w:t>
      </w:r>
    </w:p>
    <w:p>
      <w:pPr>
        <w:pStyle w:val="Heading2"/>
        <w:pBdr>
          <w:bottom w:val="single" w:color="DDDDDD" w:sz="4" w:space="4"/>
        </w:pBdr>
        <w:spacing w:after="120" w:before="280"/>
      </w:pPr>
      <w:r>
        <w:rPr>
          <w:rFonts w:ascii="Arial" w:cs="Arial" w:eastAsia="Arial" w:hAnsi="Arial"/>
          <w:b/>
          <w:bCs/>
          <w:sz w:val="26"/>
          <w:szCs w:val="26"/>
        </w:rPr>
        <w:t xml:space="preserve">3. Verificación de identidad backend ↔ frontend</w:t>
      </w:r>
      <w:r>
        <w:rPr>
          <w:b/>
          <w:bCs/>
          <w:color w:val="C00000"/>
          <w:sz w:val="20"/>
          <w:szCs w:val="20"/>
        </w:rPr>
        <w:t xml:space="preserve">  CRÍTICO</w:t>
      </w:r>
    </w:p>
    <w:p>
      <w:pPr>
        <w:spacing w:after="120"/>
      </w:pPr>
      <w:r>
        <w:t xml:space="preserve">No estaba en tu lista y es crítico con un backend en el medio. El backend </w:t>
      </w:r>
      <w:r>
        <w:rPr>
          <w:b/>
          <w:bCs/>
        </w:rPr>
        <w:t xml:space="preserve">no debe confiar ciegamente</w:t>
      </w:r>
      <w:r>
        <w:t xml:space="preserve"> en lo que dice el cliente.</w:t>
      </w:r>
    </w:p>
    <w:p>
      <w:pPr>
        <w:pStyle w:val="ListParagraph"/>
        <w:numPr>
          <w:ilvl w:val="0"/>
          <w:numId w:val="2"/>
        </w:numPr>
        <w:spacing w:after="80"/>
      </w:pPr>
      <w:r>
        <w:t xml:space="preserve">El frontend manda el JWT de Supabase (access token de la sesión) en el header </w:t>
      </w:r>
      <w:r>
        <w:rPr>
          <w:rFonts w:ascii="Consolas" w:cs="Consolas" w:eastAsia="Consolas" w:hAnsi="Consolas"/>
          <w:sz w:val="20"/>
          <w:szCs w:val="20"/>
        </w:rPr>
        <w:t xml:space="preserve">Authorization</w:t>
      </w:r>
      <w:r>
        <w:t xml:space="preserve"> de cada request al backend.</w:t>
      </w:r>
    </w:p>
    <w:p>
      <w:pPr>
        <w:pStyle w:val="ListParagraph"/>
        <w:numPr>
          <w:ilvl w:val="0"/>
          <w:numId w:val="2"/>
        </w:numPr>
        <w:spacing w:after="80"/>
      </w:pPr>
      <w:r>
        <w:t xml:space="preserve">El backend </w:t>
      </w:r>
      <w:r>
        <w:rPr>
          <w:b/>
          <w:bCs/>
        </w:rPr>
        <w:t xml:space="preserve">verifica ese JWT</w:t>
      </w:r>
      <w:r>
        <w:t xml:space="preserve"> en cada endpoint protegido antes de hacer nada (firma + expiración).</w:t>
      </w:r>
    </w:p>
    <w:p>
      <w:pPr>
        <w:pStyle w:val="ListParagraph"/>
        <w:numPr>
          <w:ilvl w:val="0"/>
          <w:numId w:val="2"/>
        </w:numPr>
        <w:spacing w:after="80"/>
      </w:pPr>
      <w:r>
        <w:t xml:space="preserve">El backend deriva el </w:t>
      </w:r>
      <w:r>
        <w:rPr>
          <w:rFonts w:ascii="Consolas" w:cs="Consolas" w:eastAsia="Consolas" w:hAnsi="Consolas"/>
          <w:sz w:val="20"/>
          <w:szCs w:val="20"/>
        </w:rPr>
        <w:t xml:space="preserve">user_id</w:t>
      </w:r>
      <w:r>
        <w:t xml:space="preserve"> del token verificado, </w:t>
      </w:r>
      <w:r>
        <w:rPr>
          <w:b/>
          <w:bCs/>
        </w:rPr>
        <w:t xml:space="preserve">nunca</w:t>
      </w:r>
      <w:r>
        <w:t xml:space="preserve"> de un campo que el cliente mande en el body. Confiar en un userId del body es la receta clásica de IDOR.</w:t>
      </w:r>
    </w:p>
    <w:p>
      <w:pPr>
        <w:pStyle w:val="ListParagraph"/>
        <w:numPr>
          <w:ilvl w:val="0"/>
          <w:numId w:val="2"/>
        </w:numPr>
        <w:spacing w:after="80"/>
      </w:pPr>
      <w:r>
        <w:t xml:space="preserve">Los endpoints chequean autorización (¿este usuario puede tocar este recurso?), no solo autenticación (¿está logueado?).</w:t>
      </w:r>
    </w:p>
    <w:p>
      <w:pPr>
        <w:pStyle w:val="Heading2"/>
        <w:pBdr>
          <w:bottom w:val="single" w:color="DDDDDD" w:sz="4" w:space="4"/>
        </w:pBdr>
        <w:spacing w:after="120" w:before="280"/>
      </w:pPr>
      <w:r>
        <w:rPr>
          <w:rFonts w:ascii="Arial" w:cs="Arial" w:eastAsia="Arial" w:hAnsi="Arial"/>
          <w:b/>
          <w:bCs/>
          <w:sz w:val="26"/>
          <w:szCs w:val="26"/>
        </w:rPr>
        <w:t xml:space="preserve">4. Validación de input</w:t>
      </w:r>
      <w:r>
        <w:rPr>
          <w:b/>
          <w:bCs/>
          <w:color w:val="BF8F00"/>
          <w:sz w:val="20"/>
          <w:szCs w:val="20"/>
        </w:rPr>
        <w:t xml:space="preserve">  IMPORTANTE</w:t>
      </w:r>
    </w:p>
    <w:p>
      <w:pPr>
        <w:spacing w:after="120"/>
      </w:pPr>
      <w:r>
        <w:t xml:space="preserve">Tres capas con roles distintos. No confundirlas.</w:t>
      </w:r>
    </w:p>
    <w:p>
      <w:pPr>
        <w:pStyle w:val="ListParagraph"/>
        <w:numPr>
          <w:ilvl w:val="0"/>
          <w:numId w:val="2"/>
        </w:numPr>
        <w:spacing w:after="80"/>
      </w:pPr>
      <w:r>
        <w:rPr>
          <w:b/>
          <w:bCs/>
        </w:rPr>
        <w:t xml:space="preserve">Cliente (React + Zod): </w:t>
      </w:r>
      <w:r>
        <w:t xml:space="preserve">solo UX. Un atacante la saltea. No es seguridad.</w:t>
      </w:r>
    </w:p>
    <w:p>
      <w:pPr>
        <w:pStyle w:val="ListParagraph"/>
        <w:numPr>
          <w:ilvl w:val="0"/>
          <w:numId w:val="2"/>
        </w:numPr>
        <w:spacing w:after="80"/>
      </w:pPr>
      <w:r>
        <w:rPr>
          <w:b/>
          <w:bCs/>
        </w:rPr>
        <w:t xml:space="preserve">Backend (mismo esquema Zod reusado): </w:t>
      </w:r>
      <w:r>
        <w:t xml:space="preserve">acá sí es seguridad. Validar todo lo que entra antes de tocar la base.</w:t>
      </w:r>
    </w:p>
    <w:p>
      <w:pPr>
        <w:pStyle w:val="ListParagraph"/>
        <w:numPr>
          <w:ilvl w:val="0"/>
          <w:numId w:val="2"/>
        </w:numPr>
        <w:spacing w:after="80"/>
      </w:pPr>
      <w:r>
        <w:rPr>
          <w:b/>
          <w:bCs/>
        </w:rPr>
        <w:t xml:space="preserve">Base (Postgres): </w:t>
      </w:r>
      <w:r>
        <w:t xml:space="preserve">constraints CHECK, NOT NULL, tipos, foreign keys. Última red.</w:t>
      </w:r>
    </w:p>
    <w:p>
      <w:pPr>
        <w:pStyle w:val="ListParagraph"/>
        <w:numPr>
          <w:ilvl w:val="0"/>
          <w:numId w:val="2"/>
        </w:numPr>
        <w:spacing w:after="80"/>
      </w:pPr>
      <w:r>
        <w:t xml:space="preserve">Inyección: con queries parametrizadas del SDK, SQL injection no es el riesgo principal. El riesgo real es </w:t>
      </w:r>
      <w:r>
        <w:rPr>
          <w:b/>
          <w:bCs/>
        </w:rPr>
        <w:t xml:space="preserve">XSS</w:t>
      </w:r>
      <w:r>
        <w:t xml:space="preserve"> → nunca </w:t>
      </w:r>
      <w:r>
        <w:rPr>
          <w:rFonts w:ascii="Consolas" w:cs="Consolas" w:eastAsia="Consolas" w:hAnsi="Consolas"/>
          <w:sz w:val="20"/>
          <w:szCs w:val="20"/>
        </w:rPr>
        <w:t xml:space="preserve">dangerouslySetInnerHTML</w:t>
      </w:r>
      <w:r>
        <w:t xml:space="preserve"> con datos de usuarios sin sanitizar.</w:t>
      </w:r>
    </w:p>
    <w:p>
      <w:pPr>
        <w:pStyle w:val="Heading2"/>
        <w:pBdr>
          <w:bottom w:val="single" w:color="DDDDDD" w:sz="4" w:space="4"/>
        </w:pBdr>
        <w:spacing w:after="120" w:before="280"/>
      </w:pPr>
      <w:r>
        <w:rPr>
          <w:rFonts w:ascii="Arial" w:cs="Arial" w:eastAsia="Arial" w:hAnsi="Arial"/>
          <w:b/>
          <w:bCs/>
          <w:sz w:val="26"/>
          <w:szCs w:val="26"/>
        </w:rPr>
        <w:t xml:space="preserve">5. Rate Limiting</w:t>
      </w:r>
      <w:r>
        <w:rPr>
          <w:b/>
          <w:bCs/>
          <w:color w:val="BF8F00"/>
          <w:sz w:val="20"/>
          <w:szCs w:val="20"/>
        </w:rPr>
        <w:t xml:space="preserve">  IMPORTANTE</w:t>
      </w:r>
    </w:p>
    <w:p>
      <w:pPr>
        <w:spacing w:after="120"/>
      </w:pPr>
      <w:r>
        <w:t xml:space="preserve">Ahora que hay backend, tenés dónde aplicarlo.</w:t>
      </w:r>
    </w:p>
    <w:p>
      <w:pPr>
        <w:pStyle w:val="ListParagraph"/>
        <w:numPr>
          <w:ilvl w:val="0"/>
          <w:numId w:val="2"/>
        </w:numPr>
        <w:spacing w:after="80"/>
      </w:pPr>
      <w:r>
        <w:t xml:space="preserve">Rate limit en el backend, sobre todo en endpoints de auth (login, reset de contraseña) y en los que escriben datos.</w:t>
      </w:r>
    </w:p>
    <w:p>
      <w:pPr>
        <w:pStyle w:val="ListParagraph"/>
        <w:numPr>
          <w:ilvl w:val="0"/>
          <w:numId w:val="2"/>
        </w:numPr>
        <w:spacing w:after="80"/>
      </w:pPr>
      <w:r>
        <w:t xml:space="preserve">En Express: </w:t>
      </w:r>
      <w:r>
        <w:rPr>
          <w:rFonts w:ascii="Consolas" w:cs="Consolas" w:eastAsia="Consolas" w:hAnsi="Consolas"/>
          <w:sz w:val="20"/>
          <w:szCs w:val="20"/>
        </w:rPr>
        <w:t xml:space="preserve">express-rate-limit</w:t>
      </w:r>
      <w:r>
        <w:t xml:space="preserve">. Limitar por IP + por usuario.</w:t>
      </w:r>
    </w:p>
    <w:p>
      <w:pPr>
        <w:pStyle w:val="ListParagraph"/>
        <w:numPr>
          <w:ilvl w:val="0"/>
          <w:numId w:val="2"/>
        </w:numPr>
        <w:spacing w:after="80"/>
      </w:pPr>
      <w:r>
        <w:t xml:space="preserve">Supabase ya aplica rate limiting propio a nivel de auth; no lo dupliques, enfocate en tu lógica de negocio.</w:t>
      </w:r>
    </w:p>
    <w:p>
      <w:pPr>
        <w:pStyle w:val="ListParagraph"/>
        <w:numPr>
          <w:ilvl w:val="0"/>
          <w:numId w:val="2"/>
        </w:numPr>
        <w:spacing w:after="80"/>
      </w:pPr>
      <w:r>
        <w:t xml:space="preserve">Para uso interno del equipo (no API pública), prioridad media: protege contra scripts accidentales y fuerza bruta más que contra DDoS masivo.</w:t>
      </w:r>
    </w:p>
    <w:p>
      <w:pPr>
        <w:pStyle w:val="Heading2"/>
        <w:pBdr>
          <w:bottom w:val="single" w:color="DDDDDD" w:sz="4" w:space="4"/>
        </w:pBdr>
        <w:spacing w:after="120" w:before="280"/>
      </w:pPr>
      <w:r>
        <w:rPr>
          <w:rFonts w:ascii="Arial" w:cs="Arial" w:eastAsia="Arial" w:hAnsi="Arial"/>
          <w:b/>
          <w:bCs/>
          <w:sz w:val="26"/>
          <w:szCs w:val="26"/>
        </w:rPr>
        <w:t xml:space="preserve">6. Frontend sin sourcemap</w:t>
      </w:r>
      <w:r>
        <w:rPr>
          <w:b/>
          <w:bCs/>
          <w:color w:val="548235"/>
          <w:sz w:val="20"/>
          <w:szCs w:val="20"/>
        </w:rPr>
        <w:t xml:space="preserve">  MEJORA</w:t>
      </w:r>
    </w:p>
    <w:p>
      <w:pPr>
        <w:spacing w:after="120"/>
      </w:pPr>
      <w:r>
        <w:t xml:space="preserve">Rápido, pero entendelo bien: es higiene, </w:t>
      </w:r>
      <w:r>
        <w:rPr>
          <w:b/>
          <w:bCs/>
        </w:rPr>
        <w:t xml:space="preserve">no</w:t>
      </w:r>
      <w:r>
        <w:t xml:space="preserve"> seguridad.</w:t>
      </w:r>
    </w:p>
    <w:p>
      <w:pPr>
        <w:pStyle w:val="ListParagraph"/>
        <w:numPr>
          <w:ilvl w:val="0"/>
          <w:numId w:val="2"/>
        </w:numPr>
        <w:spacing w:after="80"/>
      </w:pPr>
      <w:r>
        <w:t xml:space="preserve">En </w:t>
      </w:r>
      <w:r>
        <w:rPr>
          <w:rFonts w:ascii="Consolas" w:cs="Consolas" w:eastAsia="Consolas" w:hAnsi="Consolas"/>
          <w:sz w:val="20"/>
          <w:szCs w:val="20"/>
        </w:rPr>
        <w:t xml:space="preserve">vite.config.js</w:t>
      </w:r>
      <w:r>
        <w:t xml:space="preserve">: </w:t>
      </w:r>
      <w:r>
        <w:rPr>
          <w:rFonts w:ascii="Consolas" w:cs="Consolas" w:eastAsia="Consolas" w:hAnsi="Consolas"/>
          <w:sz w:val="20"/>
          <w:szCs w:val="20"/>
        </w:rPr>
        <w:t xml:space="preserve">build: { sourcemap: false }</w:t>
      </w:r>
      <w:r>
        <w:t xml:space="preserve"> (suele ser el default en prod, confirmalo).</w:t>
      </w:r>
    </w:p>
    <w:p>
      <w:pPr>
        <w:pStyle w:val="ListParagraph"/>
        <w:numPr>
          <w:ilvl w:val="0"/>
          <w:numId w:val="2"/>
        </w:numPr>
        <w:spacing w:after="80"/>
      </w:pPr>
      <w:r>
        <w:t xml:space="preserve">El bundle minificado igual es legible. Esto solo evita regalar el código original. No pongas nada sensible en el cliente confiando en esto.</w:t>
      </w:r>
    </w:p>
    <w:p>
      <w:pPr>
        <w:pStyle w:val="Heading2"/>
        <w:pBdr>
          <w:bottom w:val="single" w:color="DDDDDD" w:sz="4" w:space="4"/>
        </w:pBdr>
        <w:spacing w:after="120" w:before="280"/>
      </w:pPr>
      <w:r>
        <w:rPr>
          <w:rFonts w:ascii="Arial" w:cs="Arial" w:eastAsia="Arial" w:hAnsi="Arial"/>
          <w:b/>
          <w:bCs/>
          <w:sz w:val="26"/>
          <w:szCs w:val="26"/>
        </w:rPr>
        <w:t xml:space="preserve">7. Cache</w:t>
      </w:r>
      <w:r>
        <w:rPr>
          <w:b/>
          <w:bCs/>
          <w:color w:val="548235"/>
          <w:sz w:val="20"/>
          <w:szCs w:val="20"/>
        </w:rPr>
        <w:t xml:space="preserve">  MEJORA</w:t>
      </w:r>
    </w:p>
    <w:p>
      <w:pPr>
        <w:pStyle w:val="ListParagraph"/>
        <w:numPr>
          <w:ilvl w:val="0"/>
          <w:numId w:val="2"/>
        </w:numPr>
        <w:spacing w:after="80"/>
      </w:pPr>
      <w:r>
        <w:t xml:space="preserve">Cliente: TanStack Query (React Query) para cache, deduplicación y revalidación de las llamadas al backend.</w:t>
      </w:r>
    </w:p>
    <w:p>
      <w:pPr>
        <w:pStyle w:val="ListParagraph"/>
        <w:numPr>
          <w:ilvl w:val="0"/>
          <w:numId w:val="2"/>
        </w:numPr>
        <w:spacing w:after="80"/>
      </w:pPr>
      <w:r>
        <w:rPr>
          <w:b/>
          <w:bCs/>
        </w:rPr>
        <w:t xml:space="preserve">PHI: </w:t>
      </w:r>
      <w:r>
        <w:t xml:space="preserve">no persistir datos de paciente en </w:t>
      </w:r>
      <w:r>
        <w:rPr>
          <w:rFonts w:ascii="Consolas" w:cs="Consolas" w:eastAsia="Consolas" w:hAnsi="Consolas"/>
          <w:sz w:val="20"/>
          <w:szCs w:val="20"/>
        </w:rPr>
        <w:t xml:space="preserve">localStorage</w:t>
      </w:r>
      <w:r>
        <w:t xml:space="preserve"> ni en caches que sobrevivan la sesión. Cache en memoria OK; cache persistente de datos de salud, no.</w:t>
      </w:r>
    </w:p>
    <w:p>
      <w:pPr>
        <w:pStyle w:val="ListParagraph"/>
        <w:numPr>
          <w:ilvl w:val="0"/>
          <w:numId w:val="2"/>
        </w:numPr>
        <w:spacing w:after="80"/>
      </w:pPr>
      <w:r>
        <w:t xml:space="preserve">Si metés CDN/cache HTTP delante de respuestas con datos de paciente: marcarlas </w:t>
      </w:r>
      <w:r>
        <w:rPr>
          <w:rFonts w:ascii="Consolas" w:cs="Consolas" w:eastAsia="Consolas" w:hAnsi="Consolas"/>
          <w:sz w:val="20"/>
          <w:szCs w:val="20"/>
        </w:rPr>
        <w:t xml:space="preserve">Cache-Control: private, no-store</w:t>
      </w:r>
      <w:r>
        <w:t xml:space="preserve">.</w:t>
      </w:r>
    </w:p>
    <w:p>
      <w:pPr>
        <w:pStyle w:val="Heading2"/>
        <w:pBdr>
          <w:bottom w:val="single" w:color="DDDDDD" w:sz="4" w:space="4"/>
        </w:pBdr>
        <w:spacing w:after="120" w:before="280"/>
      </w:pPr>
      <w:r>
        <w:rPr>
          <w:rFonts w:ascii="Arial" w:cs="Arial" w:eastAsia="Arial" w:hAnsi="Arial"/>
          <w:b/>
          <w:bCs/>
          <w:sz w:val="26"/>
          <w:szCs w:val="26"/>
        </w:rPr>
        <w:t xml:space="preserve">Lo que tu lista no incluía y conviene tener en el radar</w:t>
      </w:r>
    </w:p>
    <w:p>
      <w:pPr>
        <w:pStyle w:val="ListParagraph"/>
        <w:numPr>
          <w:ilvl w:val="0"/>
          <w:numId w:val="2"/>
        </w:numPr>
        <w:spacing w:after="80"/>
      </w:pPr>
      <w:r>
        <w:rPr>
          <w:b/>
          <w:bCs/>
          <w:color w:val="C00000"/>
          <w:sz w:val="20"/>
          <w:szCs w:val="20"/>
        </w:rPr>
        <w:t xml:space="preserve">  CRÍTICO</w:t>
      </w:r>
      <w:r>
        <w:t xml:space="preserve">   HTTPS/TLS en todo el tráfico (front ↔ back ↔ Supabase). Sin esto, lo demás es decorativo.</w:t>
      </w:r>
    </w:p>
    <w:p>
      <w:pPr>
        <w:pStyle w:val="ListParagraph"/>
        <w:numPr>
          <w:ilvl w:val="0"/>
          <w:numId w:val="2"/>
        </w:numPr>
        <w:spacing w:after="80"/>
      </w:pPr>
      <w:r>
        <w:rPr>
          <w:b/>
          <w:bCs/>
          <w:color w:val="BF8F00"/>
          <w:sz w:val="20"/>
          <w:szCs w:val="20"/>
        </w:rPr>
        <w:t xml:space="preserve">  IMPORTANTE</w:t>
      </w:r>
      <w:r>
        <w:t xml:space="preserve">   CORS en el backend: permitir solo el origen de tu frontend, no “*”.</w:t>
      </w:r>
    </w:p>
    <w:p>
      <w:pPr>
        <w:pStyle w:val="ListParagraph"/>
        <w:numPr>
          <w:ilvl w:val="0"/>
          <w:numId w:val="2"/>
        </w:numPr>
        <w:spacing w:after="80"/>
      </w:pPr>
      <w:r>
        <w:rPr>
          <w:b/>
          <w:bCs/>
          <w:color w:val="BF8F00"/>
          <w:sz w:val="20"/>
          <w:szCs w:val="20"/>
        </w:rPr>
        <w:t xml:space="preserve">  IMPORTANTE</w:t>
      </w:r>
      <w:r>
        <w:t xml:space="preserve">   Logging y auditoría sin PHI: no loguear datos de paciente en consola, errores al cliente ni logs persistidos. Registrar trazabilidad (quién, qué, cuándo) sin volcar el dato sensible.</w:t>
      </w:r>
    </w:p>
    <w:p>
      <w:pPr>
        <w:pStyle w:val="ListParagraph"/>
        <w:numPr>
          <w:ilvl w:val="0"/>
          <w:numId w:val="2"/>
        </w:numPr>
        <w:spacing w:after="80"/>
      </w:pPr>
      <w:r>
        <w:rPr>
          <w:b/>
          <w:bCs/>
          <w:color w:val="548235"/>
          <w:sz w:val="20"/>
          <w:szCs w:val="20"/>
        </w:rPr>
        <w:t xml:space="preserve">  MEJORA</w:t>
      </w:r>
      <w:r>
        <w:t xml:space="preserve">   Security headers en el backend (CSP, X-Content-Type-Options, etc.). </w:t>
      </w:r>
      <w:r>
        <w:rPr>
          <w:rFonts w:ascii="Consolas" w:cs="Consolas" w:eastAsia="Consolas" w:hAnsi="Consolas"/>
          <w:sz w:val="20"/>
          <w:szCs w:val="20"/>
        </w:rPr>
        <w:t xml:space="preserve">helmet</w:t>
      </w:r>
      <w:r>
        <w:t xml:space="preserve"> en Express cubre la mayoría.</w:t>
      </w:r>
    </w:p>
    <w:p>
      <w:pPr>
        <w:pStyle w:val="ListParagraph"/>
        <w:numPr>
          <w:ilvl w:val="0"/>
          <w:numId w:val="2"/>
        </w:numPr>
        <w:spacing w:after="80"/>
      </w:pPr>
      <w:r>
        <w:rPr>
          <w:b/>
          <w:bCs/>
          <w:color w:val="BF8F00"/>
          <w:sz w:val="20"/>
          <w:szCs w:val="20"/>
        </w:rPr>
        <w:t xml:space="preserve">  IMPORTANTE</w:t>
      </w:r>
      <w:r>
        <w:t xml:space="preserve">   Supabase Storage: si guardás documentos de paciente (consentimientos, fuente), los buckets necesitan políticas de acceso. Un bucket público con documentos clínicos es crítico.</w:t>
      </w:r>
    </w:p>
    <w:p>
      <w:pPr>
        <w:pStyle w:val="Heading2"/>
        <w:pBdr>
          <w:bottom w:val="single" w:color="DDDDDD" w:sz="4" w:space="4"/>
        </w:pBdr>
        <w:spacing w:after="120" w:before="280"/>
      </w:pPr>
      <w:r>
        <w:rPr>
          <w:rFonts w:ascii="Arial" w:cs="Arial" w:eastAsia="Arial" w:hAnsi="Arial"/>
          <w:b/>
          <w:bCs/>
          <w:sz w:val="26"/>
          <w:szCs w:val="26"/>
        </w:rPr>
        <w:t xml:space="preserve">Orden sugerido de ataque</w:t>
      </w:r>
    </w:p>
    <w:p>
      <w:pPr>
        <w:pStyle w:val="ListParagraph"/>
        <w:numPr>
          <w:ilvl w:val="0"/>
          <w:numId w:val="3"/>
        </w:numPr>
        <w:spacing w:after="80"/>
      </w:pPr>
      <w:r>
        <w:t xml:space="preserve">RLS + test de RLS (punto 1).</w:t>
      </w:r>
    </w:p>
    <w:p>
      <w:pPr>
        <w:pStyle w:val="ListParagraph"/>
        <w:numPr>
          <w:ilvl w:val="0"/>
          <w:numId w:val="3"/>
        </w:numPr>
        <w:spacing w:after="80"/>
      </w:pPr>
      <w:r>
        <w:t xml:space="preserve">Auditar keys e historial de git (punto 2).</w:t>
      </w:r>
    </w:p>
    <w:p>
      <w:pPr>
        <w:pStyle w:val="ListParagraph"/>
        <w:numPr>
          <w:ilvl w:val="0"/>
          <w:numId w:val="3"/>
        </w:numPr>
        <w:spacing w:after="80"/>
      </w:pPr>
      <w:r>
        <w:t xml:space="preserve">Verificación de JWT en el backend (punto 3).</w:t>
      </w:r>
    </w:p>
    <w:p>
      <w:pPr>
        <w:pStyle w:val="ListParagraph"/>
        <w:numPr>
          <w:ilvl w:val="0"/>
          <w:numId w:val="3"/>
        </w:numPr>
        <w:spacing w:after="80"/>
      </w:pPr>
      <w:r>
        <w:t xml:space="preserve">HTTPS + CORS + logging sin PHI.</w:t>
      </w:r>
    </w:p>
    <w:p>
      <w:pPr>
        <w:pStyle w:val="ListParagraph"/>
        <w:numPr>
          <w:ilvl w:val="0"/>
          <w:numId w:val="3"/>
        </w:numPr>
        <w:spacing w:after="80"/>
      </w:pPr>
      <w:r>
        <w:t xml:space="preserve">El resto, por prioridad.</w:t>
      </w:r>
    </w:p>
    <w:p>
      <w:pPr>
        <w:spacing w:after="200" w:before="120"/>
      </w:pPr>
      <w:r>
        <w:rPr>
          <w:i/>
          <w:iCs/>
        </w:rPr>
        <w:t xml:space="preserve">Los puntos 1, 2 y 3 son el 80% de tu riesgo real. El resto suma, pero no antes de tener esos tres firmes.</w:t>
      </w:r>
    </w:p>
    <w:p>
      <w:pPr>
        <w:pBdr>
          <w:left w:val="single" w:color="BF8F00" w:sz="12" w:space="8"/>
        </w:pBdr>
        <w:shd w:fill="F2F2F2" w:val="clear"/>
        <w:spacing w:after="120" w:before="120" w:line="276"/>
      </w:pPr>
      <w:r>
        <w:rPr>
          <w:b/>
          <w:bCs/>
        </w:rPr>
        <w:t xml:space="preserve">Nota: </w:t>
      </w:r>
      <w:r>
        <w:t xml:space="preserve">este es un checklist de implementación técnica, no una validación de cumplimiento regulatorio. Al manejar datos de salud, la normativa argentina de protección de datos personales y los requisitos de los sponsors de los ensayos pueden imponer obligaciones formales (consentimiento, residencia de datos, auditoría) más allá de lo técnico. Confirmar con quien lleve la parte regulatoria de la fundación.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300"/>
      </w:pPr>
    </w:lvl>
    <w:lvl w:ilvl="1" w15:tentative="1">
      <w:start w:val="1"/>
      <w:numFmt w:val="bullet"/>
      <w:lvlText w:val="☐"/>
      <w:lvlJc w:val="left"/>
      <w:pPr>
        <w:ind w:left="920" w:hanging="30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2026-06-06T21:20:52.500Z</dcterms:created>
  <dcterms:modified xsi:type="dcterms:W3CDTF">2026-06-06T21:20:52.500Z</dcterms:modified>
</cp:coreProperties>
</file>

<file path=docProps/custom.xml><?xml version="1.0" encoding="utf-8"?>
<Properties xmlns="http://schemas.openxmlformats.org/officeDocument/2006/custom-properties" xmlns:vt="http://schemas.openxmlformats.org/officeDocument/2006/docPropsVTypes"/>
</file>