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44"/>
          <w:szCs w:val="44"/>
        </w:rPr>
        <w:t xml:space="preserve">FUNCTIONAL DOCUMENT</w:t>
      </w:r>
    </w:p>
    <w:p>
      <w:pPr>
        <w:spacing w:after="600" w:before="200"/>
        <w:jc w:val="center"/>
      </w:pPr>
      <w:r>
        <w:rPr>
          <w:color w:val="595959"/>
          <w:sz w:val="28"/>
          <w:szCs w:val="28"/>
        </w:rPr>
        <w:t xml:space="preserve">OmniBridge Retail Integration Platform</w:t>
      </w:r>
    </w:p>
    <w:p>
      <w:pPr>
        <w:spacing w:after="80"/>
        <w:jc w:val="center"/>
      </w:pPr>
      <w:r>
        <w:rPr>
          <w:color w:val="595959"/>
          <w:sz w:val="20"/>
          <w:szCs w:val="20"/>
        </w:rPr>
        <w:t xml:space="preserve">Client</w:t>
      </w:r>
    </w:p>
    <w:p>
      <w:pPr>
        <w:spacing w:after="320"/>
        <w:jc w:val="center"/>
      </w:pPr>
      <w:r>
        <w:rPr>
          <w:b/>
          <w:bCs/>
          <w:sz w:val="24"/>
          <w:szCs w:val="24"/>
        </w:rPr>
        <w:t xml:space="preserve">Meridian Retail Group</w:t>
      </w:r>
    </w:p>
    <w:p>
      <w:pPr>
        <w:spacing w:after="80"/>
        <w:jc w:val="center"/>
      </w:pPr>
      <w:r>
        <w:rPr>
          <w:color w:val="595959"/>
          <w:sz w:val="20"/>
          <w:szCs w:val="20"/>
        </w:rPr>
        <w:t xml:space="preserve">Prepared by</w:t>
      </w:r>
    </w:p>
    <w:p>
      <w:pPr>
        <w:spacing w:after="600"/>
        <w:jc w:val="center"/>
      </w:pPr>
      <w:r>
        <w:rPr>
          <w:b/>
          <w:bCs/>
          <w:sz w:val="24"/>
          <w:szCs w:val="24"/>
        </w:rPr>
        <w:t xml:space="preserve">IBM Consulting</w:t>
      </w:r>
    </w:p>
    <w:p>
      <w:pPr>
        <w:spacing w:after="40"/>
        <w:jc w:val="center"/>
      </w:pPr>
      <w:r>
        <w:rPr>
          <w:color w:val="595959"/>
          <w:sz w:val="18"/>
          <w:szCs w:val="18"/>
        </w:rPr>
        <w:t xml:space="preserve">Document Reference: FD-OMNIBRIDGE-2026-001</w:t>
      </w:r>
    </w:p>
    <w:p>
      <w:pPr>
        <w:spacing w:after="40"/>
        <w:jc w:val="center"/>
      </w:pPr>
      <w:r>
        <w:rPr>
          <w:color w:val="595959"/>
          <w:sz w:val="18"/>
          <w:szCs w:val="18"/>
        </w:rPr>
        <w:t xml:space="preserve">Version 1.0  |  Draft</w:t>
      </w:r>
    </w:p>
    <w:p>
      <w:pPr>
        <w:spacing w:after="1000"/>
        <w:jc w:val="center"/>
      </w:pPr>
      <w:r>
        <w:rPr>
          <w:color w:val="595959"/>
          <w:sz w:val="18"/>
          <w:szCs w:val="18"/>
        </w:rPr>
        <w:t xml:space="preserve">July 10, 2026</w:t>
      </w:r>
    </w:p>
    <w:p>
      <w:pPr>
        <w:jc w:val="center"/>
      </w:pPr>
      <w:r>
        <w:rPr>
          <w:i/>
          <w:iCs/>
          <w:color w:val="B00020"/>
          <w:sz w:val="16"/>
          <w:szCs w:val="16"/>
        </w:rPr>
        <w:t xml:space="preserve">SAMPLE / ILLUSTRATIVE DOCUMENT — FICTIONAL PROJECT FOR DEMONSTRATION PURPOSES ONLY</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rPr>
          <w:b/>
          <w:bCs/>
          <w:color w:val="1F3864"/>
          <w:sz w:val="26"/>
          <w:szCs w:val="26"/>
        </w:rPr>
        <w:t xml:space="preserve">1. Introduction</w:t>
      </w:r>
    </w:p>
    <w:p>
      <w:pPr>
        <w:pStyle w:val="Heading2"/>
        <w:spacing w:after="120" w:before="240"/>
      </w:pPr>
      <w:r>
        <w:rPr>
          <w:b/>
          <w:bCs/>
          <w:color w:val="1F3864"/>
          <w:sz w:val="22"/>
          <w:szCs w:val="22"/>
        </w:rPr>
        <w:t xml:space="preserve">1.1 Purpose</w:t>
      </w:r>
    </w:p>
    <w:p>
      <w:pPr>
        <w:spacing w:after="160"/>
      </w:pPr>
      <w:r>
        <w:rPr>
          <w:sz w:val="21"/>
          <w:szCs w:val="21"/>
        </w:rPr>
        <w:t xml:space="preserve">This Functional Document (FD) describes the business functionality of OmniBridge, the integration platform connecting Meridian Retail Group's customer-facing channels to Oracle Middleware and the Enterprise MDM Hub. It is intended for business analysts, QA, and delivery teams, and is provided as reference context for AI-assisted delivery tooling (IBM Bob) on this engagement.</w:t>
      </w:r>
    </w:p>
    <w:p>
      <w:pPr>
        <w:pStyle w:val="Heading2"/>
        <w:spacing w:after="120" w:before="240"/>
      </w:pPr>
      <w:r>
        <w:rPr>
          <w:b/>
          <w:bCs/>
          <w:color w:val="1F3864"/>
          <w:sz w:val="22"/>
          <w:szCs w:val="22"/>
        </w:rPr>
        <w:t xml:space="preserve">1.2 Scope</w:t>
      </w:r>
    </w:p>
    <w:p>
      <w:pPr>
        <w:spacing w:after="160"/>
      </w:pPr>
      <w:r>
        <w:rPr>
          <w:sz w:val="21"/>
          <w:szCs w:val="21"/>
        </w:rPr>
        <w:t xml:space="preserve">OmniBridge is a Node.js-based backend service that receives order and customer-interaction requests from client channels, persists transactional data in MongoDB, orchestrates fulfillment through Oracle Middleware, and keeps product/customer/store reference data synchronized with the Enterprise MDM Hub.</w:t>
      </w:r>
    </w:p>
    <w:p>
      <w:pPr>
        <w:pStyle w:val="Heading2"/>
        <w:spacing w:after="120" w:before="240"/>
      </w:pPr>
      <w:r>
        <w:rPr>
          <w:b/>
          <w:bCs/>
          <w:color w:val="1F3864"/>
          <w:sz w:val="22"/>
          <w:szCs w:val="22"/>
        </w:rPr>
        <w:t xml:space="preserve">1.3 Definitions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val="clear"/>
            <w:tcMar>
              <w:top w:type="dxa" w:w="100"/>
              <w:left w:type="dxa" w:w="120"/>
              <w:bottom w:type="dxa" w:w="100"/>
              <w:right w:type="dxa" w:w="120"/>
            </w:tcMar>
          </w:tcPr>
          <w:p>
            <w:r>
              <w:rPr>
                <w:b/>
                <w:bCs/>
                <w:color w:val="FFFFFF"/>
                <w:sz w:val="18"/>
                <w:szCs w:val="18"/>
              </w:rPr>
              <w:t xml:space="preserve">Term</w:t>
            </w:r>
          </w:p>
        </w:tc>
        <w:tc>
          <w:tcPr>
            <w:tcW w:type="dxa" w:w="7160"/>
            <w:shd w:fill="1F3864" w:val="clear"/>
            <w:tcMar>
              <w:top w:type="dxa" w:w="100"/>
              <w:left w:type="dxa" w:w="120"/>
              <w:bottom w:type="dxa" w:w="100"/>
              <w:right w:type="dxa" w:w="120"/>
            </w:tcMar>
          </w:tcPr>
          <w:p>
            <w:r>
              <w:rPr>
                <w:b/>
                <w:bCs/>
                <w:color w:val="FFFFFF"/>
                <w:sz w:val="18"/>
                <w:szCs w:val="18"/>
              </w:rPr>
              <w:t xml:space="preserve">Definition</w:t>
            </w:r>
          </w:p>
        </w:tc>
      </w:tr>
      <w:tr>
        <w:tc>
          <w:tcPr>
            <w:tcW w:type="dxa" w:w="2200"/>
            <w:tcMar>
              <w:top w:type="dxa" w:w="100"/>
              <w:left w:type="dxa" w:w="120"/>
              <w:bottom w:type="dxa" w:w="100"/>
              <w:right w:type="dxa" w:w="120"/>
            </w:tcMar>
          </w:tcPr>
          <w:p>
            <w:r>
              <w:rPr>
                <w:b w:val="false"/>
                <w:bCs w:val="false"/>
                <w:sz w:val="18"/>
                <w:szCs w:val="18"/>
              </w:rPr>
              <w:t xml:space="preserve">OmniBridge</w:t>
            </w:r>
          </w:p>
        </w:tc>
        <w:tc>
          <w:tcPr>
            <w:tcW w:type="dxa" w:w="7160"/>
            <w:tcMar>
              <w:top w:type="dxa" w:w="100"/>
              <w:left w:type="dxa" w:w="120"/>
              <w:bottom w:type="dxa" w:w="100"/>
              <w:right w:type="dxa" w:w="120"/>
            </w:tcMar>
          </w:tcPr>
          <w:p>
            <w:r>
              <w:rPr>
                <w:b w:val="false"/>
                <w:bCs w:val="false"/>
                <w:sz w:val="18"/>
                <w:szCs w:val="18"/>
              </w:rPr>
              <w:t xml:space="preserve">The Node.js integration platform that is the subject of this document.</w:t>
            </w:r>
          </w:p>
        </w:tc>
      </w:tr>
      <w:tr>
        <w:tc>
          <w:tcPr>
            <w:tcW w:type="dxa" w:w="2200"/>
            <w:shd w:fill="DCE6F1" w:val="clear"/>
            <w:tcMar>
              <w:top w:type="dxa" w:w="100"/>
              <w:left w:type="dxa" w:w="120"/>
              <w:bottom w:type="dxa" w:w="100"/>
              <w:right w:type="dxa" w:w="120"/>
            </w:tcMar>
          </w:tcPr>
          <w:p>
            <w:r>
              <w:rPr>
                <w:b w:val="false"/>
                <w:bCs w:val="false"/>
                <w:sz w:val="18"/>
                <w:szCs w:val="18"/>
              </w:rPr>
              <w:t xml:space="preserve">MDM</w:t>
            </w:r>
          </w:p>
        </w:tc>
        <w:tc>
          <w:tcPr>
            <w:tcW w:type="dxa" w:w="7160"/>
            <w:shd w:fill="DCE6F1" w:val="clear"/>
            <w:tcMar>
              <w:top w:type="dxa" w:w="100"/>
              <w:left w:type="dxa" w:w="120"/>
              <w:bottom w:type="dxa" w:w="100"/>
              <w:right w:type="dxa" w:w="120"/>
            </w:tcMar>
          </w:tcPr>
          <w:p>
            <w:r>
              <w:rPr>
                <w:b w:val="false"/>
                <w:bCs w:val="false"/>
                <w:sz w:val="18"/>
                <w:szCs w:val="18"/>
              </w:rPr>
              <w:t xml:space="preserve">Master Data Management — the system of record for Customer, Product, and Store reference data.</w:t>
            </w:r>
          </w:p>
        </w:tc>
      </w:tr>
      <w:tr>
        <w:tc>
          <w:tcPr>
            <w:tcW w:type="dxa" w:w="2200"/>
            <w:tcMar>
              <w:top w:type="dxa" w:w="100"/>
              <w:left w:type="dxa" w:w="120"/>
              <w:bottom w:type="dxa" w:w="100"/>
              <w:right w:type="dxa" w:w="120"/>
            </w:tcMar>
          </w:tcPr>
          <w:p>
            <w:r>
              <w:rPr>
                <w:b w:val="false"/>
                <w:bCs w:val="false"/>
                <w:sz w:val="18"/>
                <w:szCs w:val="18"/>
              </w:rPr>
              <w:t xml:space="preserve">Golden Record</w:t>
            </w:r>
          </w:p>
        </w:tc>
        <w:tc>
          <w:tcPr>
            <w:tcW w:type="dxa" w:w="7160"/>
            <w:tcMar>
              <w:top w:type="dxa" w:w="100"/>
              <w:left w:type="dxa" w:w="120"/>
              <w:bottom w:type="dxa" w:w="100"/>
              <w:right w:type="dxa" w:w="120"/>
            </w:tcMar>
          </w:tcPr>
          <w:p>
            <w:r>
              <w:rPr>
                <w:b w:val="false"/>
                <w:bCs w:val="false"/>
                <w:sz w:val="18"/>
                <w:szCs w:val="18"/>
              </w:rPr>
              <w:t xml:space="preserve">The authoritative, deduplicated version of a master data entity published by the MDM Hub.</w:t>
            </w:r>
          </w:p>
        </w:tc>
      </w:tr>
      <w:tr>
        <w:tc>
          <w:tcPr>
            <w:tcW w:type="dxa" w:w="2200"/>
            <w:shd w:fill="DCE6F1" w:val="clear"/>
            <w:tcMar>
              <w:top w:type="dxa" w:w="100"/>
              <w:left w:type="dxa" w:w="120"/>
              <w:bottom w:type="dxa" w:w="100"/>
              <w:right w:type="dxa" w:w="120"/>
            </w:tcMar>
          </w:tcPr>
          <w:p>
            <w:r>
              <w:rPr>
                <w:b w:val="false"/>
                <w:bCs w:val="false"/>
                <w:sz w:val="18"/>
                <w:szCs w:val="18"/>
              </w:rPr>
              <w:t xml:space="preserve">OIC</w:t>
            </w:r>
          </w:p>
        </w:tc>
        <w:tc>
          <w:tcPr>
            <w:tcW w:type="dxa" w:w="7160"/>
            <w:shd w:fill="DCE6F1" w:val="clear"/>
            <w:tcMar>
              <w:top w:type="dxa" w:w="100"/>
              <w:left w:type="dxa" w:w="120"/>
              <w:bottom w:type="dxa" w:w="100"/>
              <w:right w:type="dxa" w:w="120"/>
            </w:tcMar>
          </w:tcPr>
          <w:p>
            <w:r>
              <w:rPr>
                <w:b w:val="false"/>
                <w:bCs w:val="false"/>
                <w:sz w:val="18"/>
                <w:szCs w:val="18"/>
              </w:rPr>
              <w:t xml:space="preserve">Oracle Integration Cloud — the Oracle Middleware layer used for ERP orchestration.</w:t>
            </w:r>
          </w:p>
        </w:tc>
      </w:tr>
      <w:tr>
        <w:tc>
          <w:tcPr>
            <w:tcW w:type="dxa" w:w="2200"/>
            <w:tcMar>
              <w:top w:type="dxa" w:w="100"/>
              <w:left w:type="dxa" w:w="120"/>
              <w:bottom w:type="dxa" w:w="100"/>
              <w:right w:type="dxa" w:w="120"/>
            </w:tcMar>
          </w:tcPr>
          <w:p>
            <w:r>
              <w:rPr>
                <w:b w:val="false"/>
                <w:bCs w:val="false"/>
                <w:sz w:val="18"/>
                <w:szCs w:val="18"/>
              </w:rPr>
              <w:t xml:space="preserve">CDC</w:t>
            </w:r>
          </w:p>
        </w:tc>
        <w:tc>
          <w:tcPr>
            <w:tcW w:type="dxa" w:w="7160"/>
            <w:tcMar>
              <w:top w:type="dxa" w:w="100"/>
              <w:left w:type="dxa" w:w="120"/>
              <w:bottom w:type="dxa" w:w="100"/>
              <w:right w:type="dxa" w:w="120"/>
            </w:tcMar>
          </w:tcPr>
          <w:p>
            <w:r>
              <w:rPr>
                <w:b w:val="false"/>
                <w:bCs w:val="false"/>
                <w:sz w:val="18"/>
                <w:szCs w:val="18"/>
              </w:rPr>
              <w:t xml:space="preserve">Change Data Capture — event stream of changes published by the MDM Hub.</w:t>
            </w:r>
          </w:p>
        </w:tc>
      </w:tr>
      <w:tr>
        <w:tc>
          <w:tcPr>
            <w:tcW w:type="dxa" w:w="2200"/>
            <w:shd w:fill="DCE6F1" w:val="clear"/>
            <w:tcMar>
              <w:top w:type="dxa" w:w="100"/>
              <w:left w:type="dxa" w:w="120"/>
              <w:bottom w:type="dxa" w:w="100"/>
              <w:right w:type="dxa" w:w="120"/>
            </w:tcMar>
          </w:tcPr>
          <w:p>
            <w:r>
              <w:rPr>
                <w:b w:val="false"/>
                <w:bCs w:val="false"/>
                <w:sz w:val="18"/>
                <w:szCs w:val="18"/>
              </w:rPr>
              <w:t xml:space="preserve">SKU</w:t>
            </w:r>
          </w:p>
        </w:tc>
        <w:tc>
          <w:tcPr>
            <w:tcW w:type="dxa" w:w="7160"/>
            <w:shd w:fill="DCE6F1" w:val="clear"/>
            <w:tcMar>
              <w:top w:type="dxa" w:w="100"/>
              <w:left w:type="dxa" w:w="120"/>
              <w:bottom w:type="dxa" w:w="100"/>
              <w:right w:type="dxa" w:w="120"/>
            </w:tcMar>
          </w:tcPr>
          <w:p>
            <w:r>
              <w:rPr>
                <w:b w:val="false"/>
                <w:bCs w:val="false"/>
                <w:sz w:val="18"/>
                <w:szCs w:val="18"/>
              </w:rPr>
              <w:t xml:space="preserve">Stock Keeping Unit — unique product identifier.</w:t>
            </w:r>
          </w:p>
        </w:tc>
      </w:tr>
    </w:tbl>
    <w:p>
      <w:pPr>
        <w:pStyle w:val="Heading1"/>
        <w:spacing w:after="160" w:before="360"/>
      </w:pPr>
      <w:r>
        <w:rPr>
          <w:b/>
          <w:bCs/>
          <w:color w:val="1F3864"/>
          <w:sz w:val="26"/>
          <w:szCs w:val="26"/>
        </w:rPr>
        <w:t xml:space="preserve">2. Business Context</w:t>
      </w:r>
    </w:p>
    <w:p>
      <w:pPr>
        <w:spacing w:after="160"/>
      </w:pPr>
      <w:r>
        <w:rPr>
          <w:sz w:val="21"/>
          <w:szCs w:val="21"/>
        </w:rPr>
        <w:t xml:space="preserve">Meridian Retail Group operates 214 stores and an e-commerce storefront. Order and customer data currently live in disconnected systems, causing delays in order fulfillment status, inconsistent product data across channels, and manual customer data reconciliation. OmniBridge is being introduced as the integration layer that unifies these flows going forward.</w:t>
      </w:r>
    </w:p>
    <w:p>
      <w:pPr>
        <w:pStyle w:val="Heading1"/>
        <w:spacing w:after="160" w:before="360"/>
      </w:pPr>
      <w:r>
        <w:rPr>
          <w:b/>
          <w:bCs/>
          <w:color w:val="1F3864"/>
          <w:sz w:val="26"/>
          <w:szCs w:val="26"/>
        </w:rPr>
        <w:t xml:space="preserve">3.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100"/>
              <w:left w:type="dxa" w:w="120"/>
              <w:bottom w:type="dxa" w:w="100"/>
              <w:right w:type="dxa" w:w="120"/>
            </w:tcMar>
          </w:tcPr>
          <w:p>
            <w:r>
              <w:rPr>
                <w:b/>
                <w:bCs/>
                <w:color w:val="FFFFFF"/>
                <w:sz w:val="18"/>
                <w:szCs w:val="18"/>
              </w:rPr>
              <w:t xml:space="preserve">Actor</w:t>
            </w:r>
          </w:p>
        </w:tc>
        <w:tc>
          <w:tcPr>
            <w:tcW w:type="dxa" w:w="6760"/>
            <w:shd w:fill="1F3864" w:val="clear"/>
            <w:tcMar>
              <w:top w:type="dxa" w:w="100"/>
              <w:left w:type="dxa" w:w="120"/>
              <w:bottom w:type="dxa" w:w="100"/>
              <w:right w:type="dxa" w:w="120"/>
            </w:tcMar>
          </w:tcPr>
          <w:p>
            <w:r>
              <w:rPr>
                <w:b/>
                <w:bCs/>
                <w:color w:val="FFFFFF"/>
                <w:sz w:val="18"/>
                <w:szCs w:val="18"/>
              </w:rPr>
              <w:t xml:space="preserve">Description</w:t>
            </w:r>
          </w:p>
        </w:tc>
      </w:tr>
      <w:tr>
        <w:tc>
          <w:tcPr>
            <w:tcW w:type="dxa" w:w="2600"/>
            <w:tcMar>
              <w:top w:type="dxa" w:w="100"/>
              <w:left w:type="dxa" w:w="120"/>
              <w:bottom w:type="dxa" w:w="100"/>
              <w:right w:type="dxa" w:w="120"/>
            </w:tcMar>
          </w:tcPr>
          <w:p>
            <w:r>
              <w:rPr>
                <w:b w:val="false"/>
                <w:bCs w:val="false"/>
                <w:sz w:val="18"/>
                <w:szCs w:val="18"/>
              </w:rPr>
              <w:t xml:space="preserve">Shopper</w:t>
            </w:r>
          </w:p>
        </w:tc>
        <w:tc>
          <w:tcPr>
            <w:tcW w:type="dxa" w:w="6760"/>
            <w:tcMar>
              <w:top w:type="dxa" w:w="100"/>
              <w:left w:type="dxa" w:w="120"/>
              <w:bottom w:type="dxa" w:w="100"/>
              <w:right w:type="dxa" w:w="120"/>
            </w:tcMar>
          </w:tcPr>
          <w:p>
            <w:r>
              <w:rPr>
                <w:b w:val="false"/>
                <w:bCs w:val="false"/>
                <w:sz w:val="18"/>
                <w:szCs w:val="18"/>
              </w:rPr>
              <w:t xml:space="preserve">End customer browsing and placing orders via web or mobile storefront.</w:t>
            </w:r>
          </w:p>
        </w:tc>
      </w:tr>
      <w:tr>
        <w:tc>
          <w:tcPr>
            <w:tcW w:type="dxa" w:w="2600"/>
            <w:shd w:fill="DCE6F1" w:val="clear"/>
            <w:tcMar>
              <w:top w:type="dxa" w:w="100"/>
              <w:left w:type="dxa" w:w="120"/>
              <w:bottom w:type="dxa" w:w="100"/>
              <w:right w:type="dxa" w:w="120"/>
            </w:tcMar>
          </w:tcPr>
          <w:p>
            <w:r>
              <w:rPr>
                <w:b w:val="false"/>
                <w:bCs w:val="false"/>
                <w:sz w:val="18"/>
                <w:szCs w:val="18"/>
              </w:rPr>
              <w:t xml:space="preserve">Store Associate</w:t>
            </w:r>
          </w:p>
        </w:tc>
        <w:tc>
          <w:tcPr>
            <w:tcW w:type="dxa" w:w="6760"/>
            <w:shd w:fill="DCE6F1" w:val="clear"/>
            <w:tcMar>
              <w:top w:type="dxa" w:w="100"/>
              <w:left w:type="dxa" w:w="120"/>
              <w:bottom w:type="dxa" w:w="100"/>
              <w:right w:type="dxa" w:w="120"/>
            </w:tcMar>
          </w:tcPr>
          <w:p>
            <w:r>
              <w:rPr>
                <w:b w:val="false"/>
                <w:bCs w:val="false"/>
                <w:sz w:val="18"/>
                <w:szCs w:val="18"/>
              </w:rPr>
              <w:t xml:space="preserve">Store employee using POS or store app functionality routed through OmniBridge.</w:t>
            </w:r>
          </w:p>
        </w:tc>
      </w:tr>
      <w:tr>
        <w:tc>
          <w:tcPr>
            <w:tcW w:type="dxa" w:w="2600"/>
            <w:tcMar>
              <w:top w:type="dxa" w:w="100"/>
              <w:left w:type="dxa" w:w="120"/>
              <w:bottom w:type="dxa" w:w="100"/>
              <w:right w:type="dxa" w:w="120"/>
            </w:tcMar>
          </w:tcPr>
          <w:p>
            <w:r>
              <w:rPr>
                <w:b w:val="false"/>
                <w:bCs w:val="false"/>
                <w:sz w:val="18"/>
                <w:szCs w:val="18"/>
              </w:rPr>
              <w:t xml:space="preserve">Customer Service Agent</w:t>
            </w:r>
          </w:p>
        </w:tc>
        <w:tc>
          <w:tcPr>
            <w:tcW w:type="dxa" w:w="6760"/>
            <w:tcMar>
              <w:top w:type="dxa" w:w="100"/>
              <w:left w:type="dxa" w:w="120"/>
              <w:bottom w:type="dxa" w:w="100"/>
              <w:right w:type="dxa" w:w="120"/>
            </w:tcMar>
          </w:tcPr>
          <w:p>
            <w:r>
              <w:rPr>
                <w:b w:val="false"/>
                <w:bCs w:val="false"/>
                <w:sz w:val="18"/>
                <w:szCs w:val="18"/>
              </w:rPr>
              <w:t xml:space="preserve">Internal Meridian agent handling order/customer queries.</w:t>
            </w:r>
          </w:p>
        </w:tc>
      </w:tr>
      <w:tr>
        <w:tc>
          <w:tcPr>
            <w:tcW w:type="dxa" w:w="2600"/>
            <w:shd w:fill="DCE6F1" w:val="clear"/>
            <w:tcMar>
              <w:top w:type="dxa" w:w="100"/>
              <w:left w:type="dxa" w:w="120"/>
              <w:bottom w:type="dxa" w:w="100"/>
              <w:right w:type="dxa" w:w="120"/>
            </w:tcMar>
          </w:tcPr>
          <w:p>
            <w:r>
              <w:rPr>
                <w:b w:val="false"/>
                <w:bCs w:val="false"/>
                <w:sz w:val="18"/>
                <w:szCs w:val="18"/>
              </w:rPr>
              <w:t xml:space="preserve">Oracle Middleware (OIC)</w:t>
            </w:r>
          </w:p>
        </w:tc>
        <w:tc>
          <w:tcPr>
            <w:tcW w:type="dxa" w:w="6760"/>
            <w:shd w:fill="DCE6F1" w:val="clear"/>
            <w:tcMar>
              <w:top w:type="dxa" w:w="100"/>
              <w:left w:type="dxa" w:w="120"/>
              <w:bottom w:type="dxa" w:w="100"/>
              <w:right w:type="dxa" w:w="120"/>
            </w:tcMar>
          </w:tcPr>
          <w:p>
            <w:r>
              <w:rPr>
                <w:b w:val="false"/>
                <w:bCs w:val="false"/>
                <w:sz w:val="18"/>
                <w:szCs w:val="18"/>
              </w:rPr>
              <w:t xml:space="preserve">System actor — receives order orchestration requests, returns fulfillment/ERP status.</w:t>
            </w:r>
          </w:p>
        </w:tc>
      </w:tr>
      <w:tr>
        <w:tc>
          <w:tcPr>
            <w:tcW w:type="dxa" w:w="2600"/>
            <w:tcMar>
              <w:top w:type="dxa" w:w="100"/>
              <w:left w:type="dxa" w:w="120"/>
              <w:bottom w:type="dxa" w:w="100"/>
              <w:right w:type="dxa" w:w="120"/>
            </w:tcMar>
          </w:tcPr>
          <w:p>
            <w:r>
              <w:rPr>
                <w:b w:val="false"/>
                <w:bCs w:val="false"/>
                <w:sz w:val="18"/>
                <w:szCs w:val="18"/>
              </w:rPr>
              <w:t xml:space="preserve">MDM Hub</w:t>
            </w:r>
          </w:p>
        </w:tc>
        <w:tc>
          <w:tcPr>
            <w:tcW w:type="dxa" w:w="6760"/>
            <w:tcMar>
              <w:top w:type="dxa" w:w="100"/>
              <w:left w:type="dxa" w:w="120"/>
              <w:bottom w:type="dxa" w:w="100"/>
              <w:right w:type="dxa" w:w="120"/>
            </w:tcMar>
          </w:tcPr>
          <w:p>
            <w:r>
              <w:rPr>
                <w:b w:val="false"/>
                <w:bCs w:val="false"/>
                <w:sz w:val="18"/>
                <w:szCs w:val="18"/>
              </w:rPr>
              <w:t xml:space="preserve">System actor — publishes golden records for Customer, Product, and Store entities.</w:t>
            </w:r>
          </w:p>
        </w:tc>
      </w:tr>
      <w:tr>
        <w:tc>
          <w:tcPr>
            <w:tcW w:type="dxa" w:w="2600"/>
            <w:shd w:fill="DCE6F1" w:val="clear"/>
            <w:tcMar>
              <w:top w:type="dxa" w:w="100"/>
              <w:left w:type="dxa" w:w="120"/>
              <w:bottom w:type="dxa" w:w="100"/>
              <w:right w:type="dxa" w:w="120"/>
            </w:tcMar>
          </w:tcPr>
          <w:p>
            <w:r>
              <w:rPr>
                <w:b w:val="false"/>
                <w:bCs w:val="false"/>
                <w:sz w:val="18"/>
                <w:szCs w:val="18"/>
              </w:rPr>
              <w:t xml:space="preserve">System Administrator</w:t>
            </w:r>
          </w:p>
        </w:tc>
        <w:tc>
          <w:tcPr>
            <w:tcW w:type="dxa" w:w="6760"/>
            <w:shd w:fill="DCE6F1" w:val="clear"/>
            <w:tcMar>
              <w:top w:type="dxa" w:w="100"/>
              <w:left w:type="dxa" w:w="120"/>
              <w:bottom w:type="dxa" w:w="100"/>
              <w:right w:type="dxa" w:w="120"/>
            </w:tcMar>
          </w:tcPr>
          <w:p>
            <w:r>
              <w:rPr>
                <w:b w:val="false"/>
                <w:bCs w:val="false"/>
                <w:sz w:val="18"/>
                <w:szCs w:val="18"/>
              </w:rPr>
              <w:t xml:space="preserve">Manages configuration, integration credentials, and monitoring for OmniBridge.</w:t>
            </w:r>
          </w:p>
        </w:tc>
      </w:tr>
    </w:tbl>
    <w:p>
      <w:pPr>
        <w:pStyle w:val="Heading1"/>
        <w:spacing w:after="160" w:before="360"/>
      </w:pPr>
      <w:r>
        <w:rPr>
          <w:b/>
          <w:bCs/>
          <w:color w:val="1F3864"/>
          <w:sz w:val="26"/>
          <w:szCs w:val="26"/>
        </w:rPr>
        <w:t xml:space="preserve">4. Functional Requirements</w:t>
      </w:r>
    </w:p>
    <w:p>
      <w:pPr>
        <w:pStyle w:val="Heading2"/>
        <w:spacing w:after="120" w:before="240"/>
      </w:pPr>
      <w:r>
        <w:rPr>
          <w:b/>
          <w:bCs/>
          <w:color w:val="1F3864"/>
          <w:sz w:val="22"/>
          <w:szCs w:val="22"/>
        </w:rPr>
        <w:t xml:space="preserve">4.1 Order Management</w:t>
      </w:r>
    </w:p>
    <w:p>
      <w:pPr>
        <w:pStyle w:val="ListParagraph"/>
        <w:numPr>
          <w:ilvl w:val="0"/>
          <w:numId w:val="2"/>
        </w:numPr>
        <w:spacing w:after="80"/>
      </w:pPr>
      <w:r>
        <w:rPr>
          <w:sz w:val="21"/>
          <w:szCs w:val="21"/>
        </w:rPr>
        <w:t xml:space="preserve">FR-01: The system shall allow a Shopper to submit an order containing one or more line items, shipping details, and a selected payment method.</w:t>
      </w:r>
    </w:p>
    <w:p>
      <w:pPr>
        <w:pStyle w:val="ListParagraph"/>
        <w:numPr>
          <w:ilvl w:val="0"/>
          <w:numId w:val="2"/>
        </w:numPr>
        <w:spacing w:after="80"/>
      </w:pPr>
      <w:r>
        <w:rPr>
          <w:sz w:val="21"/>
          <w:szCs w:val="21"/>
        </w:rPr>
        <w:t xml:space="preserve">FR-02: The system shall persist order data in MongoDB immediately upon submission, prior to downstream orchestration, to guarantee no order is lost if a downstream system is unavailable.</w:t>
      </w:r>
    </w:p>
    <w:p>
      <w:pPr>
        <w:pStyle w:val="ListParagraph"/>
        <w:numPr>
          <w:ilvl w:val="0"/>
          <w:numId w:val="2"/>
        </w:numPr>
        <w:spacing w:after="80"/>
      </w:pPr>
      <w:r>
        <w:rPr>
          <w:sz w:val="21"/>
          <w:szCs w:val="21"/>
        </w:rPr>
        <w:t xml:space="preserve">FR-03: The system shall forward each accepted order to Oracle Middleware for ERP-side order orchestration (inventory allocation, payment capture, fulfillment routing).</w:t>
      </w:r>
    </w:p>
    <w:p>
      <w:pPr>
        <w:pStyle w:val="ListParagraph"/>
        <w:numPr>
          <w:ilvl w:val="0"/>
          <w:numId w:val="2"/>
        </w:numPr>
        <w:spacing w:after="80"/>
      </w:pPr>
      <w:r>
        <w:rPr>
          <w:sz w:val="21"/>
          <w:szCs w:val="21"/>
        </w:rPr>
        <w:t xml:space="preserve">FR-04: The system shall update the order's status in MongoDB based on asynchronous status callbacks received from Oracle Middleware (e.g., Allocated, Shipped, Delivered, Cancelled).</w:t>
      </w:r>
    </w:p>
    <w:p>
      <w:pPr>
        <w:pStyle w:val="ListParagraph"/>
        <w:numPr>
          <w:ilvl w:val="0"/>
          <w:numId w:val="2"/>
        </w:numPr>
        <w:spacing w:after="80"/>
      </w:pPr>
      <w:r>
        <w:rPr>
          <w:sz w:val="21"/>
          <w:szCs w:val="21"/>
        </w:rPr>
        <w:t xml:space="preserve">FR-05: The system shall allow a Shopper or Customer Service Agent to query the current status of an order by order ID.</w:t>
      </w:r>
    </w:p>
    <w:p>
      <w:pPr>
        <w:pStyle w:val="ListParagraph"/>
        <w:numPr>
          <w:ilvl w:val="0"/>
          <w:numId w:val="2"/>
        </w:numPr>
        <w:spacing w:after="80"/>
      </w:pPr>
      <w:r>
        <w:rPr>
          <w:sz w:val="21"/>
          <w:szCs w:val="21"/>
        </w:rPr>
        <w:t xml:space="preserve">FR-06: The system shall support order cancellation requests prior to the 'Shipped' status, forwarding the cancellation to Oracle Middleware.</w:t>
      </w:r>
    </w:p>
    <w:p>
      <w:pPr>
        <w:pStyle w:val="Heading2"/>
        <w:spacing w:after="120" w:before="240"/>
      </w:pPr>
      <w:r>
        <w:rPr>
          <w:b/>
          <w:bCs/>
          <w:color w:val="1F3864"/>
          <w:sz w:val="22"/>
          <w:szCs w:val="22"/>
        </w:rPr>
        <w:t xml:space="preserve">4.2 Product &amp; Customer Data</w:t>
      </w:r>
    </w:p>
    <w:p>
      <w:pPr>
        <w:pStyle w:val="ListParagraph"/>
        <w:numPr>
          <w:ilvl w:val="0"/>
          <w:numId w:val="2"/>
        </w:numPr>
        <w:spacing w:after="80"/>
      </w:pPr>
      <w:r>
        <w:rPr>
          <w:sz w:val="21"/>
          <w:szCs w:val="21"/>
        </w:rPr>
        <w:t xml:space="preserve">FR-07: The system shall maintain a local read-optimized cache of Product data (name, price, SKU, availability) in MongoDB, sourced from the MDM Hub.</w:t>
      </w:r>
    </w:p>
    <w:p>
      <w:pPr>
        <w:pStyle w:val="ListParagraph"/>
        <w:numPr>
          <w:ilvl w:val="0"/>
          <w:numId w:val="2"/>
        </w:numPr>
        <w:spacing w:after="80"/>
      </w:pPr>
      <w:r>
        <w:rPr>
          <w:sz w:val="21"/>
          <w:szCs w:val="21"/>
        </w:rPr>
        <w:t xml:space="preserve">FR-08: The system shall subscribe to MDM Hub change-data-capture (CDC) events and update its local Product and Customer caches when golden records change.</w:t>
      </w:r>
    </w:p>
    <w:p>
      <w:pPr>
        <w:pStyle w:val="ListParagraph"/>
        <w:numPr>
          <w:ilvl w:val="0"/>
          <w:numId w:val="2"/>
        </w:numPr>
        <w:spacing w:after="80"/>
      </w:pPr>
      <w:r>
        <w:rPr>
          <w:sz w:val="21"/>
          <w:szCs w:val="21"/>
        </w:rPr>
        <w:t xml:space="preserve">FR-09: The system shall allow on-demand lookup of a Customer or Product record directly from the MDM Hub when a cache miss occurs.</w:t>
      </w:r>
    </w:p>
    <w:p>
      <w:pPr>
        <w:pStyle w:val="ListParagraph"/>
        <w:numPr>
          <w:ilvl w:val="0"/>
          <w:numId w:val="2"/>
        </w:numPr>
        <w:spacing w:after="80"/>
      </w:pPr>
      <w:r>
        <w:rPr>
          <w:sz w:val="21"/>
          <w:szCs w:val="21"/>
        </w:rPr>
        <w:t xml:space="preserve">FR-10: The system shall never treat its local cache as the system of record — all creates/updates to Customer or Product master data must be made in the MDM Hub, not directly in OmniBridge's MongoDB cache.</w:t>
      </w:r>
    </w:p>
    <w:p>
      <w:pPr>
        <w:pStyle w:val="Heading2"/>
        <w:spacing w:after="120" w:before="240"/>
      </w:pPr>
      <w:r>
        <w:rPr>
          <w:b/>
          <w:bCs/>
          <w:color w:val="1F3864"/>
          <w:sz w:val="22"/>
          <w:szCs w:val="22"/>
        </w:rPr>
        <w:t xml:space="preserve">4.3 Notifications</w:t>
      </w:r>
    </w:p>
    <w:p>
      <w:pPr>
        <w:pStyle w:val="ListParagraph"/>
        <w:numPr>
          <w:ilvl w:val="0"/>
          <w:numId w:val="2"/>
        </w:numPr>
        <w:spacing w:after="80"/>
      </w:pPr>
      <w:r>
        <w:rPr>
          <w:sz w:val="21"/>
          <w:szCs w:val="21"/>
        </w:rPr>
        <w:t xml:space="preserve">FR-11: The system shall trigger an order confirmation notification (email/SMS, via existing notification service) upon successful order placement.</w:t>
      </w:r>
    </w:p>
    <w:p>
      <w:pPr>
        <w:pStyle w:val="ListParagraph"/>
        <w:numPr>
          <w:ilvl w:val="0"/>
          <w:numId w:val="2"/>
        </w:numPr>
        <w:spacing w:after="80"/>
      </w:pPr>
      <w:r>
        <w:rPr>
          <w:sz w:val="21"/>
          <w:szCs w:val="21"/>
        </w:rPr>
        <w:t xml:space="preserve">FR-12: The system shall trigger a status-change notification whenever Oracle Middleware reports a change in order status.</w:t>
      </w:r>
    </w:p>
    <w:p>
      <w:pPr>
        <w:pStyle w:val="Heading1"/>
        <w:spacing w:after="160" w:before="360"/>
      </w:pPr>
      <w:r>
        <w:rPr>
          <w:b/>
          <w:bCs/>
          <w:color w:val="1F3864"/>
          <w:sz w:val="26"/>
          <w:szCs w:val="26"/>
        </w:rPr>
        <w:t xml:space="preserve">5. Non-Functional Requirements (Summary)</w:t>
      </w:r>
    </w:p>
    <w:p>
      <w:pPr>
        <w:pStyle w:val="ListParagraph"/>
        <w:numPr>
          <w:ilvl w:val="0"/>
          <w:numId w:val="3"/>
        </w:numPr>
        <w:spacing w:after="80"/>
      </w:pPr>
      <w:r>
        <w:rPr>
          <w:sz w:val="21"/>
          <w:szCs w:val="21"/>
        </w:rPr>
        <w:t xml:space="preserve">Availability: OmniBridge order-submission path shall be available 99.9% of the time, including graceful degradation if Oracle Middleware or the MDM Hub is temporarily unreachable (orders are still accepted and queued).</w:t>
      </w:r>
    </w:p>
    <w:p>
      <w:pPr>
        <w:pStyle w:val="ListParagraph"/>
        <w:numPr>
          <w:ilvl w:val="0"/>
          <w:numId w:val="3"/>
        </w:numPr>
        <w:spacing w:after="80"/>
      </w:pPr>
      <w:r>
        <w:rPr>
          <w:sz w:val="21"/>
          <w:szCs w:val="21"/>
        </w:rPr>
        <w:t xml:space="preserve">Performance: Order submission API shall respond within 800ms at the 95th percentile under normal load.</w:t>
      </w:r>
    </w:p>
    <w:p>
      <w:pPr>
        <w:pStyle w:val="ListParagraph"/>
        <w:numPr>
          <w:ilvl w:val="0"/>
          <w:numId w:val="3"/>
        </w:numPr>
        <w:spacing w:after="80"/>
      </w:pPr>
      <w:r>
        <w:rPr>
          <w:sz w:val="21"/>
          <w:szCs w:val="21"/>
        </w:rPr>
        <w:t xml:space="preserve">Security: All external integrations use TLS 1.2+; access to privileged operations is governed per the PAM Document for this project.</w:t>
      </w:r>
    </w:p>
    <w:p>
      <w:pPr>
        <w:pStyle w:val="ListParagraph"/>
        <w:numPr>
          <w:ilvl w:val="0"/>
          <w:numId w:val="3"/>
        </w:numPr>
        <w:spacing w:after="80"/>
      </w:pPr>
      <w:r>
        <w:rPr>
          <w:sz w:val="21"/>
          <w:szCs w:val="21"/>
        </w:rPr>
        <w:t xml:space="preserve">Auditability: All order state transitions and master-data cache updates shall be logged with timestamp and triggering actor/system.</w:t>
      </w:r>
    </w:p>
    <w:p>
      <w:pPr>
        <w:spacing w:after="160"/>
      </w:pPr>
      <w:r>
        <w:rPr>
          <w:sz w:val="21"/>
          <w:szCs w:val="21"/>
        </w:rPr>
        <w:t xml:space="preserve">Full non-functional specifications are detailed in the High-Level Document (HLD) and Low-Level Document (LLD) for this project.</w:t>
      </w:r>
    </w:p>
    <w:p>
      <w:pPr>
        <w:pStyle w:val="Heading1"/>
        <w:spacing w:after="160" w:before="360"/>
      </w:pPr>
      <w:r>
        <w:rPr>
          <w:b/>
          <w:bCs/>
          <w:color w:val="1F3864"/>
          <w:sz w:val="26"/>
          <w:szCs w:val="26"/>
        </w:rPr>
        <w:t xml:space="preserve">6. Key Business Process Flows</w:t>
      </w:r>
    </w:p>
    <w:p>
      <w:pPr>
        <w:pStyle w:val="Heading2"/>
        <w:spacing w:after="120" w:before="240"/>
      </w:pPr>
      <w:r>
        <w:rPr>
          <w:b/>
          <w:bCs/>
          <w:color w:val="1F3864"/>
          <w:sz w:val="22"/>
          <w:szCs w:val="22"/>
        </w:rPr>
        <w:t xml:space="preserve">6.1 Place Order</w:t>
      </w:r>
    </w:p>
    <w:p>
      <w:pPr>
        <w:pStyle w:val="ListParagraph"/>
        <w:numPr>
          <w:ilvl w:val="0"/>
          <w:numId w:val="2"/>
        </w:numPr>
        <w:spacing w:after="80"/>
      </w:pPr>
      <w:r>
        <w:rPr>
          <w:sz w:val="21"/>
          <w:szCs w:val="21"/>
        </w:rPr>
        <w:t xml:space="preserve">Shopper submits order via storefront.</w:t>
      </w:r>
    </w:p>
    <w:p>
      <w:pPr>
        <w:pStyle w:val="ListParagraph"/>
        <w:numPr>
          <w:ilvl w:val="0"/>
          <w:numId w:val="2"/>
        </w:numPr>
        <w:spacing w:after="80"/>
      </w:pPr>
      <w:r>
        <w:rPr>
          <w:sz w:val="21"/>
          <w:szCs w:val="21"/>
        </w:rPr>
        <w:t xml:space="preserve">OmniBridge validates request and persists order in MongoDB with status Received.</w:t>
      </w:r>
    </w:p>
    <w:p>
      <w:pPr>
        <w:pStyle w:val="ListParagraph"/>
        <w:numPr>
          <w:ilvl w:val="0"/>
          <w:numId w:val="2"/>
        </w:numPr>
        <w:spacing w:after="80"/>
      </w:pPr>
      <w:r>
        <w:rPr>
          <w:sz w:val="21"/>
          <w:szCs w:val="21"/>
        </w:rPr>
        <w:t xml:space="preserve">OmniBridge sends order to Oracle Middleware for orchestration.</w:t>
      </w:r>
    </w:p>
    <w:p>
      <w:pPr>
        <w:pStyle w:val="ListParagraph"/>
        <w:numPr>
          <w:ilvl w:val="0"/>
          <w:numId w:val="2"/>
        </w:numPr>
        <w:spacing w:after="80"/>
      </w:pPr>
      <w:r>
        <w:rPr>
          <w:sz w:val="21"/>
          <w:szCs w:val="21"/>
        </w:rPr>
        <w:t xml:space="preserve">Oracle Middleware allocates inventory, captures payment, and returns an acknowledgement.</w:t>
      </w:r>
    </w:p>
    <w:p>
      <w:pPr>
        <w:pStyle w:val="ListParagraph"/>
        <w:numPr>
          <w:ilvl w:val="0"/>
          <w:numId w:val="2"/>
        </w:numPr>
        <w:spacing w:after="80"/>
      </w:pPr>
      <w:r>
        <w:rPr>
          <w:sz w:val="21"/>
          <w:szCs w:val="21"/>
        </w:rPr>
        <w:t xml:space="preserve">OmniBridge updates order status to Allocated and triggers confirmation notification.</w:t>
      </w:r>
    </w:p>
    <w:p>
      <w:pPr>
        <w:pStyle w:val="ListParagraph"/>
        <w:numPr>
          <w:ilvl w:val="0"/>
          <w:numId w:val="2"/>
        </w:numPr>
        <w:spacing w:after="80"/>
      </w:pPr>
      <w:r>
        <w:rPr>
          <w:sz w:val="21"/>
          <w:szCs w:val="21"/>
        </w:rPr>
        <w:t xml:space="preserve">Subsequent status callbacks (Shipped, Delivered) update the order record and trigger further notifications.</w:t>
      </w:r>
    </w:p>
    <w:p>
      <w:pPr>
        <w:pStyle w:val="Heading2"/>
        <w:spacing w:after="120" w:before="240"/>
      </w:pPr>
      <w:r>
        <w:rPr>
          <w:b/>
          <w:bCs/>
          <w:color w:val="1F3864"/>
          <w:sz w:val="22"/>
          <w:szCs w:val="22"/>
        </w:rPr>
        <w:t xml:space="preserve">6.2 Master Data Sync</w:t>
      </w:r>
    </w:p>
    <w:p>
      <w:pPr>
        <w:pStyle w:val="ListParagraph"/>
        <w:numPr>
          <w:ilvl w:val="0"/>
          <w:numId w:val="2"/>
        </w:numPr>
        <w:spacing w:after="80"/>
      </w:pPr>
      <w:r>
        <w:rPr>
          <w:sz w:val="21"/>
          <w:szCs w:val="21"/>
        </w:rPr>
        <w:t xml:space="preserve">MDM Hub publishes a change event when a Product or Customer golden record is created or updated.</w:t>
      </w:r>
    </w:p>
    <w:p>
      <w:pPr>
        <w:pStyle w:val="ListParagraph"/>
        <w:numPr>
          <w:ilvl w:val="0"/>
          <w:numId w:val="2"/>
        </w:numPr>
        <w:spacing w:after="80"/>
      </w:pPr>
      <w:r>
        <w:rPr>
          <w:sz w:val="21"/>
          <w:szCs w:val="21"/>
        </w:rPr>
        <w:t xml:space="preserve">OmniBridge consumes the event and updates its local MongoDB cache.</w:t>
      </w:r>
    </w:p>
    <w:p>
      <w:pPr>
        <w:pStyle w:val="ListParagraph"/>
        <w:numPr>
          <w:ilvl w:val="0"/>
          <w:numId w:val="2"/>
        </w:numPr>
        <w:spacing w:after="80"/>
      </w:pPr>
      <w:r>
        <w:rPr>
          <w:sz w:val="21"/>
          <w:szCs w:val="21"/>
        </w:rPr>
        <w:t xml:space="preserve">Storefront and store applications read product/customer data from the OmniBridge cache for low-latency access.</w:t>
      </w:r>
    </w:p>
    <w:p>
      <w:pPr>
        <w:pStyle w:val="Heading1"/>
        <w:spacing w:after="160" w:before="360"/>
      </w:pPr>
      <w:r>
        <w:rPr>
          <w:b/>
          <w:bCs/>
          <w:color w:val="1F3864"/>
          <w:sz w:val="26"/>
          <w:szCs w:val="26"/>
        </w:rPr>
        <w:t xml:space="preserve">7. Out of Scope</w:t>
      </w:r>
    </w:p>
    <w:p>
      <w:pPr>
        <w:pStyle w:val="ListParagraph"/>
        <w:numPr>
          <w:ilvl w:val="0"/>
          <w:numId w:val="3"/>
        </w:numPr>
        <w:spacing w:after="80"/>
      </w:pPr>
      <w:r>
        <w:rPr>
          <w:sz w:val="21"/>
          <w:szCs w:val="21"/>
        </w:rPr>
        <w:t xml:space="preserve">Changes to the MDM Hub's internal data governance or matching/merge rules.</w:t>
      </w:r>
    </w:p>
    <w:p>
      <w:pPr>
        <w:pStyle w:val="ListParagraph"/>
        <w:numPr>
          <w:ilvl w:val="0"/>
          <w:numId w:val="3"/>
        </w:numPr>
        <w:spacing w:after="80"/>
      </w:pPr>
      <w:r>
        <w:rPr>
          <w:sz w:val="21"/>
          <w:szCs w:val="21"/>
        </w:rPr>
        <w:t xml:space="preserve">Changes to Oracle Middleware's ERP-side orchestration logic beyond the integration contract with OmniBridge.</w:t>
      </w:r>
    </w:p>
    <w:p>
      <w:pPr>
        <w:pStyle w:val="ListParagraph"/>
        <w:numPr>
          <w:ilvl w:val="0"/>
          <w:numId w:val="3"/>
        </w:numPr>
        <w:spacing w:after="80"/>
      </w:pPr>
      <w:r>
        <w:rPr>
          <w:sz w:val="21"/>
          <w:szCs w:val="21"/>
        </w:rPr>
        <w:t xml:space="preserve">Point-of-sale hardware or in-store network infrastructure.</w:t>
      </w:r>
    </w:p>
    <w:p>
      <w:pPr>
        <w:pStyle w:val="ListParagraph"/>
        <w:numPr>
          <w:ilvl w:val="0"/>
          <w:numId w:val="3"/>
        </w:numPr>
        <w:spacing w:after="80"/>
      </w:pPr>
      <w:r>
        <w:rPr>
          <w:sz w:val="21"/>
          <w:szCs w:val="21"/>
        </w:rPr>
        <w:t xml:space="preserve">Payment gateway logic (owned entirely within Oracle Middleware / ERP).</w:t>
      </w:r>
    </w:p>
    <w:p>
      <w:pPr>
        <w:pStyle w:val="Heading1"/>
        <w:spacing w:after="160" w:before="360"/>
      </w:pPr>
      <w:r>
        <w:rPr>
          <w:b/>
          <w:bCs/>
          <w:color w:val="1F3864"/>
          <w:sz w:val="26"/>
          <w:szCs w:val="26"/>
        </w:rPr>
        <w:t xml:space="preserve">8. Assumptions</w:t>
      </w:r>
    </w:p>
    <w:p>
      <w:pPr>
        <w:pStyle w:val="ListParagraph"/>
        <w:numPr>
          <w:ilvl w:val="0"/>
          <w:numId w:val="3"/>
        </w:numPr>
        <w:spacing w:after="80"/>
      </w:pPr>
      <w:r>
        <w:rPr>
          <w:sz w:val="21"/>
          <w:szCs w:val="21"/>
        </w:rPr>
        <w:t xml:space="preserve">The MDM Hub exposes both a REST lookup API and a Kafka-based CDC event stream, as documented in the LLD.</w:t>
      </w:r>
    </w:p>
    <w:p>
      <w:pPr>
        <w:pStyle w:val="ListParagraph"/>
        <w:numPr>
          <w:ilvl w:val="0"/>
          <w:numId w:val="3"/>
        </w:numPr>
        <w:spacing w:after="80"/>
      </w:pPr>
      <w:r>
        <w:rPr>
          <w:sz w:val="21"/>
          <w:szCs w:val="21"/>
        </w:rPr>
        <w:t xml:space="preserve">Oracle Middleware exposes REST/JSON endpoints for order orchestration and SOAP endpoints for legacy ERP status queries.</w:t>
      </w:r>
    </w:p>
    <w:p>
      <w:pPr>
        <w:pStyle w:val="ListParagraph"/>
        <w:numPr>
          <w:ilvl w:val="0"/>
          <w:numId w:val="3"/>
        </w:numPr>
        <w:spacing w:after="80"/>
      </w:pPr>
      <w:r>
        <w:rPr>
          <w:sz w:val="21"/>
          <w:szCs w:val="21"/>
        </w:rPr>
        <w:t xml:space="preserve">Notification delivery (email/SMS) is handled by an existing Meridian notification service, invoked by OmniBridge but not owned by this project.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Confidential — FD-OMNIBRIDGE-2026-001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OmniBridge — Functional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2026-07-10T12:22:38.000Z</dcterms:created>
  <dcterms:modified xsi:type="dcterms:W3CDTF">2026-07-10T12:22:38.000Z</dcterms:modified>
</cp:coreProperties>
</file>

<file path=docProps/custom.xml><?xml version="1.0" encoding="utf-8"?>
<Properties xmlns="http://schemas.openxmlformats.org/officeDocument/2006/custom-properties" xmlns:vt="http://schemas.openxmlformats.org/officeDocument/2006/docPropsVTypes"/>
</file>