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PRIVILEGED ACCESS MANAGEMENT (PAM) DOCUMENT</w:t>
      </w:r>
    </w:p>
    <w:p>
      <w:pPr>
        <w:spacing w:after="600" w:before="200"/>
        <w:jc w:val="center"/>
      </w:pPr>
      <w:r>
        <w:rPr>
          <w:color w:val="595959"/>
          <w:sz w:val="28"/>
          <w:szCs w:val="28"/>
        </w:rPr>
        <w:t xml:space="preserve">OmniBridge Retail Integration Platform</w:t>
      </w:r>
    </w:p>
    <w:p>
      <w:pPr>
        <w:spacing w:after="80"/>
        <w:jc w:val="center"/>
      </w:pPr>
      <w:r>
        <w:rPr>
          <w:color w:val="595959"/>
          <w:sz w:val="20"/>
          <w:szCs w:val="20"/>
        </w:rPr>
        <w:t xml:space="preserve">Client</w:t>
      </w:r>
    </w:p>
    <w:p>
      <w:pPr>
        <w:spacing w:after="320"/>
        <w:jc w:val="center"/>
      </w:pPr>
      <w:r>
        <w:rPr>
          <w:b/>
          <w:bCs/>
          <w:sz w:val="24"/>
          <w:szCs w:val="24"/>
        </w:rPr>
        <w:t xml:space="preserve">Meridian Retail Group</w:t>
      </w:r>
    </w:p>
    <w:p>
      <w:pPr>
        <w:spacing w:after="80"/>
        <w:jc w:val="center"/>
      </w:pPr>
      <w:r>
        <w:rPr>
          <w:color w:val="595959"/>
          <w:sz w:val="20"/>
          <w:szCs w:val="20"/>
        </w:rPr>
        <w:t xml:space="preserve">Prepared by</w:t>
      </w:r>
    </w:p>
    <w:p>
      <w:pPr>
        <w:spacing w:after="600"/>
        <w:jc w:val="center"/>
      </w:pPr>
      <w:r>
        <w:rPr>
          <w:b/>
          <w:bCs/>
          <w:sz w:val="24"/>
          <w:szCs w:val="24"/>
        </w:rPr>
        <w:t xml:space="preserve">IBM Consulting</w:t>
      </w:r>
    </w:p>
    <w:p>
      <w:pPr>
        <w:spacing w:after="40"/>
        <w:jc w:val="center"/>
      </w:pPr>
      <w:r>
        <w:rPr>
          <w:color w:val="595959"/>
          <w:sz w:val="18"/>
          <w:szCs w:val="18"/>
        </w:rPr>
        <w:t xml:space="preserve">Document Reference: PAM-OMNIBRIDGE-2026-001</w:t>
      </w:r>
    </w:p>
    <w:p>
      <w:pPr>
        <w:spacing w:after="40"/>
        <w:jc w:val="center"/>
      </w:pPr>
      <w:r>
        <w:rPr>
          <w:color w:val="595959"/>
          <w:sz w:val="18"/>
          <w:szCs w:val="18"/>
        </w:rPr>
        <w:t xml:space="preserve">Version 1.0  |  Draft</w:t>
      </w:r>
    </w:p>
    <w:p>
      <w:pPr>
        <w:spacing w:after="1000"/>
        <w:jc w:val="center"/>
      </w:pPr>
      <w:r>
        <w:rPr>
          <w:color w:val="595959"/>
          <w:sz w:val="18"/>
          <w:szCs w:val="18"/>
        </w:rPr>
        <w:t xml:space="preserve">July 10, 2026</w:t>
      </w:r>
    </w:p>
    <w:p>
      <w:pPr>
        <w:jc w:val="center"/>
      </w:pPr>
      <w:r>
        <w:rPr>
          <w:i/>
          <w:iCs/>
          <w:color w:val="B00020"/>
          <w:sz w:val="16"/>
          <w:szCs w:val="16"/>
        </w:rPr>
        <w:t xml:space="preserve">SAMPLE / ILLUSTRATIVE DOCUMENT — FICTIONAL PROJECT FOR DEMONSTRATION PURPOSES ONLY</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sz w:val="26"/>
          <w:szCs w:val="26"/>
        </w:rPr>
        <w:t xml:space="preserve">1. Purpose</w:t>
      </w:r>
    </w:p>
    <w:p>
      <w:pPr>
        <w:spacing w:after="160"/>
      </w:pPr>
      <w:r>
        <w:rPr>
          <w:sz w:val="21"/>
          <w:szCs w:val="21"/>
        </w:rPr>
        <w:t xml:space="preserve">This Privileged Access Management (PAM) Document defines how privileged accounts, service credentials, and elevated access are provisioned, used, monitored, and revoked across the OmniBridge platform and its integrations with Oracle Middleware and the Enterprise MDM Hub. It is intended to support secure design review (including Digital AppSec Champion / DASC evaluation) and to serve as reference context for AI-assisted development tooling on this engagement.</w:t>
      </w:r>
    </w:p>
    <w:p>
      <w:pPr>
        <w:pStyle w:val="Heading1"/>
        <w:spacing w:after="160" w:before="360"/>
      </w:pPr>
      <w:r>
        <w:rPr>
          <w:b/>
          <w:bCs/>
          <w:color w:val="1F3864"/>
          <w:sz w:val="26"/>
          <w:szCs w:val="26"/>
        </w:rPr>
        <w:t xml:space="preserve">2. Scope</w:t>
      </w:r>
    </w:p>
    <w:p>
      <w:pPr>
        <w:spacing w:after="160"/>
      </w:pPr>
      <w:r>
        <w:rPr>
          <w:sz w:val="21"/>
          <w:szCs w:val="21"/>
        </w:rPr>
        <w:t xml:space="preserve">This document covers privileged access to: the OmniBridge application and its hosting environment, the MongoDB Atlas cluster, service-account credentials used for outbound calls to Oracle Middleware and the MDM Hub, and inbound credentials used by those systems to call back into OmniBridge.</w:t>
      </w:r>
    </w:p>
    <w:p>
      <w:pPr>
        <w:pStyle w:val="Heading1"/>
        <w:spacing w:after="160" w:before="360"/>
      </w:pPr>
      <w:r>
        <w:rPr>
          <w:b/>
          <w:bCs/>
          <w:color w:val="1F3864"/>
          <w:sz w:val="26"/>
          <w:szCs w:val="26"/>
        </w:rPr>
        <w:t xml:space="preserve">3. Inventory of Privileged Accounts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660"/>
      </w:tblGrid>
      <w:tr>
        <w:trPr>
          <w:tblHeader/>
        </w:trPr>
        <w:tc>
          <w:tcPr>
            <w:tcW w:type="dxa" w:w="2600"/>
            <w:shd w:fill="1F3864" w:val="clear"/>
            <w:tcMar>
              <w:top w:type="dxa" w:w="100"/>
              <w:left w:type="dxa" w:w="120"/>
              <w:bottom w:type="dxa" w:w="100"/>
              <w:right w:type="dxa" w:w="120"/>
            </w:tcMar>
          </w:tcPr>
          <w:p>
            <w:r>
              <w:rPr>
                <w:b/>
                <w:bCs/>
                <w:color w:val="FFFFFF"/>
                <w:sz w:val="18"/>
                <w:szCs w:val="18"/>
              </w:rPr>
              <w:t xml:space="preserve">Account / Credential</w:t>
            </w:r>
          </w:p>
        </w:tc>
        <w:tc>
          <w:tcPr>
            <w:tcW w:type="dxa" w:w="5100"/>
            <w:shd w:fill="1F3864" w:val="clear"/>
            <w:tcMar>
              <w:top w:type="dxa" w:w="100"/>
              <w:left w:type="dxa" w:w="120"/>
              <w:bottom w:type="dxa" w:w="100"/>
              <w:right w:type="dxa" w:w="120"/>
            </w:tcMar>
          </w:tcPr>
          <w:p>
            <w:r>
              <w:rPr>
                <w:b/>
                <w:bCs/>
                <w:color w:val="FFFFFF"/>
                <w:sz w:val="18"/>
                <w:szCs w:val="18"/>
              </w:rPr>
              <w:t xml:space="preserve">Purpose</w:t>
            </w:r>
          </w:p>
        </w:tc>
        <w:tc>
          <w:tcPr>
            <w:tcW w:type="dxa" w:w="1660"/>
            <w:shd w:fill="1F3864" w:val="clear"/>
            <w:tcMar>
              <w:top w:type="dxa" w:w="100"/>
              <w:left w:type="dxa" w:w="120"/>
              <w:bottom w:type="dxa" w:w="100"/>
              <w:right w:type="dxa" w:w="120"/>
            </w:tcMar>
          </w:tcPr>
          <w:p>
            <w:r>
              <w:rPr>
                <w:b/>
                <w:bCs/>
                <w:color w:val="FFFFFF"/>
                <w:sz w:val="18"/>
                <w:szCs w:val="18"/>
              </w:rPr>
              <w:t xml:space="preserve">Type</w:t>
            </w:r>
          </w:p>
        </w:tc>
      </w:tr>
      <w:tr>
        <w:tc>
          <w:tcPr>
            <w:tcW w:type="dxa" w:w="2600"/>
            <w:tcMar>
              <w:top w:type="dxa" w:w="100"/>
              <w:left w:type="dxa" w:w="120"/>
              <w:bottom w:type="dxa" w:w="100"/>
              <w:right w:type="dxa" w:w="120"/>
            </w:tcMar>
          </w:tcPr>
          <w:p>
            <w:r>
              <w:rPr>
                <w:b w:val="false"/>
                <w:bCs w:val="false"/>
                <w:sz w:val="18"/>
                <w:szCs w:val="18"/>
              </w:rPr>
              <w:t xml:space="preserve">mongo-omnibridge-svc</w:t>
            </w:r>
          </w:p>
        </w:tc>
        <w:tc>
          <w:tcPr>
            <w:tcW w:type="dxa" w:w="5100"/>
            <w:tcMar>
              <w:top w:type="dxa" w:w="100"/>
              <w:left w:type="dxa" w:w="120"/>
              <w:bottom w:type="dxa" w:w="100"/>
              <w:right w:type="dxa" w:w="120"/>
            </w:tcMar>
          </w:tcPr>
          <w:p>
            <w:r>
              <w:rPr>
                <w:b w:val="false"/>
                <w:bCs w:val="false"/>
                <w:sz w:val="18"/>
                <w:szCs w:val="18"/>
              </w:rPr>
              <w:t xml:space="preserve">Application-level read/write access to Orders, Product Cache, Customer Cache collections.</w:t>
            </w:r>
          </w:p>
        </w:tc>
        <w:tc>
          <w:tcPr>
            <w:tcW w:type="dxa" w:w="1660"/>
            <w:tcMar>
              <w:top w:type="dxa" w:w="100"/>
              <w:left w:type="dxa" w:w="120"/>
              <w:bottom w:type="dxa" w:w="100"/>
              <w:right w:type="dxa" w:w="120"/>
            </w:tcMar>
          </w:tcPr>
          <w:p>
            <w:r>
              <w:rPr>
                <w:b w:val="false"/>
                <w:bCs w:val="false"/>
                <w:sz w:val="18"/>
                <w:szCs w:val="18"/>
              </w:rPr>
              <w:t xml:space="preserve">Service account (DB role-scoped)</w:t>
            </w:r>
          </w:p>
        </w:tc>
      </w:tr>
      <w:tr>
        <w:tc>
          <w:tcPr>
            <w:tcW w:type="dxa" w:w="2600"/>
            <w:shd w:fill="DCE6F1" w:val="clear"/>
            <w:tcMar>
              <w:top w:type="dxa" w:w="100"/>
              <w:left w:type="dxa" w:w="120"/>
              <w:bottom w:type="dxa" w:w="100"/>
              <w:right w:type="dxa" w:w="120"/>
            </w:tcMar>
          </w:tcPr>
          <w:p>
            <w:r>
              <w:rPr>
                <w:b w:val="false"/>
                <w:bCs w:val="false"/>
                <w:sz w:val="18"/>
                <w:szCs w:val="18"/>
              </w:rPr>
              <w:t xml:space="preserve">mongo-admin</w:t>
            </w:r>
          </w:p>
        </w:tc>
        <w:tc>
          <w:tcPr>
            <w:tcW w:type="dxa" w:w="5100"/>
            <w:shd w:fill="DCE6F1" w:val="clear"/>
            <w:tcMar>
              <w:top w:type="dxa" w:w="100"/>
              <w:left w:type="dxa" w:w="120"/>
              <w:bottom w:type="dxa" w:w="100"/>
              <w:right w:type="dxa" w:w="120"/>
            </w:tcMar>
          </w:tcPr>
          <w:p>
            <w:r>
              <w:rPr>
                <w:b w:val="false"/>
                <w:bCs w:val="false"/>
                <w:sz w:val="18"/>
                <w:szCs w:val="18"/>
              </w:rPr>
              <w:t xml:space="preserve">Cluster administration — index management, backups, user provisioning.</w:t>
            </w:r>
          </w:p>
        </w:tc>
        <w:tc>
          <w:tcPr>
            <w:tcW w:type="dxa" w:w="1660"/>
            <w:shd w:fill="DCE6F1" w:val="clear"/>
            <w:tcMar>
              <w:top w:type="dxa" w:w="100"/>
              <w:left w:type="dxa" w:w="120"/>
              <w:bottom w:type="dxa" w:w="100"/>
              <w:right w:type="dxa" w:w="120"/>
            </w:tcMar>
          </w:tcPr>
          <w:p>
            <w:r>
              <w:rPr>
                <w:b w:val="false"/>
                <w:bCs w:val="false"/>
                <w:sz w:val="18"/>
                <w:szCs w:val="18"/>
              </w:rPr>
              <w:t xml:space="preserve">Human-held privileged account (break-glass, MFA-gated)</w:t>
            </w:r>
          </w:p>
        </w:tc>
      </w:tr>
      <w:tr>
        <w:tc>
          <w:tcPr>
            <w:tcW w:type="dxa" w:w="2600"/>
            <w:tcMar>
              <w:top w:type="dxa" w:w="100"/>
              <w:left w:type="dxa" w:w="120"/>
              <w:bottom w:type="dxa" w:w="100"/>
              <w:right w:type="dxa" w:w="120"/>
            </w:tcMar>
          </w:tcPr>
          <w:p>
            <w:r>
              <w:rPr>
                <w:b w:val="false"/>
                <w:bCs w:val="false"/>
                <w:sz w:val="18"/>
                <w:szCs w:val="18"/>
              </w:rPr>
              <w:t xml:space="preserve">oic-outbound-client</w:t>
            </w:r>
          </w:p>
        </w:tc>
        <w:tc>
          <w:tcPr>
            <w:tcW w:type="dxa" w:w="5100"/>
            <w:tcMar>
              <w:top w:type="dxa" w:w="100"/>
              <w:left w:type="dxa" w:w="120"/>
              <w:bottom w:type="dxa" w:w="100"/>
              <w:right w:type="dxa" w:w="120"/>
            </w:tcMar>
          </w:tcPr>
          <w:p>
            <w:r>
              <w:rPr>
                <w:b w:val="false"/>
                <w:bCs w:val="false"/>
                <w:sz w:val="18"/>
                <w:szCs w:val="18"/>
              </w:rPr>
              <w:t xml:space="preserve">mTLS client certificate + OAuth2 client credentials for calls to Oracle Middleware.</w:t>
            </w:r>
          </w:p>
        </w:tc>
        <w:tc>
          <w:tcPr>
            <w:tcW w:type="dxa" w:w="1660"/>
            <w:tcMar>
              <w:top w:type="dxa" w:w="100"/>
              <w:left w:type="dxa" w:w="120"/>
              <w:bottom w:type="dxa" w:w="100"/>
              <w:right w:type="dxa" w:w="120"/>
            </w:tcMar>
          </w:tcPr>
          <w:p>
            <w:r>
              <w:rPr>
                <w:b w:val="false"/>
                <w:bCs w:val="false"/>
                <w:sz w:val="18"/>
                <w:szCs w:val="18"/>
              </w:rPr>
              <w:t xml:space="preserve">Service account (machine-to-machine)</w:t>
            </w:r>
          </w:p>
        </w:tc>
      </w:tr>
      <w:tr>
        <w:tc>
          <w:tcPr>
            <w:tcW w:type="dxa" w:w="2600"/>
            <w:shd w:fill="DCE6F1" w:val="clear"/>
            <w:tcMar>
              <w:top w:type="dxa" w:w="100"/>
              <w:left w:type="dxa" w:w="120"/>
              <w:bottom w:type="dxa" w:w="100"/>
              <w:right w:type="dxa" w:w="120"/>
            </w:tcMar>
          </w:tcPr>
          <w:p>
            <w:r>
              <w:rPr>
                <w:b w:val="false"/>
                <w:bCs w:val="false"/>
                <w:sz w:val="18"/>
                <w:szCs w:val="18"/>
              </w:rPr>
              <w:t xml:space="preserve">oic-callback-secret</w:t>
            </w:r>
          </w:p>
        </w:tc>
        <w:tc>
          <w:tcPr>
            <w:tcW w:type="dxa" w:w="5100"/>
            <w:shd w:fill="DCE6F1" w:val="clear"/>
            <w:tcMar>
              <w:top w:type="dxa" w:w="100"/>
              <w:left w:type="dxa" w:w="120"/>
              <w:bottom w:type="dxa" w:w="100"/>
              <w:right w:type="dxa" w:w="120"/>
            </w:tcMar>
          </w:tcPr>
          <w:p>
            <w:r>
              <w:rPr>
                <w:b w:val="false"/>
                <w:bCs w:val="false"/>
                <w:sz w:val="18"/>
                <w:szCs w:val="18"/>
              </w:rPr>
              <w:t xml:space="preserve">HMAC shared secret used to validate inbound status callbacks from Oracle Middleware.</w:t>
            </w:r>
          </w:p>
        </w:tc>
        <w:tc>
          <w:tcPr>
            <w:tcW w:type="dxa" w:w="1660"/>
            <w:shd w:fill="DCE6F1" w:val="clear"/>
            <w:tcMar>
              <w:top w:type="dxa" w:w="100"/>
              <w:left w:type="dxa" w:w="120"/>
              <w:bottom w:type="dxa" w:w="100"/>
              <w:right w:type="dxa" w:w="120"/>
            </w:tcMar>
          </w:tcPr>
          <w:p>
            <w:r>
              <w:rPr>
                <w:b w:val="false"/>
                <w:bCs w:val="false"/>
                <w:sz w:val="18"/>
                <w:szCs w:val="18"/>
              </w:rPr>
              <w:t xml:space="preserve">Shared secret (rotated)</w:t>
            </w:r>
          </w:p>
        </w:tc>
      </w:tr>
      <w:tr>
        <w:tc>
          <w:tcPr>
            <w:tcW w:type="dxa" w:w="2600"/>
            <w:tcMar>
              <w:top w:type="dxa" w:w="100"/>
              <w:left w:type="dxa" w:w="120"/>
              <w:bottom w:type="dxa" w:w="100"/>
              <w:right w:type="dxa" w:w="120"/>
            </w:tcMar>
          </w:tcPr>
          <w:p>
            <w:r>
              <w:rPr>
                <w:b w:val="false"/>
                <w:bCs w:val="false"/>
                <w:sz w:val="18"/>
                <w:szCs w:val="18"/>
              </w:rPr>
              <w:t xml:space="preserve">mdm-rest-client</w:t>
            </w:r>
          </w:p>
        </w:tc>
        <w:tc>
          <w:tcPr>
            <w:tcW w:type="dxa" w:w="5100"/>
            <w:tcMar>
              <w:top w:type="dxa" w:w="100"/>
              <w:left w:type="dxa" w:w="120"/>
              <w:bottom w:type="dxa" w:w="100"/>
              <w:right w:type="dxa" w:w="120"/>
            </w:tcMar>
          </w:tcPr>
          <w:p>
            <w:r>
              <w:rPr>
                <w:b w:val="false"/>
                <w:bCs w:val="false"/>
                <w:sz w:val="18"/>
                <w:szCs w:val="18"/>
              </w:rPr>
              <w:t xml:space="preserve">OAuth2 client-credentials for on-demand REST pulls from the MDM Hub.</w:t>
            </w:r>
          </w:p>
        </w:tc>
        <w:tc>
          <w:tcPr>
            <w:tcW w:type="dxa" w:w="1660"/>
            <w:tcMar>
              <w:top w:type="dxa" w:w="100"/>
              <w:left w:type="dxa" w:w="120"/>
              <w:bottom w:type="dxa" w:w="100"/>
              <w:right w:type="dxa" w:w="120"/>
            </w:tcMar>
          </w:tcPr>
          <w:p>
            <w:r>
              <w:rPr>
                <w:b w:val="false"/>
                <w:bCs w:val="false"/>
                <w:sz w:val="18"/>
                <w:szCs w:val="18"/>
              </w:rPr>
              <w:t xml:space="preserve">Service account (machine-to-machine)</w:t>
            </w:r>
          </w:p>
        </w:tc>
      </w:tr>
      <w:tr>
        <w:tc>
          <w:tcPr>
            <w:tcW w:type="dxa" w:w="2600"/>
            <w:shd w:fill="DCE6F1" w:val="clear"/>
            <w:tcMar>
              <w:top w:type="dxa" w:w="100"/>
              <w:left w:type="dxa" w:w="120"/>
              <w:bottom w:type="dxa" w:w="100"/>
              <w:right w:type="dxa" w:w="120"/>
            </w:tcMar>
          </w:tcPr>
          <w:p>
            <w:r>
              <w:rPr>
                <w:b w:val="false"/>
                <w:bCs w:val="false"/>
                <w:sz w:val="18"/>
                <w:szCs w:val="18"/>
              </w:rPr>
              <w:t xml:space="preserve">mdm-kafka-consumer</w:t>
            </w:r>
          </w:p>
        </w:tc>
        <w:tc>
          <w:tcPr>
            <w:tcW w:type="dxa" w:w="5100"/>
            <w:shd w:fill="DCE6F1" w:val="clear"/>
            <w:tcMar>
              <w:top w:type="dxa" w:w="100"/>
              <w:left w:type="dxa" w:w="120"/>
              <w:bottom w:type="dxa" w:w="100"/>
              <w:right w:type="dxa" w:w="120"/>
            </w:tcMar>
          </w:tcPr>
          <w:p>
            <w:r>
              <w:rPr>
                <w:b w:val="false"/>
                <w:bCs w:val="false"/>
                <w:sz w:val="18"/>
                <w:szCs w:val="18"/>
              </w:rPr>
              <w:t xml:space="preserve">Kafka consumer-group credentials for CDC event stream subscription.</w:t>
            </w:r>
          </w:p>
        </w:tc>
        <w:tc>
          <w:tcPr>
            <w:tcW w:type="dxa" w:w="1660"/>
            <w:shd w:fill="DCE6F1" w:val="clear"/>
            <w:tcMar>
              <w:top w:type="dxa" w:w="100"/>
              <w:left w:type="dxa" w:w="120"/>
              <w:bottom w:type="dxa" w:w="100"/>
              <w:right w:type="dxa" w:w="120"/>
            </w:tcMar>
          </w:tcPr>
          <w:p>
            <w:r>
              <w:rPr>
                <w:b w:val="false"/>
                <w:bCs w:val="false"/>
                <w:sz w:val="18"/>
                <w:szCs w:val="18"/>
              </w:rPr>
              <w:t xml:space="preserve">Service account (topic-scoped)</w:t>
            </w:r>
          </w:p>
        </w:tc>
      </w:tr>
      <w:tr>
        <w:tc>
          <w:tcPr>
            <w:tcW w:type="dxa" w:w="2600"/>
            <w:tcMar>
              <w:top w:type="dxa" w:w="100"/>
              <w:left w:type="dxa" w:w="120"/>
              <w:bottom w:type="dxa" w:w="100"/>
              <w:right w:type="dxa" w:w="120"/>
            </w:tcMar>
          </w:tcPr>
          <w:p>
            <w:r>
              <w:rPr>
                <w:b w:val="false"/>
                <w:bCs w:val="false"/>
                <w:sz w:val="18"/>
                <w:szCs w:val="18"/>
              </w:rPr>
              <w:t xml:space="preserve">k8s-deploy-svc</w:t>
            </w:r>
          </w:p>
        </w:tc>
        <w:tc>
          <w:tcPr>
            <w:tcW w:type="dxa" w:w="5100"/>
            <w:tcMar>
              <w:top w:type="dxa" w:w="100"/>
              <w:left w:type="dxa" w:w="120"/>
              <w:bottom w:type="dxa" w:w="100"/>
              <w:right w:type="dxa" w:w="120"/>
            </w:tcMar>
          </w:tcPr>
          <w:p>
            <w:r>
              <w:rPr>
                <w:b w:val="false"/>
                <w:bCs w:val="false"/>
                <w:sz w:val="18"/>
                <w:szCs w:val="18"/>
              </w:rPr>
              <w:t xml:space="preserve">CI/CD pipeline credentials for deploying OmniBridge containers.</w:t>
            </w:r>
          </w:p>
        </w:tc>
        <w:tc>
          <w:tcPr>
            <w:tcW w:type="dxa" w:w="1660"/>
            <w:tcMar>
              <w:top w:type="dxa" w:w="100"/>
              <w:left w:type="dxa" w:w="120"/>
              <w:bottom w:type="dxa" w:w="100"/>
              <w:right w:type="dxa" w:w="120"/>
            </w:tcMar>
          </w:tcPr>
          <w:p>
            <w:r>
              <w:rPr>
                <w:b w:val="false"/>
                <w:bCs w:val="false"/>
                <w:sz w:val="18"/>
                <w:szCs w:val="18"/>
              </w:rPr>
              <w:t xml:space="preserve">Service account (pipeline-scoped)</w:t>
            </w:r>
          </w:p>
        </w:tc>
      </w:tr>
      <w:tr>
        <w:tc>
          <w:tcPr>
            <w:tcW w:type="dxa" w:w="2600"/>
            <w:shd w:fill="DCE6F1" w:val="clear"/>
            <w:tcMar>
              <w:top w:type="dxa" w:w="100"/>
              <w:left w:type="dxa" w:w="120"/>
              <w:bottom w:type="dxa" w:w="100"/>
              <w:right w:type="dxa" w:w="120"/>
            </w:tcMar>
          </w:tcPr>
          <w:p>
            <w:r>
              <w:rPr>
                <w:b w:val="false"/>
                <w:bCs w:val="false"/>
                <w:sz w:val="18"/>
                <w:szCs w:val="18"/>
              </w:rPr>
              <w:t xml:space="preserve">ops-oncall-admin</w:t>
            </w:r>
          </w:p>
        </w:tc>
        <w:tc>
          <w:tcPr>
            <w:tcW w:type="dxa" w:w="5100"/>
            <w:shd w:fill="DCE6F1" w:val="clear"/>
            <w:tcMar>
              <w:top w:type="dxa" w:w="100"/>
              <w:left w:type="dxa" w:w="120"/>
              <w:bottom w:type="dxa" w:w="100"/>
              <w:right w:type="dxa" w:w="120"/>
            </w:tcMar>
          </w:tcPr>
          <w:p>
            <w:r>
              <w:rPr>
                <w:b w:val="false"/>
                <w:bCs w:val="false"/>
                <w:sz w:val="18"/>
                <w:szCs w:val="18"/>
              </w:rPr>
              <w:t xml:space="preserve">Emergency production access for on-call engineers.</w:t>
            </w:r>
          </w:p>
        </w:tc>
        <w:tc>
          <w:tcPr>
            <w:tcW w:type="dxa" w:w="1660"/>
            <w:shd w:fill="DCE6F1" w:val="clear"/>
            <w:tcMar>
              <w:top w:type="dxa" w:w="100"/>
              <w:left w:type="dxa" w:w="120"/>
              <w:bottom w:type="dxa" w:w="100"/>
              <w:right w:type="dxa" w:w="120"/>
            </w:tcMar>
          </w:tcPr>
          <w:p>
            <w:r>
              <w:rPr>
                <w:b w:val="false"/>
                <w:bCs w:val="false"/>
                <w:sz w:val="18"/>
                <w:szCs w:val="18"/>
              </w:rPr>
              <w:t xml:space="preserve">Human-held privileged account (break-glass, time-boxed)</w:t>
            </w:r>
          </w:p>
        </w:tc>
      </w:tr>
    </w:tbl>
    <w:p>
      <w:pPr>
        <w:pStyle w:val="Heading1"/>
        <w:spacing w:after="160" w:before="360"/>
      </w:pPr>
      <w:r>
        <w:rPr>
          <w:b/>
          <w:bCs/>
          <w:color w:val="1F3864"/>
          <w:sz w:val="26"/>
          <w:szCs w:val="26"/>
        </w:rPr>
        <w:t xml:space="preserve">4. Access Provisioning Principles</w:t>
      </w:r>
    </w:p>
    <w:p>
      <w:pPr>
        <w:pStyle w:val="ListParagraph"/>
        <w:numPr>
          <w:ilvl w:val="0"/>
          <w:numId w:val="2"/>
        </w:numPr>
        <w:spacing w:after="80"/>
      </w:pPr>
      <w:r>
        <w:rPr>
          <w:sz w:val="21"/>
          <w:szCs w:val="21"/>
        </w:rPr>
        <w:t xml:space="preserve">Least privilege: every service account is scoped to the minimum collections/topics/endpoints it needs — e.g., mongo-omnibridge-svc has no access to administrative operations, and mdm-kafka-consumer can only read its assigned topics, not publish.</w:t>
      </w:r>
    </w:p>
    <w:p>
      <w:pPr>
        <w:pStyle w:val="ListParagraph"/>
        <w:numPr>
          <w:ilvl w:val="0"/>
          <w:numId w:val="2"/>
        </w:numPr>
        <w:spacing w:after="80"/>
      </w:pPr>
      <w:r>
        <w:rPr>
          <w:sz w:val="21"/>
          <w:szCs w:val="21"/>
        </w:rPr>
        <w:t xml:space="preserve">Segregation of duties: the individual/team that can approve a change to production access is not the same individual/team that executes routine deployments.</w:t>
      </w:r>
    </w:p>
    <w:p>
      <w:pPr>
        <w:pStyle w:val="ListParagraph"/>
        <w:numPr>
          <w:ilvl w:val="0"/>
          <w:numId w:val="2"/>
        </w:numPr>
        <w:spacing w:after="80"/>
      </w:pPr>
      <w:r>
        <w:rPr>
          <w:sz w:val="21"/>
          <w:szCs w:val="21"/>
        </w:rPr>
        <w:t xml:space="preserve">No standing human access to production credentials: application service accounts are used exclusively by the application at runtime; human operators use time-boxed, MFA-gated break-glass access, not the service account's own credentials.</w:t>
      </w:r>
    </w:p>
    <w:p>
      <w:pPr>
        <w:pStyle w:val="ListParagraph"/>
        <w:numPr>
          <w:ilvl w:val="0"/>
          <w:numId w:val="2"/>
        </w:numPr>
        <w:spacing w:after="80"/>
      </w:pPr>
      <w:r>
        <w:rPr>
          <w:sz w:val="21"/>
          <w:szCs w:val="21"/>
        </w:rPr>
        <w:t xml:space="preserve">All privileged credentials (DB passwords, client certificates, OAuth secrets, HMAC secrets) are stored in a central secrets vault and injected at runtime — never committed to source control or hard-coded in configuration files.</w:t>
      </w:r>
    </w:p>
    <w:p>
      <w:pPr>
        <w:pStyle w:val="Heading1"/>
        <w:spacing w:after="160" w:before="360"/>
      </w:pPr>
      <w:r>
        <w:rPr>
          <w:b/>
          <w:bCs/>
          <w:color w:val="1F3864"/>
          <w:sz w:val="26"/>
          <w:szCs w:val="26"/>
        </w:rPr>
        <w:t xml:space="preserve">5. Access Request &amp; Approval Workflow</w:t>
      </w:r>
    </w:p>
    <w:p>
      <w:pPr>
        <w:pStyle w:val="ListParagraph"/>
        <w:numPr>
          <w:ilvl w:val="0"/>
          <w:numId w:val="3"/>
        </w:numPr>
        <w:spacing w:after="80"/>
      </w:pPr>
      <w:r>
        <w:rPr>
          <w:sz w:val="21"/>
          <w:szCs w:val="21"/>
        </w:rPr>
        <w:t xml:space="preserve">Requestor submits an access request specifying the account/credential, business justification, and duration (for human/break-glass access).</w:t>
      </w:r>
    </w:p>
    <w:p>
      <w:pPr>
        <w:pStyle w:val="ListParagraph"/>
        <w:numPr>
          <w:ilvl w:val="0"/>
          <w:numId w:val="3"/>
        </w:numPr>
        <w:spacing w:after="80"/>
      </w:pPr>
      <w:r>
        <w:rPr>
          <w:sz w:val="21"/>
          <w:szCs w:val="21"/>
        </w:rPr>
        <w:t xml:space="preserve">Request is approved by the Engagement Security Lead (IBM Consulting) and the Meridian IT Systems Owner — dual approval for any production-scoped access.</w:t>
      </w:r>
    </w:p>
    <w:p>
      <w:pPr>
        <w:pStyle w:val="ListParagraph"/>
        <w:numPr>
          <w:ilvl w:val="0"/>
          <w:numId w:val="3"/>
        </w:numPr>
        <w:spacing w:after="80"/>
      </w:pPr>
      <w:r>
        <w:rPr>
          <w:sz w:val="21"/>
          <w:szCs w:val="21"/>
        </w:rPr>
        <w:t xml:space="preserve">Approved access is provisioned via the vault/PAM tool, not manually shared credentials.</w:t>
      </w:r>
    </w:p>
    <w:p>
      <w:pPr>
        <w:pStyle w:val="ListParagraph"/>
        <w:numPr>
          <w:ilvl w:val="0"/>
          <w:numId w:val="3"/>
        </w:numPr>
        <w:spacing w:after="80"/>
      </w:pPr>
      <w:r>
        <w:rPr>
          <w:sz w:val="21"/>
          <w:szCs w:val="21"/>
        </w:rPr>
        <w:t xml:space="preserve">Time-boxed access automatically expires; standing service-account credentials are reviewed on the cadence defined in Section 7.</w:t>
      </w:r>
    </w:p>
    <w:p>
      <w:pPr>
        <w:pStyle w:val="Heading1"/>
        <w:spacing w:after="160" w:before="360"/>
      </w:pPr>
      <w:r>
        <w:rPr>
          <w:b/>
          <w:bCs/>
          <w:color w:val="1F3864"/>
          <w:sz w:val="26"/>
          <w:szCs w:val="26"/>
        </w:rPr>
        <w:t xml:space="preserve">6. Credential Rotation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3864" w:val="clear"/>
            <w:tcMar>
              <w:top w:type="dxa" w:w="100"/>
              <w:left w:type="dxa" w:w="120"/>
              <w:bottom w:type="dxa" w:w="100"/>
              <w:right w:type="dxa" w:w="120"/>
            </w:tcMar>
          </w:tcPr>
          <w:p>
            <w:r>
              <w:rPr>
                <w:b/>
                <w:bCs/>
                <w:color w:val="FFFFFF"/>
                <w:sz w:val="18"/>
                <w:szCs w:val="18"/>
              </w:rPr>
              <w:t xml:space="preserve">Credential Type</w:t>
            </w:r>
          </w:p>
        </w:tc>
        <w:tc>
          <w:tcPr>
            <w:tcW w:type="dxa" w:w="3200"/>
            <w:shd w:fill="1F3864" w:val="clear"/>
            <w:tcMar>
              <w:top w:type="dxa" w:w="100"/>
              <w:left w:type="dxa" w:w="120"/>
              <w:bottom w:type="dxa" w:w="100"/>
              <w:right w:type="dxa" w:w="120"/>
            </w:tcMar>
          </w:tcPr>
          <w:p>
            <w:r>
              <w:rPr>
                <w:b/>
                <w:bCs/>
                <w:color w:val="FFFFFF"/>
                <w:sz w:val="18"/>
                <w:szCs w:val="18"/>
              </w:rPr>
              <w:t xml:space="preserve">Rotation Cadence</w:t>
            </w:r>
          </w:p>
        </w:tc>
        <w:tc>
          <w:tcPr>
            <w:tcW w:type="dxa" w:w="2960"/>
            <w:shd w:fill="1F3864" w:val="clear"/>
            <w:tcMar>
              <w:top w:type="dxa" w:w="100"/>
              <w:left w:type="dxa" w:w="120"/>
              <w:bottom w:type="dxa" w:w="100"/>
              <w:right w:type="dxa" w:w="120"/>
            </w:tcMar>
          </w:tcPr>
          <w:p>
            <w:r>
              <w:rPr>
                <w:b/>
                <w:bCs/>
                <w:color w:val="FFFFFF"/>
                <w:sz w:val="18"/>
                <w:szCs w:val="18"/>
              </w:rPr>
              <w:t xml:space="preserve">Trigger for Out-of-Cycle Rotation</w:t>
            </w:r>
          </w:p>
        </w:tc>
      </w:tr>
      <w:tr>
        <w:tc>
          <w:tcPr>
            <w:tcW w:type="dxa" w:w="3200"/>
            <w:tcMar>
              <w:top w:type="dxa" w:w="100"/>
              <w:left w:type="dxa" w:w="120"/>
              <w:bottom w:type="dxa" w:w="100"/>
              <w:right w:type="dxa" w:w="120"/>
            </w:tcMar>
          </w:tcPr>
          <w:p>
            <w:r>
              <w:rPr>
                <w:b w:val="false"/>
                <w:bCs w:val="false"/>
                <w:sz w:val="18"/>
                <w:szCs w:val="18"/>
              </w:rPr>
              <w:t xml:space="preserve">Service account passwords / DB credentials</w:t>
            </w:r>
          </w:p>
        </w:tc>
        <w:tc>
          <w:tcPr>
            <w:tcW w:type="dxa" w:w="3200"/>
            <w:tcMar>
              <w:top w:type="dxa" w:w="100"/>
              <w:left w:type="dxa" w:w="120"/>
              <w:bottom w:type="dxa" w:w="100"/>
              <w:right w:type="dxa" w:w="120"/>
            </w:tcMar>
          </w:tcPr>
          <w:p>
            <w:r>
              <w:rPr>
                <w:b w:val="false"/>
                <w:bCs w:val="false"/>
                <w:sz w:val="18"/>
                <w:szCs w:val="18"/>
              </w:rPr>
              <w:t xml:space="preserve">90 days</w:t>
            </w:r>
          </w:p>
        </w:tc>
        <w:tc>
          <w:tcPr>
            <w:tcW w:type="dxa" w:w="2960"/>
            <w:tcMar>
              <w:top w:type="dxa" w:w="100"/>
              <w:left w:type="dxa" w:w="120"/>
              <w:bottom w:type="dxa" w:w="100"/>
              <w:right w:type="dxa" w:w="120"/>
            </w:tcMar>
          </w:tcPr>
          <w:p>
            <w:r>
              <w:rPr>
                <w:b w:val="false"/>
                <w:bCs w:val="false"/>
                <w:sz w:val="18"/>
                <w:szCs w:val="18"/>
              </w:rPr>
              <w:t xml:space="preserve">Personnel change with prior access; suspected exposure</w:t>
            </w:r>
          </w:p>
        </w:tc>
      </w:tr>
      <w:tr>
        <w:tc>
          <w:tcPr>
            <w:tcW w:type="dxa" w:w="3200"/>
            <w:shd w:fill="DCE6F1" w:val="clear"/>
            <w:tcMar>
              <w:top w:type="dxa" w:w="100"/>
              <w:left w:type="dxa" w:w="120"/>
              <w:bottom w:type="dxa" w:w="100"/>
              <w:right w:type="dxa" w:w="120"/>
            </w:tcMar>
          </w:tcPr>
          <w:p>
            <w:r>
              <w:rPr>
                <w:b w:val="false"/>
                <w:bCs w:val="false"/>
                <w:sz w:val="18"/>
                <w:szCs w:val="18"/>
              </w:rPr>
              <w:t xml:space="preserve">mTLS client certificates (Oracle Middleware)</w:t>
            </w:r>
          </w:p>
        </w:tc>
        <w:tc>
          <w:tcPr>
            <w:tcW w:type="dxa" w:w="3200"/>
            <w:shd w:fill="DCE6F1" w:val="clear"/>
            <w:tcMar>
              <w:top w:type="dxa" w:w="100"/>
              <w:left w:type="dxa" w:w="120"/>
              <w:bottom w:type="dxa" w:w="100"/>
              <w:right w:type="dxa" w:w="120"/>
            </w:tcMar>
          </w:tcPr>
          <w:p>
            <w:r>
              <w:rPr>
                <w:b w:val="false"/>
                <w:bCs w:val="false"/>
                <w:sz w:val="18"/>
                <w:szCs w:val="18"/>
              </w:rPr>
              <w:t xml:space="preserve">180 days (or certificate authority default)</w:t>
            </w:r>
          </w:p>
        </w:tc>
        <w:tc>
          <w:tcPr>
            <w:tcW w:type="dxa" w:w="2960"/>
            <w:shd w:fill="DCE6F1" w:val="clear"/>
            <w:tcMar>
              <w:top w:type="dxa" w:w="100"/>
              <w:left w:type="dxa" w:w="120"/>
              <w:bottom w:type="dxa" w:w="100"/>
              <w:right w:type="dxa" w:w="120"/>
            </w:tcMar>
          </w:tcPr>
          <w:p>
            <w:r>
              <w:rPr>
                <w:b w:val="false"/>
                <w:bCs w:val="false"/>
                <w:sz w:val="18"/>
                <w:szCs w:val="18"/>
              </w:rPr>
              <w:t xml:space="preserve">Certificate compromise; CA re-issuance requirement</w:t>
            </w:r>
          </w:p>
        </w:tc>
      </w:tr>
      <w:tr>
        <w:tc>
          <w:tcPr>
            <w:tcW w:type="dxa" w:w="3200"/>
            <w:tcMar>
              <w:top w:type="dxa" w:w="100"/>
              <w:left w:type="dxa" w:w="120"/>
              <w:bottom w:type="dxa" w:w="100"/>
              <w:right w:type="dxa" w:w="120"/>
            </w:tcMar>
          </w:tcPr>
          <w:p>
            <w:r>
              <w:rPr>
                <w:b w:val="false"/>
                <w:bCs w:val="false"/>
                <w:sz w:val="18"/>
                <w:szCs w:val="18"/>
              </w:rPr>
              <w:t xml:space="preserve">OAuth2 client secrets (MDM Hub)</w:t>
            </w:r>
          </w:p>
        </w:tc>
        <w:tc>
          <w:tcPr>
            <w:tcW w:type="dxa" w:w="3200"/>
            <w:tcMar>
              <w:top w:type="dxa" w:w="100"/>
              <w:left w:type="dxa" w:w="120"/>
              <w:bottom w:type="dxa" w:w="100"/>
              <w:right w:type="dxa" w:w="120"/>
            </w:tcMar>
          </w:tcPr>
          <w:p>
            <w:r>
              <w:rPr>
                <w:b w:val="false"/>
                <w:bCs w:val="false"/>
                <w:sz w:val="18"/>
                <w:szCs w:val="18"/>
              </w:rPr>
              <w:t xml:space="preserve">90 days</w:t>
            </w:r>
          </w:p>
        </w:tc>
        <w:tc>
          <w:tcPr>
            <w:tcW w:type="dxa" w:w="2960"/>
            <w:tcMar>
              <w:top w:type="dxa" w:w="100"/>
              <w:left w:type="dxa" w:w="120"/>
              <w:bottom w:type="dxa" w:w="100"/>
              <w:right w:type="dxa" w:w="120"/>
            </w:tcMar>
          </w:tcPr>
          <w:p>
            <w:r>
              <w:rPr>
                <w:b w:val="false"/>
                <w:bCs w:val="false"/>
                <w:sz w:val="18"/>
                <w:szCs w:val="18"/>
              </w:rPr>
              <w:t xml:space="preserve">Suspected exposure; MDM Hub-side security incident</w:t>
            </w:r>
          </w:p>
        </w:tc>
      </w:tr>
      <w:tr>
        <w:tc>
          <w:tcPr>
            <w:tcW w:type="dxa" w:w="3200"/>
            <w:shd w:fill="DCE6F1" w:val="clear"/>
            <w:tcMar>
              <w:top w:type="dxa" w:w="100"/>
              <w:left w:type="dxa" w:w="120"/>
              <w:bottom w:type="dxa" w:w="100"/>
              <w:right w:type="dxa" w:w="120"/>
            </w:tcMar>
          </w:tcPr>
          <w:p>
            <w:r>
              <w:rPr>
                <w:b w:val="false"/>
                <w:bCs w:val="false"/>
                <w:sz w:val="18"/>
                <w:szCs w:val="18"/>
              </w:rPr>
              <w:t xml:space="preserve">HMAC callback shared secret</w:t>
            </w:r>
          </w:p>
        </w:tc>
        <w:tc>
          <w:tcPr>
            <w:tcW w:type="dxa" w:w="3200"/>
            <w:shd w:fill="DCE6F1" w:val="clear"/>
            <w:tcMar>
              <w:top w:type="dxa" w:w="100"/>
              <w:left w:type="dxa" w:w="120"/>
              <w:bottom w:type="dxa" w:w="100"/>
              <w:right w:type="dxa" w:w="120"/>
            </w:tcMar>
          </w:tcPr>
          <w:p>
            <w:r>
              <w:rPr>
                <w:b w:val="false"/>
                <w:bCs w:val="false"/>
                <w:sz w:val="18"/>
                <w:szCs w:val="18"/>
              </w:rPr>
              <w:t xml:space="preserve">90 days</w:t>
            </w:r>
          </w:p>
        </w:tc>
        <w:tc>
          <w:tcPr>
            <w:tcW w:type="dxa" w:w="2960"/>
            <w:shd w:fill="DCE6F1" w:val="clear"/>
            <w:tcMar>
              <w:top w:type="dxa" w:w="100"/>
              <w:left w:type="dxa" w:w="120"/>
              <w:bottom w:type="dxa" w:w="100"/>
              <w:right w:type="dxa" w:w="120"/>
            </w:tcMar>
          </w:tcPr>
          <w:p>
            <w:r>
              <w:rPr>
                <w:b w:val="false"/>
                <w:bCs w:val="false"/>
                <w:sz w:val="18"/>
                <w:szCs w:val="18"/>
              </w:rPr>
              <w:t xml:space="preserve">Any anomaly detected in callback signature validation logs</w:t>
            </w:r>
          </w:p>
        </w:tc>
      </w:tr>
      <w:tr>
        <w:tc>
          <w:tcPr>
            <w:tcW w:type="dxa" w:w="3200"/>
            <w:tcMar>
              <w:top w:type="dxa" w:w="100"/>
              <w:left w:type="dxa" w:w="120"/>
              <w:bottom w:type="dxa" w:w="100"/>
              <w:right w:type="dxa" w:w="120"/>
            </w:tcMar>
          </w:tcPr>
          <w:p>
            <w:r>
              <w:rPr>
                <w:b w:val="false"/>
                <w:bCs w:val="false"/>
                <w:sz w:val="18"/>
                <w:szCs w:val="18"/>
              </w:rPr>
              <w:t xml:space="preserve">Human break-glass credentials</w:t>
            </w:r>
          </w:p>
        </w:tc>
        <w:tc>
          <w:tcPr>
            <w:tcW w:type="dxa" w:w="3200"/>
            <w:tcMar>
              <w:top w:type="dxa" w:w="100"/>
              <w:left w:type="dxa" w:w="120"/>
              <w:bottom w:type="dxa" w:w="100"/>
              <w:right w:type="dxa" w:w="120"/>
            </w:tcMar>
          </w:tcPr>
          <w:p>
            <w:r>
              <w:rPr>
                <w:b w:val="false"/>
                <w:bCs w:val="false"/>
                <w:sz w:val="18"/>
                <w:szCs w:val="18"/>
              </w:rPr>
              <w:t xml:space="preserve">Rotated after every use</w:t>
            </w:r>
          </w:p>
        </w:tc>
        <w:tc>
          <w:tcPr>
            <w:tcW w:type="dxa" w:w="2960"/>
            <w:tcMar>
              <w:top w:type="dxa" w:w="100"/>
              <w:left w:type="dxa" w:w="120"/>
              <w:bottom w:type="dxa" w:w="100"/>
              <w:right w:type="dxa" w:w="120"/>
            </w:tcMar>
          </w:tcPr>
          <w:p>
            <w:r>
              <w:rPr>
                <w:b w:val="false"/>
                <w:bCs w:val="false"/>
                <w:sz w:val="18"/>
                <w:szCs w:val="18"/>
              </w:rPr>
              <w:t xml:space="preserve">N/A — always rotated post-use</w:t>
            </w:r>
          </w:p>
        </w:tc>
      </w:tr>
    </w:tbl>
    <w:p>
      <w:pPr>
        <w:pStyle w:val="Heading1"/>
        <w:spacing w:after="160" w:before="360"/>
      </w:pPr>
      <w:r>
        <w:rPr>
          <w:b/>
          <w:bCs/>
          <w:color w:val="1F3864"/>
          <w:sz w:val="26"/>
          <w:szCs w:val="26"/>
        </w:rPr>
        <w:t xml:space="preserve">7. Monitoring, Audit &amp; Review</w:t>
      </w:r>
    </w:p>
    <w:p>
      <w:pPr>
        <w:pStyle w:val="ListParagraph"/>
        <w:numPr>
          <w:ilvl w:val="0"/>
          <w:numId w:val="2"/>
        </w:numPr>
        <w:spacing w:after="80"/>
      </w:pPr>
      <w:r>
        <w:rPr>
          <w:sz w:val="21"/>
          <w:szCs w:val="21"/>
        </w:rPr>
        <w:t xml:space="preserve">All privileged sessions (break-glass access, direct DB admin access) are logged with session recording where supported by the PAM tooling.</w:t>
      </w:r>
    </w:p>
    <w:p>
      <w:pPr>
        <w:pStyle w:val="ListParagraph"/>
        <w:numPr>
          <w:ilvl w:val="0"/>
          <w:numId w:val="2"/>
        </w:numPr>
        <w:spacing w:after="80"/>
      </w:pPr>
      <w:r>
        <w:rPr>
          <w:sz w:val="21"/>
          <w:szCs w:val="21"/>
        </w:rPr>
        <w:t xml:space="preserve">Service-account activity (calls to Oracle Middleware and the MDM Hub) is logged with correlation IDs, consistent with the logging approach defined in the LLD, enabling traceability of any privileged action back to a specific request.</w:t>
      </w:r>
    </w:p>
    <w:p>
      <w:pPr>
        <w:pStyle w:val="ListParagraph"/>
        <w:numPr>
          <w:ilvl w:val="0"/>
          <w:numId w:val="2"/>
        </w:numPr>
        <w:spacing w:after="80"/>
      </w:pPr>
      <w:r>
        <w:rPr>
          <w:sz w:val="21"/>
          <w:szCs w:val="21"/>
        </w:rPr>
        <w:t xml:space="preserve">A quarterly access review is conducted jointly by IBM Consulting's Engagement Security Lead and Meridian's IT Systems Owner to validate that provisioned access still matches least-privilege and business-need criteria; unused or over-scoped access is revoked.</w:t>
      </w:r>
    </w:p>
    <w:p>
      <w:pPr>
        <w:pStyle w:val="ListParagraph"/>
        <w:numPr>
          <w:ilvl w:val="0"/>
          <w:numId w:val="2"/>
        </w:numPr>
        <w:spacing w:after="80"/>
      </w:pPr>
      <w:r>
        <w:rPr>
          <w:sz w:val="21"/>
          <w:szCs w:val="21"/>
        </w:rPr>
        <w:t xml:space="preserve">All access-review findings and remediations are documented and retained for audit purposes.</w:t>
      </w:r>
    </w:p>
    <w:p>
      <w:pPr>
        <w:pStyle w:val="Heading1"/>
        <w:spacing w:after="160" w:before="360"/>
      </w:pPr>
      <w:r>
        <w:rPr>
          <w:b/>
          <w:bCs/>
          <w:color w:val="1F3864"/>
          <w:sz w:val="26"/>
          <w:szCs w:val="26"/>
        </w:rPr>
        <w:t xml:space="preserve">8. Emergency (Break-Glass) Access</w:t>
      </w:r>
    </w:p>
    <w:p>
      <w:pPr>
        <w:spacing w:after="160"/>
      </w:pPr>
      <w:r>
        <w:rPr>
          <w:sz w:val="21"/>
          <w:szCs w:val="21"/>
        </w:rPr>
        <w:t xml:space="preserve">In the event production access is required outside normal provisioning (e.g., a critical incident affecting order processing), a designated on-call engineer may invoke break-glass access via the PAM tool. This access is: time-boxed (default 4 hours, extendable with re-approval), fully session-logged, and automatically triggers a post-incident review and credential rotation. Break-glass usage is reported to the Engagement Security Lead within 24 hours regardless of incident outcome.</w:t>
      </w:r>
    </w:p>
    <w:p>
      <w:pPr>
        <w:pStyle w:val="Heading1"/>
        <w:spacing w:after="160" w:before="360"/>
      </w:pPr>
      <w:r>
        <w:rPr>
          <w:b/>
          <w:bCs/>
          <w:color w:val="1F3864"/>
          <w:sz w:val="26"/>
          <w:szCs w:val="26"/>
        </w:rPr>
        <w:t xml:space="preserve">9. DASC (Digital AppSec Champion) Considerations</w:t>
      </w:r>
    </w:p>
    <w:p>
      <w:pPr>
        <w:spacing w:after="160"/>
      </w:pPr>
      <w:r>
        <w:rPr>
          <w:sz w:val="21"/>
          <w:szCs w:val="21"/>
        </w:rPr>
        <w:t xml:space="preserve">As part of this engagement's security design review, the following privileged-access-specific risks were evaluated using the DASC methodology:</w:t>
      </w:r>
    </w:p>
    <w:p>
      <w:pPr>
        <w:pStyle w:val="ListParagraph"/>
        <w:numPr>
          <w:ilvl w:val="0"/>
          <w:numId w:val="2"/>
        </w:numPr>
        <w:spacing w:after="80"/>
      </w:pPr>
      <w:r>
        <w:rPr>
          <w:sz w:val="21"/>
          <w:szCs w:val="21"/>
        </w:rPr>
        <w:t xml:space="preserve">Whether the oic-outbound-client and mdm-rest-client service accounts are scoped narrowly enough that compromise of one cannot be used to pivot into unrelated systems or data.</w:t>
      </w:r>
    </w:p>
    <w:p>
      <w:pPr>
        <w:pStyle w:val="ListParagraph"/>
        <w:numPr>
          <w:ilvl w:val="0"/>
          <w:numId w:val="2"/>
        </w:numPr>
        <w:spacing w:after="80"/>
      </w:pPr>
      <w:r>
        <w:rPr>
          <w:sz w:val="21"/>
          <w:szCs w:val="21"/>
        </w:rPr>
        <w:t xml:space="preserve">Whether the HMAC-based callback authentication (Section 3, 3.5 in the LLD) is resistant to replay attacks, and whether the shared secret's exposure blast-radius is limited by its rotation cadence.</w:t>
      </w:r>
    </w:p>
    <w:p>
      <w:pPr>
        <w:pStyle w:val="ListParagraph"/>
        <w:numPr>
          <w:ilvl w:val="0"/>
          <w:numId w:val="2"/>
        </w:numPr>
        <w:spacing w:after="80"/>
      </w:pPr>
      <w:r>
        <w:rPr>
          <w:sz w:val="21"/>
          <w:szCs w:val="21"/>
        </w:rPr>
        <w:t xml:space="preserve">Whether break-glass access is sufficiently time-boxed and logged to prevent it from becoming a de facto standing-access path.</w:t>
      </w:r>
    </w:p>
    <w:p>
      <w:pPr>
        <w:pStyle w:val="ListParagraph"/>
        <w:numPr>
          <w:ilvl w:val="0"/>
          <w:numId w:val="2"/>
        </w:numPr>
        <w:spacing w:after="80"/>
      </w:pPr>
      <w:r>
        <w:rPr>
          <w:sz w:val="21"/>
          <w:szCs w:val="21"/>
        </w:rPr>
        <w:t xml:space="preserve">Whether secrets used by AI-assisted development tooling (e.g., IBM Bob, if granted any repository or environment access during delivery) are scoped read-only where possible and excluded from any content the tooling might surface, log, or reuse across engagements.</w:t>
      </w:r>
    </w:p>
    <w:p>
      <w:pPr>
        <w:spacing w:after="160"/>
      </w:pPr>
      <w:r>
        <w:rPr>
          <w:sz w:val="21"/>
          <w:szCs w:val="21"/>
        </w:rPr>
        <w:t xml:space="preserve">Findings and remediations from the DASC review are tracked separately in the DASC Security Review Summary for this engagement and referenced from the Solution Design Document (HLD/LLD).</w:t>
      </w:r>
    </w:p>
    <w:p>
      <w:pPr>
        <w:pStyle w:val="Heading1"/>
        <w:spacing w:after="160" w:before="360"/>
      </w:pPr>
      <w:r>
        <w:rPr>
          <w:b/>
          <w:bCs/>
          <w:color w:val="1F3864"/>
          <w:sz w:val="26"/>
          <w:szCs w:val="26"/>
        </w:rPr>
        <w:t xml:space="preserve">10.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100"/>
              <w:left w:type="dxa" w:w="120"/>
              <w:bottom w:type="dxa" w:w="100"/>
              <w:right w:type="dxa" w:w="120"/>
            </w:tcMar>
          </w:tcPr>
          <w:p>
            <w:r>
              <w:rPr>
                <w:b/>
                <w:bCs/>
                <w:color w:val="FFFFFF"/>
                <w:sz w:val="18"/>
                <w:szCs w:val="18"/>
              </w:rPr>
              <w:t xml:space="preserve">Role</w:t>
            </w:r>
          </w:p>
        </w:tc>
        <w:tc>
          <w:tcPr>
            <w:tcW w:type="dxa" w:w="6560"/>
            <w:shd w:fill="1F3864" w:val="clear"/>
            <w:tcMar>
              <w:top w:type="dxa" w:w="100"/>
              <w:left w:type="dxa" w:w="120"/>
              <w:bottom w:type="dxa" w:w="100"/>
              <w:right w:type="dxa" w:w="120"/>
            </w:tcMar>
          </w:tcPr>
          <w:p>
            <w:r>
              <w:rPr>
                <w:b/>
                <w:bCs/>
                <w:color w:val="FFFFFF"/>
                <w:sz w:val="18"/>
                <w:szCs w:val="18"/>
              </w:rPr>
              <w:t xml:space="preserve">Responsibility</w:t>
            </w:r>
          </w:p>
        </w:tc>
      </w:tr>
      <w:tr>
        <w:tc>
          <w:tcPr>
            <w:tcW w:type="dxa" w:w="2800"/>
            <w:tcMar>
              <w:top w:type="dxa" w:w="100"/>
              <w:left w:type="dxa" w:w="120"/>
              <w:bottom w:type="dxa" w:w="100"/>
              <w:right w:type="dxa" w:w="120"/>
            </w:tcMar>
          </w:tcPr>
          <w:p>
            <w:r>
              <w:rPr>
                <w:b w:val="false"/>
                <w:bCs w:val="false"/>
                <w:sz w:val="18"/>
                <w:szCs w:val="18"/>
              </w:rPr>
              <w:t xml:space="preserve">Engagement Security Lead (IBM Consulting)</w:t>
            </w:r>
          </w:p>
        </w:tc>
        <w:tc>
          <w:tcPr>
            <w:tcW w:type="dxa" w:w="6560"/>
            <w:tcMar>
              <w:top w:type="dxa" w:w="100"/>
              <w:left w:type="dxa" w:w="120"/>
              <w:bottom w:type="dxa" w:w="100"/>
              <w:right w:type="dxa" w:w="120"/>
            </w:tcMar>
          </w:tcPr>
          <w:p>
            <w:r>
              <w:rPr>
                <w:b w:val="false"/>
                <w:bCs w:val="false"/>
                <w:sz w:val="18"/>
                <w:szCs w:val="18"/>
              </w:rPr>
              <w:t xml:space="preserve">Owns this PAM Document; approves access requests jointly with Meridian; leads quarterly access reviews.</w:t>
            </w:r>
          </w:p>
        </w:tc>
      </w:tr>
      <w:tr>
        <w:tc>
          <w:tcPr>
            <w:tcW w:type="dxa" w:w="2800"/>
            <w:shd w:fill="DCE6F1" w:val="clear"/>
            <w:tcMar>
              <w:top w:type="dxa" w:w="100"/>
              <w:left w:type="dxa" w:w="120"/>
              <w:bottom w:type="dxa" w:w="100"/>
              <w:right w:type="dxa" w:w="120"/>
            </w:tcMar>
          </w:tcPr>
          <w:p>
            <w:r>
              <w:rPr>
                <w:b w:val="false"/>
                <w:bCs w:val="false"/>
                <w:sz w:val="18"/>
                <w:szCs w:val="18"/>
              </w:rPr>
              <w:t xml:space="preserve">Meridian IT Systems Owner</w:t>
            </w:r>
          </w:p>
        </w:tc>
        <w:tc>
          <w:tcPr>
            <w:tcW w:type="dxa" w:w="6560"/>
            <w:shd w:fill="DCE6F1" w:val="clear"/>
            <w:tcMar>
              <w:top w:type="dxa" w:w="100"/>
              <w:left w:type="dxa" w:w="120"/>
              <w:bottom w:type="dxa" w:w="100"/>
              <w:right w:type="dxa" w:w="120"/>
            </w:tcMar>
          </w:tcPr>
          <w:p>
            <w:r>
              <w:rPr>
                <w:b w:val="false"/>
                <w:bCs w:val="false"/>
                <w:sz w:val="18"/>
                <w:szCs w:val="18"/>
              </w:rPr>
              <w:t xml:space="preserve">Co-approves production access requests; owns the underlying vault/PAM tooling infrastructure.</w:t>
            </w:r>
          </w:p>
        </w:tc>
      </w:tr>
      <w:tr>
        <w:tc>
          <w:tcPr>
            <w:tcW w:type="dxa" w:w="2800"/>
            <w:tcMar>
              <w:top w:type="dxa" w:w="100"/>
              <w:left w:type="dxa" w:w="120"/>
              <w:bottom w:type="dxa" w:w="100"/>
              <w:right w:type="dxa" w:w="120"/>
            </w:tcMar>
          </w:tcPr>
          <w:p>
            <w:r>
              <w:rPr>
                <w:b w:val="false"/>
                <w:bCs w:val="false"/>
                <w:sz w:val="18"/>
                <w:szCs w:val="18"/>
              </w:rPr>
              <w:t xml:space="preserve">On-call Engineers</w:t>
            </w:r>
          </w:p>
        </w:tc>
        <w:tc>
          <w:tcPr>
            <w:tcW w:type="dxa" w:w="6560"/>
            <w:tcMar>
              <w:top w:type="dxa" w:w="100"/>
              <w:left w:type="dxa" w:w="120"/>
              <w:bottom w:type="dxa" w:w="100"/>
              <w:right w:type="dxa" w:w="120"/>
            </w:tcMar>
          </w:tcPr>
          <w:p>
            <w:r>
              <w:rPr>
                <w:b w:val="false"/>
                <w:bCs w:val="false"/>
                <w:sz w:val="18"/>
                <w:szCs w:val="18"/>
              </w:rPr>
              <w:t xml:space="preserve">Use break-glass access only per policy; responsible for prompt post-incident reporting.</w:t>
            </w:r>
          </w:p>
        </w:tc>
      </w:tr>
      <w:tr>
        <w:tc>
          <w:tcPr>
            <w:tcW w:type="dxa" w:w="2800"/>
            <w:shd w:fill="DCE6F1" w:val="clear"/>
            <w:tcMar>
              <w:top w:type="dxa" w:w="100"/>
              <w:left w:type="dxa" w:w="120"/>
              <w:bottom w:type="dxa" w:w="100"/>
              <w:right w:type="dxa" w:w="120"/>
            </w:tcMar>
          </w:tcPr>
          <w:p>
            <w:r>
              <w:rPr>
                <w:b w:val="false"/>
                <w:bCs w:val="false"/>
                <w:sz w:val="18"/>
                <w:szCs w:val="18"/>
              </w:rPr>
              <w:t xml:space="preserve">Delivery Team</w:t>
            </w:r>
          </w:p>
        </w:tc>
        <w:tc>
          <w:tcPr>
            <w:tcW w:type="dxa" w:w="6560"/>
            <w:shd w:fill="DCE6F1" w:val="clear"/>
            <w:tcMar>
              <w:top w:type="dxa" w:w="100"/>
              <w:left w:type="dxa" w:w="120"/>
              <w:bottom w:type="dxa" w:w="100"/>
              <w:right w:type="dxa" w:w="120"/>
            </w:tcMar>
          </w:tcPr>
          <w:p>
            <w:r>
              <w:rPr>
                <w:b w:val="false"/>
                <w:bCs w:val="false"/>
                <w:sz w:val="18"/>
                <w:szCs w:val="18"/>
              </w:rPr>
              <w:t xml:space="preserve">Uses only assigned, least-privilege credentials for development/test activity; never uses production service-account credentials directly.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PAM-OMNIBRIDGE-2026-001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OmniBridge — PAM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2026-07-10T12:22:38.621Z</dcterms:created>
  <dcterms:modified xsi:type="dcterms:W3CDTF">2026-07-10T12:22:38.621Z</dcterms:modified>
</cp:coreProperties>
</file>

<file path=docProps/custom.xml><?xml version="1.0" encoding="utf-8"?>
<Properties xmlns="http://schemas.openxmlformats.org/officeDocument/2006/custom-properties" xmlns:vt="http://schemas.openxmlformats.org/officeDocument/2006/docPropsVTypes"/>
</file>