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8"/>
          <w:szCs w:val="48"/>
        </w:rPr>
        <w:t xml:space="preserve">STATEMENT OF WORK</w:t>
      </w:r>
    </w:p>
    <w:p>
      <w:pPr>
        <w:spacing w:after="600" w:before="200"/>
        <w:jc w:val="center"/>
      </w:pPr>
      <w:r>
        <w:rPr>
          <w:color w:val="595959"/>
          <w:sz w:val="30"/>
          <w:szCs w:val="30"/>
        </w:rPr>
        <w:t xml:space="preserve">Omnichannel Inventory Intelligence Platform</w:t>
      </w:r>
    </w:p>
    <w:p>
      <w:pPr>
        <w:spacing w:after="80"/>
        <w:jc w:val="center"/>
      </w:pPr>
      <w:r>
        <w:rPr>
          <w:color w:val="595959"/>
          <w:sz w:val="21"/>
          <w:szCs w:val="21"/>
        </w:rPr>
        <w:t xml:space="preserve">Prepared for</w:t>
      </w:r>
    </w:p>
    <w:p>
      <w:pPr>
        <w:spacing w:after="320"/>
        <w:jc w:val="center"/>
      </w:pPr>
      <w:r>
        <w:rPr>
          <w:b/>
          <w:bCs/>
          <w:sz w:val="26"/>
          <w:szCs w:val="26"/>
        </w:rPr>
        <w:t xml:space="preserve">Meridian Retail Group</w:t>
      </w:r>
    </w:p>
    <w:p>
      <w:pPr>
        <w:spacing w:after="80"/>
        <w:jc w:val="center"/>
      </w:pPr>
      <w:r>
        <w:rPr>
          <w:color w:val="595959"/>
          <w:sz w:val="21"/>
          <w:szCs w:val="21"/>
        </w:rPr>
        <w:t xml:space="preserve">Prepared by</w:t>
      </w:r>
    </w:p>
    <w:p>
      <w:pPr>
        <w:spacing w:after="600"/>
        <w:jc w:val="center"/>
      </w:pPr>
      <w:r>
        <w:rPr>
          <w:b/>
          <w:bCs/>
          <w:sz w:val="26"/>
          <w:szCs w:val="26"/>
        </w:rPr>
        <w:t xml:space="preserve">Aurora Consulting Partners</w:t>
      </w:r>
    </w:p>
    <w:p>
      <w:pPr>
        <w:spacing w:after="40"/>
        <w:jc w:val="center"/>
      </w:pPr>
      <w:r>
        <w:rPr>
          <w:color w:val="595959"/>
          <w:sz w:val="18"/>
          <w:szCs w:val="18"/>
        </w:rPr>
        <w:t xml:space="preserve">Document Reference: SOW-MRG-2026-014</w:t>
      </w:r>
    </w:p>
    <w:p>
      <w:pPr>
        <w:spacing w:after="40"/>
        <w:jc w:val="center"/>
      </w:pPr>
      <w:r>
        <w:rPr>
          <w:color w:val="595959"/>
          <w:sz w:val="18"/>
          <w:szCs w:val="18"/>
        </w:rPr>
        <w:t xml:space="preserve">Version 1.0  |  Draft</w:t>
      </w:r>
    </w:p>
    <w:p>
      <w:pPr>
        <w:spacing w:after="1200"/>
        <w:jc w:val="center"/>
      </w:pPr>
      <w:r>
        <w:rPr>
          <w:color w:val="595959"/>
          <w:sz w:val="18"/>
          <w:szCs w:val="18"/>
        </w:rPr>
        <w:t xml:space="preserve">July 9, 2026</w:t>
      </w:r>
    </w:p>
    <w:p>
      <w:pPr>
        <w:jc w:val="center"/>
      </w:pPr>
      <w:r>
        <w:rPr>
          <w:i/>
          <w:iCs/>
          <w:color w:val="B00020"/>
          <w:sz w:val="16"/>
          <w:szCs w:val="16"/>
        </w:rPr>
        <w:t xml:space="preserve">SAMPLE / ILLUSTRATIVE DOCUMENT — FICTIONAL CLIENT AND FIGURES FOR DEMONSTRATION PURPOSES ONLY</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26"/>
          <w:szCs w:val="26"/>
        </w:rPr>
        <w:t xml:space="preserve">1. Executive Summary</w:t>
      </w:r>
    </w:p>
    <w:p>
      <w:pPr>
        <w:spacing w:after="160"/>
      </w:pPr>
      <w:r>
        <w:rPr>
          <w:sz w:val="21"/>
          <w:szCs w:val="21"/>
        </w:rPr>
        <w:t xml:space="preserve">Meridian Retail Group (“Meridian” or “Client”) operates 214 stores across North America alongside a growing e-commerce channel. Store and online inventory are currently managed in separate systems, resulting in stockouts, overselling, and manual reconciliation work across merchandising, fulfillment, and store operations teams.</w:t>
      </w:r>
    </w:p>
    <w:p>
      <w:pPr>
        <w:spacing w:after="160"/>
      </w:pPr>
      <w:r>
        <w:rPr>
          <w:sz w:val="21"/>
          <w:szCs w:val="21"/>
        </w:rPr>
        <w:t xml:space="preserve">Aurora Consulting Partners (“Aurora” or “Consulting Team”) will design, build, and deploy an Omnichannel Inventory Intelligence Platform that unifies store and e-commerce inventory data, introduces AI-assisted demand forecasting, and provides real-time visibility to merchandising and store teams. This Statement of Work (“SOW”) defines the scope, deliverables, timeline, roles, and commercial terms for this engagement, issued under the Master Services Agreement between the parties dated January 15, 2026.</w:t>
      </w:r>
    </w:p>
    <w:p>
      <w:pPr>
        <w:pStyle w:val="Heading1"/>
        <w:spacing w:after="160" w:before="360"/>
      </w:pPr>
      <w:r>
        <w:rPr>
          <w:b/>
          <w:bCs/>
          <w:color w:val="1F3864"/>
          <w:sz w:val="26"/>
          <w:szCs w:val="26"/>
        </w:rPr>
        <w:t xml:space="preserve">2. Business Objectives</w:t>
      </w:r>
    </w:p>
    <w:p>
      <w:pPr>
        <w:pStyle w:val="ListParagraph"/>
        <w:numPr>
          <w:ilvl w:val="0"/>
          <w:numId w:val="2"/>
        </w:numPr>
        <w:spacing w:after="80"/>
      </w:pPr>
      <w:r>
        <w:rPr>
          <w:sz w:val="21"/>
          <w:szCs w:val="21"/>
        </w:rPr>
        <w:t xml:space="preserve">Reduce stockout-driven lost sales by providing real-time, unified inventory visibility across all channels.</w:t>
      </w:r>
    </w:p>
    <w:p>
      <w:pPr>
        <w:pStyle w:val="ListParagraph"/>
        <w:numPr>
          <w:ilvl w:val="0"/>
          <w:numId w:val="2"/>
        </w:numPr>
        <w:spacing w:after="80"/>
      </w:pPr>
      <w:r>
        <w:rPr>
          <w:sz w:val="21"/>
          <w:szCs w:val="21"/>
        </w:rPr>
        <w:t xml:space="preserve">Cut manual inventory reconciliation effort in store operations by at least 60%.</w:t>
      </w:r>
    </w:p>
    <w:p>
      <w:pPr>
        <w:pStyle w:val="ListParagraph"/>
        <w:numPr>
          <w:ilvl w:val="0"/>
          <w:numId w:val="2"/>
        </w:numPr>
        <w:spacing w:after="80"/>
      </w:pPr>
      <w:r>
        <w:rPr>
          <w:sz w:val="21"/>
          <w:szCs w:val="21"/>
        </w:rPr>
        <w:t xml:space="preserve">Improve demand forecast accuracy for top 500 SKUs using AI-assisted forecasting models.</w:t>
      </w:r>
    </w:p>
    <w:p>
      <w:pPr>
        <w:pStyle w:val="ListParagraph"/>
        <w:numPr>
          <w:ilvl w:val="0"/>
          <w:numId w:val="2"/>
        </w:numPr>
        <w:spacing w:after="80"/>
      </w:pPr>
      <w:r>
        <w:rPr>
          <w:sz w:val="21"/>
          <w:szCs w:val="21"/>
        </w:rPr>
        <w:t xml:space="preserve">Establish a reusable data and integration foundation to support future omnichannel initiatives (e.g., ship-from-store, buy-online-pickup-in-store expansion).</w:t>
      </w:r>
    </w:p>
    <w:p>
      <w:pPr>
        <w:pStyle w:val="Heading1"/>
        <w:spacing w:after="160" w:before="360"/>
      </w:pPr>
      <w:r>
        <w:rPr>
          <w:b/>
          <w:bCs/>
          <w:color w:val="1F3864"/>
          <w:sz w:val="26"/>
          <w:szCs w:val="26"/>
        </w:rPr>
        <w:t xml:space="preserve">3. Scope of Work</w:t>
      </w:r>
    </w:p>
    <w:p>
      <w:pPr>
        <w:pStyle w:val="Heading2"/>
        <w:spacing w:after="120" w:before="240"/>
      </w:pPr>
      <w:r>
        <w:rPr>
          <w:b/>
          <w:bCs/>
          <w:color w:val="1F3864"/>
          <w:sz w:val="22"/>
          <w:szCs w:val="22"/>
        </w:rPr>
        <w:t xml:space="preserve">3.1 In Scope</w:t>
      </w:r>
    </w:p>
    <w:p>
      <w:pPr>
        <w:pStyle w:val="ListParagraph"/>
        <w:numPr>
          <w:ilvl w:val="0"/>
          <w:numId w:val="2"/>
        </w:numPr>
        <w:spacing w:after="80"/>
      </w:pPr>
      <w:r>
        <w:rPr>
          <w:sz w:val="21"/>
          <w:szCs w:val="21"/>
        </w:rPr>
        <w:t xml:space="preserve">Discovery and current-state assessment of existing POS, warehouse management, and e-commerce inventory systems.</w:t>
      </w:r>
    </w:p>
    <w:p>
      <w:pPr>
        <w:pStyle w:val="ListParagraph"/>
        <w:numPr>
          <w:ilvl w:val="0"/>
          <w:numId w:val="2"/>
        </w:numPr>
        <w:spacing w:after="80"/>
      </w:pPr>
      <w:r>
        <w:rPr>
          <w:sz w:val="21"/>
          <w:szCs w:val="21"/>
        </w:rPr>
        <w:t xml:space="preserve">Design and implementation of a unified inventory data layer integrating store POS, warehouse management system (WMS), and e-commerce platform.</w:t>
      </w:r>
    </w:p>
    <w:p>
      <w:pPr>
        <w:pStyle w:val="ListParagraph"/>
        <w:numPr>
          <w:ilvl w:val="0"/>
          <w:numId w:val="2"/>
        </w:numPr>
        <w:spacing w:after="80"/>
      </w:pPr>
      <w:r>
        <w:rPr>
          <w:sz w:val="21"/>
          <w:szCs w:val="21"/>
        </w:rPr>
        <w:t xml:space="preserve">AI-assisted demand forecasting module covering the top 500 SKUs by revenue.</w:t>
      </w:r>
    </w:p>
    <w:p>
      <w:pPr>
        <w:pStyle w:val="ListParagraph"/>
        <w:numPr>
          <w:ilvl w:val="0"/>
          <w:numId w:val="2"/>
        </w:numPr>
        <w:spacing w:after="80"/>
      </w:pPr>
      <w:r>
        <w:rPr>
          <w:sz w:val="21"/>
          <w:szCs w:val="21"/>
        </w:rPr>
        <w:t xml:space="preserve">Real-time inventory dashboard for merchandising, store operations, and fulfillment teams.</w:t>
      </w:r>
    </w:p>
    <w:p>
      <w:pPr>
        <w:pStyle w:val="ListParagraph"/>
        <w:numPr>
          <w:ilvl w:val="0"/>
          <w:numId w:val="2"/>
        </w:numPr>
        <w:spacing w:after="80"/>
      </w:pPr>
      <w:r>
        <w:rPr>
          <w:sz w:val="21"/>
          <w:szCs w:val="21"/>
        </w:rPr>
        <w:t xml:space="preserve">Integration with existing store replenishment workflows.</w:t>
      </w:r>
    </w:p>
    <w:p>
      <w:pPr>
        <w:pStyle w:val="ListParagraph"/>
        <w:numPr>
          <w:ilvl w:val="0"/>
          <w:numId w:val="2"/>
        </w:numPr>
        <w:spacing w:after="80"/>
      </w:pPr>
      <w:r>
        <w:rPr>
          <w:sz w:val="21"/>
          <w:szCs w:val="21"/>
        </w:rPr>
        <w:t xml:space="preserve">User acceptance testing (UAT) support and defect resolution.</w:t>
      </w:r>
    </w:p>
    <w:p>
      <w:pPr>
        <w:pStyle w:val="ListParagraph"/>
        <w:numPr>
          <w:ilvl w:val="0"/>
          <w:numId w:val="2"/>
        </w:numPr>
        <w:spacing w:after="80"/>
      </w:pPr>
      <w:r>
        <w:rPr>
          <w:sz w:val="21"/>
          <w:szCs w:val="21"/>
        </w:rPr>
        <w:t xml:space="preserve">Knowledge transfer and documentation for Meridian's internal IT team.</w:t>
      </w:r>
    </w:p>
    <w:p>
      <w:pPr>
        <w:pStyle w:val="Heading2"/>
        <w:spacing w:after="120" w:before="240"/>
      </w:pPr>
      <w:r>
        <w:rPr>
          <w:b/>
          <w:bCs/>
          <w:color w:val="1F3864"/>
          <w:sz w:val="22"/>
          <w:szCs w:val="22"/>
        </w:rPr>
        <w:t xml:space="preserve">3.2 Out of Scope</w:t>
      </w:r>
    </w:p>
    <w:p>
      <w:pPr>
        <w:pStyle w:val="ListParagraph"/>
        <w:numPr>
          <w:ilvl w:val="0"/>
          <w:numId w:val="2"/>
        </w:numPr>
        <w:spacing w:after="80"/>
      </w:pPr>
      <w:r>
        <w:rPr>
          <w:sz w:val="21"/>
          <w:szCs w:val="21"/>
        </w:rPr>
        <w:t xml:space="preserve">Physical hardware procurement or installation (e.g., in-store scanners, RFID tags).</w:t>
      </w:r>
    </w:p>
    <w:p>
      <w:pPr>
        <w:pStyle w:val="ListParagraph"/>
        <w:numPr>
          <w:ilvl w:val="0"/>
          <w:numId w:val="2"/>
        </w:numPr>
        <w:spacing w:after="80"/>
      </w:pPr>
      <w:r>
        <w:rPr>
          <w:sz w:val="21"/>
          <w:szCs w:val="21"/>
        </w:rPr>
        <w:t xml:space="preserve">Changes to Meridian's point-of-sale (POS) software beyond required integration endpoints.</w:t>
      </w:r>
    </w:p>
    <w:p>
      <w:pPr>
        <w:pStyle w:val="ListParagraph"/>
        <w:numPr>
          <w:ilvl w:val="0"/>
          <w:numId w:val="2"/>
        </w:numPr>
        <w:spacing w:after="80"/>
      </w:pPr>
      <w:r>
        <w:rPr>
          <w:sz w:val="21"/>
          <w:szCs w:val="21"/>
        </w:rPr>
        <w:t xml:space="preserve">Support for international store locations outside North America.</w:t>
      </w:r>
    </w:p>
    <w:p>
      <w:pPr>
        <w:pStyle w:val="ListParagraph"/>
        <w:numPr>
          <w:ilvl w:val="0"/>
          <w:numId w:val="2"/>
        </w:numPr>
        <w:spacing w:after="80"/>
      </w:pPr>
      <w:r>
        <w:rPr>
          <w:sz w:val="21"/>
          <w:szCs w:val="21"/>
        </w:rPr>
        <w:t xml:space="preserve">Post-go-live managed services beyond the 30-day hypercare period defined in Section 6.</w:t>
      </w:r>
    </w:p>
    <w:p>
      <w:pPr>
        <w:pStyle w:val="Heading1"/>
        <w:spacing w:after="160" w:before="360"/>
      </w:pPr>
      <w:r>
        <w:rPr>
          <w:b/>
          <w:bCs/>
          <w:color w:val="1F3864"/>
          <w:sz w:val="26"/>
          <w:szCs w:val="26"/>
        </w:rPr>
        <w:t xml:space="preserve">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8"/>
        <w:gridCol w:w="2797"/>
        <w:gridCol w:w="4519"/>
        <w:gridCol w:w="1506"/>
      </w:tblGrid>
      <w:tr>
        <w:trPr>
          <w:tblHeader/>
        </w:trPr>
        <w:tc>
          <w:tcPr>
            <w:tcW w:type="dxa" w:w="538"/>
            <w:shd w:fill="1F3864" w:val="clear"/>
            <w:tcMar>
              <w:top w:type="dxa" w:w="100"/>
              <w:left w:type="dxa" w:w="120"/>
              <w:bottom w:type="dxa" w:w="100"/>
              <w:right w:type="dxa" w:w="120"/>
            </w:tcMar>
          </w:tcPr>
          <w:p>
            <w:r>
              <w:rPr>
                <w:b/>
                <w:bCs/>
                <w:color w:val="FFFFFF"/>
                <w:sz w:val="19"/>
                <w:szCs w:val="19"/>
              </w:rPr>
              <w:t xml:space="preserve">#</w:t>
            </w:r>
          </w:p>
        </w:tc>
        <w:tc>
          <w:tcPr>
            <w:tcW w:type="dxa" w:w="2797"/>
            <w:shd w:fill="1F3864" w:val="clear"/>
            <w:tcMar>
              <w:top w:type="dxa" w:w="100"/>
              <w:left w:type="dxa" w:w="120"/>
              <w:bottom w:type="dxa" w:w="100"/>
              <w:right w:type="dxa" w:w="120"/>
            </w:tcMar>
          </w:tcPr>
          <w:p>
            <w:r>
              <w:rPr>
                <w:b/>
                <w:bCs/>
                <w:color w:val="FFFFFF"/>
                <w:sz w:val="19"/>
                <w:szCs w:val="19"/>
              </w:rPr>
              <w:t xml:space="preserve">Deliverable</w:t>
            </w:r>
          </w:p>
        </w:tc>
        <w:tc>
          <w:tcPr>
            <w:tcW w:type="dxa" w:w="4519"/>
            <w:shd w:fill="1F3864" w:val="clear"/>
            <w:tcMar>
              <w:top w:type="dxa" w:w="100"/>
              <w:left w:type="dxa" w:w="120"/>
              <w:bottom w:type="dxa" w:w="100"/>
              <w:right w:type="dxa" w:w="120"/>
            </w:tcMar>
          </w:tcPr>
          <w:p>
            <w:r>
              <w:rPr>
                <w:b/>
                <w:bCs/>
                <w:color w:val="FFFFFF"/>
                <w:sz w:val="19"/>
                <w:szCs w:val="19"/>
              </w:rPr>
              <w:t xml:space="preserve">Description</w:t>
            </w:r>
          </w:p>
        </w:tc>
        <w:tc>
          <w:tcPr>
            <w:tcW w:type="dxa" w:w="1506"/>
            <w:shd w:fill="1F3864" w:val="clear"/>
            <w:tcMar>
              <w:top w:type="dxa" w:w="100"/>
              <w:left w:type="dxa" w:w="120"/>
              <w:bottom w:type="dxa" w:w="100"/>
              <w:right w:type="dxa" w:w="120"/>
            </w:tcMar>
          </w:tcPr>
          <w:p>
            <w:r>
              <w:rPr>
                <w:b/>
                <w:bCs/>
                <w:color w:val="FFFFFF"/>
                <w:sz w:val="19"/>
                <w:szCs w:val="19"/>
              </w:rPr>
              <w:t xml:space="preserve">Format</w:t>
            </w:r>
          </w:p>
        </w:tc>
      </w:tr>
      <w:tr>
        <w:tc>
          <w:tcPr>
            <w:tcW w:type="dxa" w:w="538"/>
            <w:tcMar>
              <w:top w:type="dxa" w:w="100"/>
              <w:left w:type="dxa" w:w="120"/>
              <w:bottom w:type="dxa" w:w="100"/>
              <w:right w:type="dxa" w:w="120"/>
            </w:tcMar>
          </w:tcPr>
          <w:p>
            <w:r>
              <w:rPr>
                <w:b w:val="false"/>
                <w:bCs w:val="false"/>
                <w:sz w:val="19"/>
                <w:szCs w:val="19"/>
              </w:rPr>
              <w:t xml:space="preserve">D1</w:t>
            </w:r>
          </w:p>
        </w:tc>
        <w:tc>
          <w:tcPr>
            <w:tcW w:type="dxa" w:w="2797"/>
            <w:tcMar>
              <w:top w:type="dxa" w:w="100"/>
              <w:left w:type="dxa" w:w="120"/>
              <w:bottom w:type="dxa" w:w="100"/>
              <w:right w:type="dxa" w:w="120"/>
            </w:tcMar>
          </w:tcPr>
          <w:p>
            <w:r>
              <w:rPr>
                <w:b w:val="false"/>
                <w:bCs w:val="false"/>
                <w:sz w:val="19"/>
                <w:szCs w:val="19"/>
              </w:rPr>
              <w:t xml:space="preserve">Current-State Assessment Report</w:t>
            </w:r>
          </w:p>
        </w:tc>
        <w:tc>
          <w:tcPr>
            <w:tcW w:type="dxa" w:w="4519"/>
            <w:tcMar>
              <w:top w:type="dxa" w:w="100"/>
              <w:left w:type="dxa" w:w="120"/>
              <w:bottom w:type="dxa" w:w="100"/>
              <w:right w:type="dxa" w:w="120"/>
            </w:tcMar>
          </w:tcPr>
          <w:p>
            <w:r>
              <w:rPr>
                <w:b w:val="false"/>
                <w:bCs w:val="false"/>
                <w:sz w:val="19"/>
                <w:szCs w:val="19"/>
              </w:rPr>
              <w:t xml:space="preserve">Findings from discovery, including system inventory, data quality gaps, and integration risks.</w:t>
            </w:r>
          </w:p>
        </w:tc>
        <w:tc>
          <w:tcPr>
            <w:tcW w:type="dxa" w:w="1506"/>
            <w:tcMar>
              <w:top w:type="dxa" w:w="100"/>
              <w:left w:type="dxa" w:w="120"/>
              <w:bottom w:type="dxa" w:w="100"/>
              <w:right w:type="dxa" w:w="120"/>
            </w:tcMar>
          </w:tcPr>
          <w:p>
            <w:r>
              <w:rPr>
                <w:b w:val="false"/>
                <w:bCs w:val="false"/>
                <w:sz w:val="19"/>
                <w:szCs w:val="19"/>
              </w:rPr>
              <w:t xml:space="preserve">Document</w:t>
            </w:r>
          </w:p>
        </w:tc>
      </w:tr>
      <w:tr>
        <w:tc>
          <w:tcPr>
            <w:tcW w:type="dxa" w:w="538"/>
            <w:shd w:fill="DCE6F1" w:val="clear"/>
            <w:tcMar>
              <w:top w:type="dxa" w:w="100"/>
              <w:left w:type="dxa" w:w="120"/>
              <w:bottom w:type="dxa" w:w="100"/>
              <w:right w:type="dxa" w:w="120"/>
            </w:tcMar>
          </w:tcPr>
          <w:p>
            <w:r>
              <w:rPr>
                <w:b w:val="false"/>
                <w:bCs w:val="false"/>
                <w:sz w:val="19"/>
                <w:szCs w:val="19"/>
              </w:rPr>
              <w:t xml:space="preserve">D2</w:t>
            </w:r>
          </w:p>
        </w:tc>
        <w:tc>
          <w:tcPr>
            <w:tcW w:type="dxa" w:w="2797"/>
            <w:shd w:fill="DCE6F1" w:val="clear"/>
            <w:tcMar>
              <w:top w:type="dxa" w:w="100"/>
              <w:left w:type="dxa" w:w="120"/>
              <w:bottom w:type="dxa" w:w="100"/>
              <w:right w:type="dxa" w:w="120"/>
            </w:tcMar>
          </w:tcPr>
          <w:p>
            <w:r>
              <w:rPr>
                <w:b w:val="false"/>
                <w:bCs w:val="false"/>
                <w:sz w:val="19"/>
                <w:szCs w:val="19"/>
              </w:rPr>
              <w:t xml:space="preserve">Solution Design Document</w:t>
            </w:r>
          </w:p>
        </w:tc>
        <w:tc>
          <w:tcPr>
            <w:tcW w:type="dxa" w:w="4519"/>
            <w:shd w:fill="DCE6F1" w:val="clear"/>
            <w:tcMar>
              <w:top w:type="dxa" w:w="100"/>
              <w:left w:type="dxa" w:w="120"/>
              <w:bottom w:type="dxa" w:w="100"/>
              <w:right w:type="dxa" w:w="120"/>
            </w:tcMar>
          </w:tcPr>
          <w:p>
            <w:r>
              <w:rPr>
                <w:b w:val="false"/>
                <w:bCs w:val="false"/>
                <w:sz w:val="19"/>
                <w:szCs w:val="19"/>
              </w:rPr>
              <w:t xml:space="preserve">Target architecture, data model, integration design, and forecasting model approach.</w:t>
            </w:r>
          </w:p>
        </w:tc>
        <w:tc>
          <w:tcPr>
            <w:tcW w:type="dxa" w:w="1506"/>
            <w:shd w:fill="DCE6F1" w:val="clear"/>
            <w:tcMar>
              <w:top w:type="dxa" w:w="100"/>
              <w:left w:type="dxa" w:w="120"/>
              <w:bottom w:type="dxa" w:w="100"/>
              <w:right w:type="dxa" w:w="120"/>
            </w:tcMar>
          </w:tcPr>
          <w:p>
            <w:r>
              <w:rPr>
                <w:b w:val="false"/>
                <w:bCs w:val="false"/>
                <w:sz w:val="19"/>
                <w:szCs w:val="19"/>
              </w:rPr>
              <w:t xml:space="preserve">Document</w:t>
            </w:r>
          </w:p>
        </w:tc>
      </w:tr>
      <w:tr>
        <w:tc>
          <w:tcPr>
            <w:tcW w:type="dxa" w:w="538"/>
            <w:tcMar>
              <w:top w:type="dxa" w:w="100"/>
              <w:left w:type="dxa" w:w="120"/>
              <w:bottom w:type="dxa" w:w="100"/>
              <w:right w:type="dxa" w:w="120"/>
            </w:tcMar>
          </w:tcPr>
          <w:p>
            <w:r>
              <w:rPr>
                <w:b w:val="false"/>
                <w:bCs w:val="false"/>
                <w:sz w:val="19"/>
                <w:szCs w:val="19"/>
              </w:rPr>
              <w:t xml:space="preserve">D3</w:t>
            </w:r>
          </w:p>
        </w:tc>
        <w:tc>
          <w:tcPr>
            <w:tcW w:type="dxa" w:w="2797"/>
            <w:tcMar>
              <w:top w:type="dxa" w:w="100"/>
              <w:left w:type="dxa" w:w="120"/>
              <w:bottom w:type="dxa" w:w="100"/>
              <w:right w:type="dxa" w:w="120"/>
            </w:tcMar>
          </w:tcPr>
          <w:p>
            <w:r>
              <w:rPr>
                <w:b w:val="false"/>
                <w:bCs w:val="false"/>
                <w:sz w:val="19"/>
                <w:szCs w:val="19"/>
              </w:rPr>
              <w:t xml:space="preserve">Unified Inventory Data Layer</w:t>
            </w:r>
          </w:p>
        </w:tc>
        <w:tc>
          <w:tcPr>
            <w:tcW w:type="dxa" w:w="4519"/>
            <w:tcMar>
              <w:top w:type="dxa" w:w="100"/>
              <w:left w:type="dxa" w:w="120"/>
              <w:bottom w:type="dxa" w:w="100"/>
              <w:right w:type="dxa" w:w="120"/>
            </w:tcMar>
          </w:tcPr>
          <w:p>
            <w:r>
              <w:rPr>
                <w:b w:val="false"/>
                <w:bCs w:val="false"/>
                <w:sz w:val="19"/>
                <w:szCs w:val="19"/>
              </w:rPr>
              <w:t xml:space="preserve">Configured and deployed integration between POS, WMS, and e-commerce platform.</w:t>
            </w:r>
          </w:p>
        </w:tc>
        <w:tc>
          <w:tcPr>
            <w:tcW w:type="dxa" w:w="1506"/>
            <w:tcMar>
              <w:top w:type="dxa" w:w="100"/>
              <w:left w:type="dxa" w:w="120"/>
              <w:bottom w:type="dxa" w:w="100"/>
              <w:right w:type="dxa" w:w="120"/>
            </w:tcMar>
          </w:tcPr>
          <w:p>
            <w:r>
              <w:rPr>
                <w:b w:val="false"/>
                <w:bCs w:val="false"/>
                <w:sz w:val="19"/>
                <w:szCs w:val="19"/>
              </w:rPr>
              <w:t xml:space="preserve">Software</w:t>
            </w:r>
          </w:p>
        </w:tc>
      </w:tr>
      <w:tr>
        <w:tc>
          <w:tcPr>
            <w:tcW w:type="dxa" w:w="538"/>
            <w:shd w:fill="DCE6F1" w:val="clear"/>
            <w:tcMar>
              <w:top w:type="dxa" w:w="100"/>
              <w:left w:type="dxa" w:w="120"/>
              <w:bottom w:type="dxa" w:w="100"/>
              <w:right w:type="dxa" w:w="120"/>
            </w:tcMar>
          </w:tcPr>
          <w:p>
            <w:r>
              <w:rPr>
                <w:b w:val="false"/>
                <w:bCs w:val="false"/>
                <w:sz w:val="19"/>
                <w:szCs w:val="19"/>
              </w:rPr>
              <w:t xml:space="preserve">D4</w:t>
            </w:r>
          </w:p>
        </w:tc>
        <w:tc>
          <w:tcPr>
            <w:tcW w:type="dxa" w:w="2797"/>
            <w:shd w:fill="DCE6F1" w:val="clear"/>
            <w:tcMar>
              <w:top w:type="dxa" w:w="100"/>
              <w:left w:type="dxa" w:w="120"/>
              <w:bottom w:type="dxa" w:w="100"/>
              <w:right w:type="dxa" w:w="120"/>
            </w:tcMar>
          </w:tcPr>
          <w:p>
            <w:r>
              <w:rPr>
                <w:b w:val="false"/>
                <w:bCs w:val="false"/>
                <w:sz w:val="19"/>
                <w:szCs w:val="19"/>
              </w:rPr>
              <w:t xml:space="preserve">AI Demand Forecasting Module</w:t>
            </w:r>
          </w:p>
        </w:tc>
        <w:tc>
          <w:tcPr>
            <w:tcW w:type="dxa" w:w="4519"/>
            <w:shd w:fill="DCE6F1" w:val="clear"/>
            <w:tcMar>
              <w:top w:type="dxa" w:w="100"/>
              <w:left w:type="dxa" w:w="120"/>
              <w:bottom w:type="dxa" w:w="100"/>
              <w:right w:type="dxa" w:w="120"/>
            </w:tcMar>
          </w:tcPr>
          <w:p>
            <w:r>
              <w:rPr>
                <w:b w:val="false"/>
                <w:bCs w:val="false"/>
                <w:sz w:val="19"/>
                <w:szCs w:val="19"/>
              </w:rPr>
              <w:t xml:space="preserve">Trained and validated forecasting model for top 500 SKUs, with retraining pipeline.</w:t>
            </w:r>
          </w:p>
        </w:tc>
        <w:tc>
          <w:tcPr>
            <w:tcW w:type="dxa" w:w="1506"/>
            <w:shd w:fill="DCE6F1" w:val="clear"/>
            <w:tcMar>
              <w:top w:type="dxa" w:w="100"/>
              <w:left w:type="dxa" w:w="120"/>
              <w:bottom w:type="dxa" w:w="100"/>
              <w:right w:type="dxa" w:w="120"/>
            </w:tcMar>
          </w:tcPr>
          <w:p>
            <w:r>
              <w:rPr>
                <w:b w:val="false"/>
                <w:bCs w:val="false"/>
                <w:sz w:val="19"/>
                <w:szCs w:val="19"/>
              </w:rPr>
              <w:t xml:space="preserve">Software</w:t>
            </w:r>
          </w:p>
        </w:tc>
      </w:tr>
      <w:tr>
        <w:tc>
          <w:tcPr>
            <w:tcW w:type="dxa" w:w="538"/>
            <w:tcMar>
              <w:top w:type="dxa" w:w="100"/>
              <w:left w:type="dxa" w:w="120"/>
              <w:bottom w:type="dxa" w:w="100"/>
              <w:right w:type="dxa" w:w="120"/>
            </w:tcMar>
          </w:tcPr>
          <w:p>
            <w:r>
              <w:rPr>
                <w:b w:val="false"/>
                <w:bCs w:val="false"/>
                <w:sz w:val="19"/>
                <w:szCs w:val="19"/>
              </w:rPr>
              <w:t xml:space="preserve">D5</w:t>
            </w:r>
          </w:p>
        </w:tc>
        <w:tc>
          <w:tcPr>
            <w:tcW w:type="dxa" w:w="2797"/>
            <w:tcMar>
              <w:top w:type="dxa" w:w="100"/>
              <w:left w:type="dxa" w:w="120"/>
              <w:bottom w:type="dxa" w:w="100"/>
              <w:right w:type="dxa" w:w="120"/>
            </w:tcMar>
          </w:tcPr>
          <w:p>
            <w:r>
              <w:rPr>
                <w:b w:val="false"/>
                <w:bCs w:val="false"/>
                <w:sz w:val="19"/>
                <w:szCs w:val="19"/>
              </w:rPr>
              <w:t xml:space="preserve">Inventory Visibility Dashboard</w:t>
            </w:r>
          </w:p>
        </w:tc>
        <w:tc>
          <w:tcPr>
            <w:tcW w:type="dxa" w:w="4519"/>
            <w:tcMar>
              <w:top w:type="dxa" w:w="100"/>
              <w:left w:type="dxa" w:w="120"/>
              <w:bottom w:type="dxa" w:w="100"/>
              <w:right w:type="dxa" w:w="120"/>
            </w:tcMar>
          </w:tcPr>
          <w:p>
            <w:r>
              <w:rPr>
                <w:b w:val="false"/>
                <w:bCs w:val="false"/>
                <w:sz w:val="19"/>
                <w:szCs w:val="19"/>
              </w:rPr>
              <w:t xml:space="preserve">Role-based dashboard for merchandising, store ops, and fulfillment teams.</w:t>
            </w:r>
          </w:p>
        </w:tc>
        <w:tc>
          <w:tcPr>
            <w:tcW w:type="dxa" w:w="1506"/>
            <w:tcMar>
              <w:top w:type="dxa" w:w="100"/>
              <w:left w:type="dxa" w:w="120"/>
              <w:bottom w:type="dxa" w:w="100"/>
              <w:right w:type="dxa" w:w="120"/>
            </w:tcMar>
          </w:tcPr>
          <w:p>
            <w:r>
              <w:rPr>
                <w:b w:val="false"/>
                <w:bCs w:val="false"/>
                <w:sz w:val="19"/>
                <w:szCs w:val="19"/>
              </w:rPr>
              <w:t xml:space="preserve">Software</w:t>
            </w:r>
          </w:p>
        </w:tc>
      </w:tr>
      <w:tr>
        <w:tc>
          <w:tcPr>
            <w:tcW w:type="dxa" w:w="538"/>
            <w:shd w:fill="DCE6F1" w:val="clear"/>
            <w:tcMar>
              <w:top w:type="dxa" w:w="100"/>
              <w:left w:type="dxa" w:w="120"/>
              <w:bottom w:type="dxa" w:w="100"/>
              <w:right w:type="dxa" w:w="120"/>
            </w:tcMar>
          </w:tcPr>
          <w:p>
            <w:r>
              <w:rPr>
                <w:b w:val="false"/>
                <w:bCs w:val="false"/>
                <w:sz w:val="19"/>
                <w:szCs w:val="19"/>
              </w:rPr>
              <w:t xml:space="preserve">D6</w:t>
            </w:r>
          </w:p>
        </w:tc>
        <w:tc>
          <w:tcPr>
            <w:tcW w:type="dxa" w:w="2797"/>
            <w:shd w:fill="DCE6F1" w:val="clear"/>
            <w:tcMar>
              <w:top w:type="dxa" w:w="100"/>
              <w:left w:type="dxa" w:w="120"/>
              <w:bottom w:type="dxa" w:w="100"/>
              <w:right w:type="dxa" w:w="120"/>
            </w:tcMar>
          </w:tcPr>
          <w:p>
            <w:r>
              <w:rPr>
                <w:b w:val="false"/>
                <w:bCs w:val="false"/>
                <w:sz w:val="19"/>
                <w:szCs w:val="19"/>
              </w:rPr>
              <w:t xml:space="preserve">UAT Summary &amp; Defect Log</w:t>
            </w:r>
          </w:p>
        </w:tc>
        <w:tc>
          <w:tcPr>
            <w:tcW w:type="dxa" w:w="4519"/>
            <w:shd w:fill="DCE6F1" w:val="clear"/>
            <w:tcMar>
              <w:top w:type="dxa" w:w="100"/>
              <w:left w:type="dxa" w:w="120"/>
              <w:bottom w:type="dxa" w:w="100"/>
              <w:right w:type="dxa" w:w="120"/>
            </w:tcMar>
          </w:tcPr>
          <w:p>
            <w:r>
              <w:rPr>
                <w:b w:val="false"/>
                <w:bCs w:val="false"/>
                <w:sz w:val="19"/>
                <w:szCs w:val="19"/>
              </w:rPr>
              <w:t xml:space="preserve">Results of user acceptance testing and resolution status of identified defects.</w:t>
            </w:r>
          </w:p>
        </w:tc>
        <w:tc>
          <w:tcPr>
            <w:tcW w:type="dxa" w:w="1506"/>
            <w:shd w:fill="DCE6F1" w:val="clear"/>
            <w:tcMar>
              <w:top w:type="dxa" w:w="100"/>
              <w:left w:type="dxa" w:w="120"/>
              <w:bottom w:type="dxa" w:w="100"/>
              <w:right w:type="dxa" w:w="120"/>
            </w:tcMar>
          </w:tcPr>
          <w:p>
            <w:r>
              <w:rPr>
                <w:b w:val="false"/>
                <w:bCs w:val="false"/>
                <w:sz w:val="19"/>
                <w:szCs w:val="19"/>
              </w:rPr>
              <w:t xml:space="preserve">Document</w:t>
            </w:r>
          </w:p>
        </w:tc>
      </w:tr>
      <w:tr>
        <w:tc>
          <w:tcPr>
            <w:tcW w:type="dxa" w:w="538"/>
            <w:tcMar>
              <w:top w:type="dxa" w:w="100"/>
              <w:left w:type="dxa" w:w="120"/>
              <w:bottom w:type="dxa" w:w="100"/>
              <w:right w:type="dxa" w:w="120"/>
            </w:tcMar>
          </w:tcPr>
          <w:p>
            <w:r>
              <w:rPr>
                <w:b w:val="false"/>
                <w:bCs w:val="false"/>
                <w:sz w:val="19"/>
                <w:szCs w:val="19"/>
              </w:rPr>
              <w:t xml:space="preserve">D7</w:t>
            </w:r>
          </w:p>
        </w:tc>
        <w:tc>
          <w:tcPr>
            <w:tcW w:type="dxa" w:w="2797"/>
            <w:tcMar>
              <w:top w:type="dxa" w:w="100"/>
              <w:left w:type="dxa" w:w="120"/>
              <w:bottom w:type="dxa" w:w="100"/>
              <w:right w:type="dxa" w:w="120"/>
            </w:tcMar>
          </w:tcPr>
          <w:p>
            <w:r>
              <w:rPr>
                <w:b w:val="false"/>
                <w:bCs w:val="false"/>
                <w:sz w:val="19"/>
                <w:szCs w:val="19"/>
              </w:rPr>
              <w:t xml:space="preserve">Training &amp; Handover Package</w:t>
            </w:r>
          </w:p>
        </w:tc>
        <w:tc>
          <w:tcPr>
            <w:tcW w:type="dxa" w:w="4519"/>
            <w:tcMar>
              <w:top w:type="dxa" w:w="100"/>
              <w:left w:type="dxa" w:w="120"/>
              <w:bottom w:type="dxa" w:w="100"/>
              <w:right w:type="dxa" w:w="120"/>
            </w:tcMar>
          </w:tcPr>
          <w:p>
            <w:r>
              <w:rPr>
                <w:b w:val="false"/>
                <w:bCs w:val="false"/>
                <w:sz w:val="19"/>
                <w:szCs w:val="19"/>
              </w:rPr>
              <w:t xml:space="preserve">Admin guide, runbooks, and recorded training sessions for Meridian IT.</w:t>
            </w:r>
          </w:p>
        </w:tc>
        <w:tc>
          <w:tcPr>
            <w:tcW w:type="dxa" w:w="1506"/>
            <w:tcMar>
              <w:top w:type="dxa" w:w="100"/>
              <w:left w:type="dxa" w:w="120"/>
              <w:bottom w:type="dxa" w:w="100"/>
              <w:right w:type="dxa" w:w="120"/>
            </w:tcMar>
          </w:tcPr>
          <w:p>
            <w:r>
              <w:rPr>
                <w:b w:val="false"/>
                <w:bCs w:val="false"/>
                <w:sz w:val="19"/>
                <w:szCs w:val="19"/>
              </w:rPr>
              <w:t xml:space="preserve">Document / Video</w:t>
            </w:r>
          </w:p>
        </w:tc>
      </w:tr>
    </w:tbl>
    <w:p>
      <w:pPr>
        <w:pStyle w:val="Heading1"/>
        <w:spacing w:after="160" w:before="360"/>
      </w:pPr>
      <w:r>
        <w:rPr>
          <w:b/>
          <w:bCs/>
          <w:color w:val="1F3864"/>
          <w:sz w:val="26"/>
          <w:szCs w:val="26"/>
        </w:rPr>
        <w:t xml:space="preserve">5. Project Approach &amp; Methodology</w:t>
      </w:r>
    </w:p>
    <w:p>
      <w:pPr>
        <w:spacing w:after="160"/>
      </w:pPr>
      <w:r>
        <w:rPr>
          <w:sz w:val="21"/>
          <w:szCs w:val="21"/>
        </w:rPr>
        <w:t xml:space="preserve">The engagement will be delivered in four phases using an agile delivery approach with two-week sprints. Aurora will use IBM Consulting Advantage and Bob-assisted development practices internally to accelerate solution design, code generation, testing, and documentation throughout Phases 2 and 3; this does not change Client-facing deliverables or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8"/>
        <w:gridCol w:w="1937"/>
        <w:gridCol w:w="5057"/>
        <w:gridCol w:w="1399"/>
      </w:tblGrid>
      <w:tr>
        <w:trPr>
          <w:tblHeader/>
        </w:trPr>
        <w:tc>
          <w:tcPr>
            <w:tcW w:type="dxa" w:w="968"/>
            <w:shd w:fill="1F3864" w:val="clear"/>
            <w:tcMar>
              <w:top w:type="dxa" w:w="100"/>
              <w:left w:type="dxa" w:w="120"/>
              <w:bottom w:type="dxa" w:w="100"/>
              <w:right w:type="dxa" w:w="120"/>
            </w:tcMar>
          </w:tcPr>
          <w:p>
            <w:r>
              <w:rPr>
                <w:b/>
                <w:bCs/>
                <w:color w:val="FFFFFF"/>
                <w:sz w:val="19"/>
                <w:szCs w:val="19"/>
              </w:rPr>
              <w:t xml:space="preserve">Phase</w:t>
            </w:r>
          </w:p>
        </w:tc>
        <w:tc>
          <w:tcPr>
            <w:tcW w:type="dxa" w:w="1937"/>
            <w:shd w:fill="1F3864" w:val="clear"/>
            <w:tcMar>
              <w:top w:type="dxa" w:w="100"/>
              <w:left w:type="dxa" w:w="120"/>
              <w:bottom w:type="dxa" w:w="100"/>
              <w:right w:type="dxa" w:w="120"/>
            </w:tcMar>
          </w:tcPr>
          <w:p>
            <w:r>
              <w:rPr>
                <w:b/>
                <w:bCs/>
                <w:color w:val="FFFFFF"/>
                <w:sz w:val="19"/>
                <w:szCs w:val="19"/>
              </w:rPr>
              <w:t xml:space="preserve">Name</w:t>
            </w:r>
          </w:p>
        </w:tc>
        <w:tc>
          <w:tcPr>
            <w:tcW w:type="dxa" w:w="5057"/>
            <w:shd w:fill="1F3864" w:val="clear"/>
            <w:tcMar>
              <w:top w:type="dxa" w:w="100"/>
              <w:left w:type="dxa" w:w="120"/>
              <w:bottom w:type="dxa" w:w="100"/>
              <w:right w:type="dxa" w:w="120"/>
            </w:tcMar>
          </w:tcPr>
          <w:p>
            <w:r>
              <w:rPr>
                <w:b/>
                <w:bCs/>
                <w:color w:val="FFFFFF"/>
                <w:sz w:val="19"/>
                <w:szCs w:val="19"/>
              </w:rPr>
              <w:t xml:space="preserve">Key Activities</w:t>
            </w:r>
          </w:p>
        </w:tc>
        <w:tc>
          <w:tcPr>
            <w:tcW w:type="dxa" w:w="1399"/>
            <w:shd w:fill="1F3864" w:val="clear"/>
            <w:tcMar>
              <w:top w:type="dxa" w:w="100"/>
              <w:left w:type="dxa" w:w="120"/>
              <w:bottom w:type="dxa" w:w="100"/>
              <w:right w:type="dxa" w:w="120"/>
            </w:tcMar>
          </w:tcPr>
          <w:p>
            <w:r>
              <w:rPr>
                <w:b/>
                <w:bCs/>
                <w:color w:val="FFFFFF"/>
                <w:sz w:val="19"/>
                <w:szCs w:val="19"/>
              </w:rPr>
              <w:t xml:space="preserve">Duration</w:t>
            </w:r>
          </w:p>
        </w:tc>
      </w:tr>
      <w:tr>
        <w:tc>
          <w:tcPr>
            <w:tcW w:type="dxa" w:w="968"/>
            <w:tcMar>
              <w:top w:type="dxa" w:w="100"/>
              <w:left w:type="dxa" w:w="120"/>
              <w:bottom w:type="dxa" w:w="100"/>
              <w:right w:type="dxa" w:w="120"/>
            </w:tcMar>
          </w:tcPr>
          <w:p>
            <w:r>
              <w:rPr>
                <w:b w:val="false"/>
                <w:bCs w:val="false"/>
                <w:sz w:val="19"/>
                <w:szCs w:val="19"/>
              </w:rPr>
              <w:t xml:space="preserve">1</w:t>
            </w:r>
          </w:p>
        </w:tc>
        <w:tc>
          <w:tcPr>
            <w:tcW w:type="dxa" w:w="1937"/>
            <w:tcMar>
              <w:top w:type="dxa" w:w="100"/>
              <w:left w:type="dxa" w:w="120"/>
              <w:bottom w:type="dxa" w:w="100"/>
              <w:right w:type="dxa" w:w="120"/>
            </w:tcMar>
          </w:tcPr>
          <w:p>
            <w:r>
              <w:rPr>
                <w:b w:val="false"/>
                <w:bCs w:val="false"/>
                <w:sz w:val="19"/>
                <w:szCs w:val="19"/>
              </w:rPr>
              <w:t xml:space="preserve">Discovery &amp; Design</w:t>
            </w:r>
          </w:p>
        </w:tc>
        <w:tc>
          <w:tcPr>
            <w:tcW w:type="dxa" w:w="5057"/>
            <w:tcMar>
              <w:top w:type="dxa" w:w="100"/>
              <w:left w:type="dxa" w:w="120"/>
              <w:bottom w:type="dxa" w:w="100"/>
              <w:right w:type="dxa" w:w="120"/>
            </w:tcMar>
          </w:tcPr>
          <w:p>
            <w:r>
              <w:rPr>
                <w:b w:val="false"/>
                <w:bCs w:val="false"/>
                <w:sz w:val="19"/>
                <w:szCs w:val="19"/>
              </w:rPr>
              <w:t xml:space="preserve">Current-state assessment, requirements workshops, target architecture and data model design.</w:t>
            </w:r>
          </w:p>
        </w:tc>
        <w:tc>
          <w:tcPr>
            <w:tcW w:type="dxa" w:w="1399"/>
            <w:tcMar>
              <w:top w:type="dxa" w:w="100"/>
              <w:left w:type="dxa" w:w="120"/>
              <w:bottom w:type="dxa" w:w="100"/>
              <w:right w:type="dxa" w:w="120"/>
            </w:tcMar>
          </w:tcPr>
          <w:p>
            <w:r>
              <w:rPr>
                <w:b w:val="false"/>
                <w:bCs w:val="false"/>
                <w:sz w:val="19"/>
                <w:szCs w:val="19"/>
              </w:rPr>
              <w:t xml:space="preserve">3 weeks</w:t>
            </w:r>
          </w:p>
        </w:tc>
      </w:tr>
      <w:tr>
        <w:tc>
          <w:tcPr>
            <w:tcW w:type="dxa" w:w="968"/>
            <w:shd w:fill="DCE6F1" w:val="clear"/>
            <w:tcMar>
              <w:top w:type="dxa" w:w="100"/>
              <w:left w:type="dxa" w:w="120"/>
              <w:bottom w:type="dxa" w:w="100"/>
              <w:right w:type="dxa" w:w="120"/>
            </w:tcMar>
          </w:tcPr>
          <w:p>
            <w:r>
              <w:rPr>
                <w:b w:val="false"/>
                <w:bCs w:val="false"/>
                <w:sz w:val="19"/>
                <w:szCs w:val="19"/>
              </w:rPr>
              <w:t xml:space="preserve">2</w:t>
            </w:r>
          </w:p>
        </w:tc>
        <w:tc>
          <w:tcPr>
            <w:tcW w:type="dxa" w:w="1937"/>
            <w:shd w:fill="DCE6F1" w:val="clear"/>
            <w:tcMar>
              <w:top w:type="dxa" w:w="100"/>
              <w:left w:type="dxa" w:w="120"/>
              <w:bottom w:type="dxa" w:w="100"/>
              <w:right w:type="dxa" w:w="120"/>
            </w:tcMar>
          </w:tcPr>
          <w:p>
            <w:r>
              <w:rPr>
                <w:b w:val="false"/>
                <w:bCs w:val="false"/>
                <w:sz w:val="19"/>
                <w:szCs w:val="19"/>
              </w:rPr>
              <w:t xml:space="preserve">Build</w:t>
            </w:r>
          </w:p>
        </w:tc>
        <w:tc>
          <w:tcPr>
            <w:tcW w:type="dxa" w:w="5057"/>
            <w:shd w:fill="DCE6F1" w:val="clear"/>
            <w:tcMar>
              <w:top w:type="dxa" w:w="100"/>
              <w:left w:type="dxa" w:w="120"/>
              <w:bottom w:type="dxa" w:w="100"/>
              <w:right w:type="dxa" w:w="120"/>
            </w:tcMar>
          </w:tcPr>
          <w:p>
            <w:r>
              <w:rPr>
                <w:b w:val="false"/>
                <w:bCs w:val="false"/>
                <w:sz w:val="19"/>
                <w:szCs w:val="19"/>
              </w:rPr>
              <w:t xml:space="preserve">Data layer integration, forecasting model development, dashboard build.</w:t>
            </w:r>
          </w:p>
        </w:tc>
        <w:tc>
          <w:tcPr>
            <w:tcW w:type="dxa" w:w="1399"/>
            <w:shd w:fill="DCE6F1" w:val="clear"/>
            <w:tcMar>
              <w:top w:type="dxa" w:w="100"/>
              <w:left w:type="dxa" w:w="120"/>
              <w:bottom w:type="dxa" w:w="100"/>
              <w:right w:type="dxa" w:w="120"/>
            </w:tcMar>
          </w:tcPr>
          <w:p>
            <w:r>
              <w:rPr>
                <w:b w:val="false"/>
                <w:bCs w:val="false"/>
                <w:sz w:val="19"/>
                <w:szCs w:val="19"/>
              </w:rPr>
              <w:t xml:space="preserve">8 weeks</w:t>
            </w:r>
          </w:p>
        </w:tc>
      </w:tr>
      <w:tr>
        <w:tc>
          <w:tcPr>
            <w:tcW w:type="dxa" w:w="968"/>
            <w:tcMar>
              <w:top w:type="dxa" w:w="100"/>
              <w:left w:type="dxa" w:w="120"/>
              <w:bottom w:type="dxa" w:w="100"/>
              <w:right w:type="dxa" w:w="120"/>
            </w:tcMar>
          </w:tcPr>
          <w:p>
            <w:r>
              <w:rPr>
                <w:b w:val="false"/>
                <w:bCs w:val="false"/>
                <w:sz w:val="19"/>
                <w:szCs w:val="19"/>
              </w:rPr>
              <w:t xml:space="preserve">3</w:t>
            </w:r>
          </w:p>
        </w:tc>
        <w:tc>
          <w:tcPr>
            <w:tcW w:type="dxa" w:w="1937"/>
            <w:tcMar>
              <w:top w:type="dxa" w:w="100"/>
              <w:left w:type="dxa" w:w="120"/>
              <w:bottom w:type="dxa" w:w="100"/>
              <w:right w:type="dxa" w:w="120"/>
            </w:tcMar>
          </w:tcPr>
          <w:p>
            <w:r>
              <w:rPr>
                <w:b w:val="false"/>
                <w:bCs w:val="false"/>
                <w:sz w:val="19"/>
                <w:szCs w:val="19"/>
              </w:rPr>
              <w:t xml:space="preserve">Test &amp; Stabilize</w:t>
            </w:r>
          </w:p>
        </w:tc>
        <w:tc>
          <w:tcPr>
            <w:tcW w:type="dxa" w:w="5057"/>
            <w:tcMar>
              <w:top w:type="dxa" w:w="100"/>
              <w:left w:type="dxa" w:w="120"/>
              <w:bottom w:type="dxa" w:w="100"/>
              <w:right w:type="dxa" w:w="120"/>
            </w:tcMar>
          </w:tcPr>
          <w:p>
            <w:r>
              <w:rPr>
                <w:b w:val="false"/>
                <w:bCs w:val="false"/>
                <w:sz w:val="19"/>
                <w:szCs w:val="19"/>
              </w:rPr>
              <w:t xml:space="preserve">System integration testing, UAT support, defect resolution, performance tuning.</w:t>
            </w:r>
          </w:p>
        </w:tc>
        <w:tc>
          <w:tcPr>
            <w:tcW w:type="dxa" w:w="1399"/>
            <w:tcMar>
              <w:top w:type="dxa" w:w="100"/>
              <w:left w:type="dxa" w:w="120"/>
              <w:bottom w:type="dxa" w:w="100"/>
              <w:right w:type="dxa" w:w="120"/>
            </w:tcMar>
          </w:tcPr>
          <w:p>
            <w:r>
              <w:rPr>
                <w:b w:val="false"/>
                <w:bCs w:val="false"/>
                <w:sz w:val="19"/>
                <w:szCs w:val="19"/>
              </w:rPr>
              <w:t xml:space="preserve">3 weeks</w:t>
            </w:r>
          </w:p>
        </w:tc>
      </w:tr>
      <w:tr>
        <w:tc>
          <w:tcPr>
            <w:tcW w:type="dxa" w:w="968"/>
            <w:shd w:fill="DCE6F1" w:val="clear"/>
            <w:tcMar>
              <w:top w:type="dxa" w:w="100"/>
              <w:left w:type="dxa" w:w="120"/>
              <w:bottom w:type="dxa" w:w="100"/>
              <w:right w:type="dxa" w:w="120"/>
            </w:tcMar>
          </w:tcPr>
          <w:p>
            <w:r>
              <w:rPr>
                <w:b w:val="false"/>
                <w:bCs w:val="false"/>
                <w:sz w:val="19"/>
                <w:szCs w:val="19"/>
              </w:rPr>
              <w:t xml:space="preserve">4</w:t>
            </w:r>
          </w:p>
        </w:tc>
        <w:tc>
          <w:tcPr>
            <w:tcW w:type="dxa" w:w="1937"/>
            <w:shd w:fill="DCE6F1" w:val="clear"/>
            <w:tcMar>
              <w:top w:type="dxa" w:w="100"/>
              <w:left w:type="dxa" w:w="120"/>
              <w:bottom w:type="dxa" w:w="100"/>
              <w:right w:type="dxa" w:w="120"/>
            </w:tcMar>
          </w:tcPr>
          <w:p>
            <w:r>
              <w:rPr>
                <w:b w:val="false"/>
                <w:bCs w:val="false"/>
                <w:sz w:val="19"/>
                <w:szCs w:val="19"/>
              </w:rPr>
              <w:t xml:space="preserve">Deploy &amp; Hypercare</w:t>
            </w:r>
          </w:p>
        </w:tc>
        <w:tc>
          <w:tcPr>
            <w:tcW w:type="dxa" w:w="5057"/>
            <w:shd w:fill="DCE6F1" w:val="clear"/>
            <w:tcMar>
              <w:top w:type="dxa" w:w="100"/>
              <w:left w:type="dxa" w:w="120"/>
              <w:bottom w:type="dxa" w:w="100"/>
              <w:right w:type="dxa" w:w="120"/>
            </w:tcMar>
          </w:tcPr>
          <w:p>
            <w:r>
              <w:rPr>
                <w:b w:val="false"/>
                <w:bCs w:val="false"/>
                <w:sz w:val="19"/>
                <w:szCs w:val="19"/>
              </w:rPr>
              <w:t xml:space="preserve">Production go-live, 30-day hypercare support, training and handover.</w:t>
            </w:r>
          </w:p>
        </w:tc>
        <w:tc>
          <w:tcPr>
            <w:tcW w:type="dxa" w:w="1399"/>
            <w:shd w:fill="DCE6F1" w:val="clear"/>
            <w:tcMar>
              <w:top w:type="dxa" w:w="100"/>
              <w:left w:type="dxa" w:w="120"/>
              <w:bottom w:type="dxa" w:w="100"/>
              <w:right w:type="dxa" w:w="120"/>
            </w:tcMar>
          </w:tcPr>
          <w:p>
            <w:r>
              <w:rPr>
                <w:b w:val="false"/>
                <w:bCs w:val="false"/>
                <w:sz w:val="19"/>
                <w:szCs w:val="19"/>
              </w:rPr>
              <w:t xml:space="preserve">4 weeks</w:t>
            </w:r>
          </w:p>
        </w:tc>
      </w:tr>
    </w:tbl>
    <w:p>
      <w:pPr>
        <w:pStyle w:val="Heading1"/>
        <w:spacing w:after="160" w:before="360"/>
      </w:pPr>
      <w:r>
        <w:rPr>
          <w:b/>
          <w:bCs/>
          <w:color w:val="1F3864"/>
          <w:sz w:val="26"/>
          <w:szCs w:val="26"/>
        </w:rPr>
        <w:t xml:space="preserve">6.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1593"/>
        <w:gridCol w:w="5178"/>
      </w:tblGrid>
      <w:tr>
        <w:trPr>
          <w:tblHeader/>
        </w:trPr>
        <w:tc>
          <w:tcPr>
            <w:tcW w:type="dxa" w:w="2589"/>
            <w:shd w:fill="1F3864" w:val="clear"/>
            <w:tcMar>
              <w:top w:type="dxa" w:w="100"/>
              <w:left w:type="dxa" w:w="120"/>
              <w:bottom w:type="dxa" w:w="100"/>
              <w:right w:type="dxa" w:w="120"/>
            </w:tcMar>
          </w:tcPr>
          <w:p>
            <w:r>
              <w:rPr>
                <w:b/>
                <w:bCs/>
                <w:color w:val="FFFFFF"/>
                <w:sz w:val="19"/>
                <w:szCs w:val="19"/>
              </w:rPr>
              <w:t xml:space="preserve">Milestone</w:t>
            </w:r>
          </w:p>
        </w:tc>
        <w:tc>
          <w:tcPr>
            <w:tcW w:type="dxa" w:w="1593"/>
            <w:shd w:fill="1F3864" w:val="clear"/>
            <w:tcMar>
              <w:top w:type="dxa" w:w="100"/>
              <w:left w:type="dxa" w:w="120"/>
              <w:bottom w:type="dxa" w:w="100"/>
              <w:right w:type="dxa" w:w="120"/>
            </w:tcMar>
          </w:tcPr>
          <w:p>
            <w:r>
              <w:rPr>
                <w:b/>
                <w:bCs/>
                <w:color w:val="FFFFFF"/>
                <w:sz w:val="19"/>
                <w:szCs w:val="19"/>
              </w:rPr>
              <w:t xml:space="preserve">Target Date</w:t>
            </w:r>
          </w:p>
        </w:tc>
        <w:tc>
          <w:tcPr>
            <w:tcW w:type="dxa" w:w="5178"/>
            <w:shd w:fill="1F3864" w:val="clear"/>
            <w:tcMar>
              <w:top w:type="dxa" w:w="100"/>
              <w:left w:type="dxa" w:w="120"/>
              <w:bottom w:type="dxa" w:w="100"/>
              <w:right w:type="dxa" w:w="120"/>
            </w:tcMar>
          </w:tcPr>
          <w:p>
            <w:r>
              <w:rPr>
                <w:b/>
                <w:bCs/>
                <w:color w:val="FFFFFF"/>
                <w:sz w:val="19"/>
                <w:szCs w:val="19"/>
              </w:rPr>
              <w:t xml:space="preserve">Acceptance Trigger</w:t>
            </w:r>
          </w:p>
        </w:tc>
      </w:tr>
      <w:tr>
        <w:tc>
          <w:tcPr>
            <w:tcW w:type="dxa" w:w="2589"/>
            <w:tcMar>
              <w:top w:type="dxa" w:w="100"/>
              <w:left w:type="dxa" w:w="120"/>
              <w:bottom w:type="dxa" w:w="100"/>
              <w:right w:type="dxa" w:w="120"/>
            </w:tcMar>
          </w:tcPr>
          <w:p>
            <w:r>
              <w:rPr>
                <w:b w:val="false"/>
                <w:bCs w:val="false"/>
                <w:sz w:val="19"/>
                <w:szCs w:val="19"/>
              </w:rPr>
              <w:t xml:space="preserve">M1 – Discovery Complete</w:t>
            </w:r>
          </w:p>
        </w:tc>
        <w:tc>
          <w:tcPr>
            <w:tcW w:type="dxa" w:w="1593"/>
            <w:tcMar>
              <w:top w:type="dxa" w:w="100"/>
              <w:left w:type="dxa" w:w="120"/>
              <w:bottom w:type="dxa" w:w="100"/>
              <w:right w:type="dxa" w:w="120"/>
            </w:tcMar>
          </w:tcPr>
          <w:p>
            <w:r>
              <w:rPr>
                <w:b w:val="false"/>
                <w:bCs w:val="false"/>
                <w:sz w:val="19"/>
                <w:szCs w:val="19"/>
              </w:rPr>
              <w:t xml:space="preserve">Aug 7, 2026</w:t>
            </w:r>
          </w:p>
        </w:tc>
        <w:tc>
          <w:tcPr>
            <w:tcW w:type="dxa" w:w="5178"/>
            <w:tcMar>
              <w:top w:type="dxa" w:w="100"/>
              <w:left w:type="dxa" w:w="120"/>
              <w:bottom w:type="dxa" w:w="100"/>
              <w:right w:type="dxa" w:w="120"/>
            </w:tcMar>
          </w:tcPr>
          <w:p>
            <w:r>
              <w:rPr>
                <w:b w:val="false"/>
                <w:bCs w:val="false"/>
                <w:sz w:val="19"/>
                <w:szCs w:val="19"/>
              </w:rPr>
              <w:t xml:space="preserve">Client sign-off on Current-State Assessment Report (D1).</w:t>
            </w:r>
          </w:p>
        </w:tc>
      </w:tr>
      <w:tr>
        <w:tc>
          <w:tcPr>
            <w:tcW w:type="dxa" w:w="2589"/>
            <w:shd w:fill="DCE6F1" w:val="clear"/>
            <w:tcMar>
              <w:top w:type="dxa" w:w="100"/>
              <w:left w:type="dxa" w:w="120"/>
              <w:bottom w:type="dxa" w:w="100"/>
              <w:right w:type="dxa" w:w="120"/>
            </w:tcMar>
          </w:tcPr>
          <w:p>
            <w:r>
              <w:rPr>
                <w:b w:val="false"/>
                <w:bCs w:val="false"/>
                <w:sz w:val="19"/>
                <w:szCs w:val="19"/>
              </w:rPr>
              <w:t xml:space="preserve">M2 – Design Approved</w:t>
            </w:r>
          </w:p>
        </w:tc>
        <w:tc>
          <w:tcPr>
            <w:tcW w:type="dxa" w:w="1593"/>
            <w:shd w:fill="DCE6F1" w:val="clear"/>
            <w:tcMar>
              <w:top w:type="dxa" w:w="100"/>
              <w:left w:type="dxa" w:w="120"/>
              <w:bottom w:type="dxa" w:w="100"/>
              <w:right w:type="dxa" w:w="120"/>
            </w:tcMar>
          </w:tcPr>
          <w:p>
            <w:r>
              <w:rPr>
                <w:b w:val="false"/>
                <w:bCs w:val="false"/>
                <w:sz w:val="19"/>
                <w:szCs w:val="19"/>
              </w:rPr>
              <w:t xml:space="preserve">Aug 28, 2026</w:t>
            </w:r>
          </w:p>
        </w:tc>
        <w:tc>
          <w:tcPr>
            <w:tcW w:type="dxa" w:w="5178"/>
            <w:shd w:fill="DCE6F1" w:val="clear"/>
            <w:tcMar>
              <w:top w:type="dxa" w:w="100"/>
              <w:left w:type="dxa" w:w="120"/>
              <w:bottom w:type="dxa" w:w="100"/>
              <w:right w:type="dxa" w:w="120"/>
            </w:tcMar>
          </w:tcPr>
          <w:p>
            <w:r>
              <w:rPr>
                <w:b w:val="false"/>
                <w:bCs w:val="false"/>
                <w:sz w:val="19"/>
                <w:szCs w:val="19"/>
              </w:rPr>
              <w:t xml:space="preserve">Client sign-off on Solution Design Document (D2).</w:t>
            </w:r>
          </w:p>
        </w:tc>
      </w:tr>
      <w:tr>
        <w:tc>
          <w:tcPr>
            <w:tcW w:type="dxa" w:w="2589"/>
            <w:tcMar>
              <w:top w:type="dxa" w:w="100"/>
              <w:left w:type="dxa" w:w="120"/>
              <w:bottom w:type="dxa" w:w="100"/>
              <w:right w:type="dxa" w:w="120"/>
            </w:tcMar>
          </w:tcPr>
          <w:p>
            <w:r>
              <w:rPr>
                <w:b w:val="false"/>
                <w:bCs w:val="false"/>
                <w:sz w:val="19"/>
                <w:szCs w:val="19"/>
              </w:rPr>
              <w:t xml:space="preserve">M3 – Build Complete</w:t>
            </w:r>
          </w:p>
        </w:tc>
        <w:tc>
          <w:tcPr>
            <w:tcW w:type="dxa" w:w="1593"/>
            <w:tcMar>
              <w:top w:type="dxa" w:w="100"/>
              <w:left w:type="dxa" w:w="120"/>
              <w:bottom w:type="dxa" w:w="100"/>
              <w:right w:type="dxa" w:w="120"/>
            </w:tcMar>
          </w:tcPr>
          <w:p>
            <w:r>
              <w:rPr>
                <w:b w:val="false"/>
                <w:bCs w:val="false"/>
                <w:sz w:val="19"/>
                <w:szCs w:val="19"/>
              </w:rPr>
              <w:t xml:space="preserve">Oct 23, 2026</w:t>
            </w:r>
          </w:p>
        </w:tc>
        <w:tc>
          <w:tcPr>
            <w:tcW w:type="dxa" w:w="5178"/>
            <w:tcMar>
              <w:top w:type="dxa" w:w="100"/>
              <w:left w:type="dxa" w:w="120"/>
              <w:bottom w:type="dxa" w:w="100"/>
              <w:right w:type="dxa" w:w="120"/>
            </w:tcMar>
          </w:tcPr>
          <w:p>
            <w:r>
              <w:rPr>
                <w:b w:val="false"/>
                <w:bCs w:val="false"/>
                <w:sz w:val="19"/>
                <w:szCs w:val="19"/>
              </w:rPr>
              <w:t xml:space="preserve">Data layer, forecasting module, and dashboard deployed to staging.</w:t>
            </w:r>
          </w:p>
        </w:tc>
      </w:tr>
      <w:tr>
        <w:tc>
          <w:tcPr>
            <w:tcW w:type="dxa" w:w="2589"/>
            <w:shd w:fill="DCE6F1" w:val="clear"/>
            <w:tcMar>
              <w:top w:type="dxa" w:w="100"/>
              <w:left w:type="dxa" w:w="120"/>
              <w:bottom w:type="dxa" w:w="100"/>
              <w:right w:type="dxa" w:w="120"/>
            </w:tcMar>
          </w:tcPr>
          <w:p>
            <w:r>
              <w:rPr>
                <w:b w:val="false"/>
                <w:bCs w:val="false"/>
                <w:sz w:val="19"/>
                <w:szCs w:val="19"/>
              </w:rPr>
              <w:t xml:space="preserve">M4 – UAT Sign-off</w:t>
            </w:r>
          </w:p>
        </w:tc>
        <w:tc>
          <w:tcPr>
            <w:tcW w:type="dxa" w:w="1593"/>
            <w:shd w:fill="DCE6F1" w:val="clear"/>
            <w:tcMar>
              <w:top w:type="dxa" w:w="100"/>
              <w:left w:type="dxa" w:w="120"/>
              <w:bottom w:type="dxa" w:w="100"/>
              <w:right w:type="dxa" w:w="120"/>
            </w:tcMar>
          </w:tcPr>
          <w:p>
            <w:r>
              <w:rPr>
                <w:b w:val="false"/>
                <w:bCs w:val="false"/>
                <w:sz w:val="19"/>
                <w:szCs w:val="19"/>
              </w:rPr>
              <w:t xml:space="preserve">Nov 13, 2026</w:t>
            </w:r>
          </w:p>
        </w:tc>
        <w:tc>
          <w:tcPr>
            <w:tcW w:type="dxa" w:w="5178"/>
            <w:shd w:fill="DCE6F1" w:val="clear"/>
            <w:tcMar>
              <w:top w:type="dxa" w:w="100"/>
              <w:left w:type="dxa" w:w="120"/>
              <w:bottom w:type="dxa" w:w="100"/>
              <w:right w:type="dxa" w:w="120"/>
            </w:tcMar>
          </w:tcPr>
          <w:p>
            <w:r>
              <w:rPr>
                <w:b w:val="false"/>
                <w:bCs w:val="false"/>
                <w:sz w:val="19"/>
                <w:szCs w:val="19"/>
              </w:rPr>
              <w:t xml:space="preserve">Client sign-off on UAT Summary (D6).</w:t>
            </w:r>
          </w:p>
        </w:tc>
      </w:tr>
      <w:tr>
        <w:tc>
          <w:tcPr>
            <w:tcW w:type="dxa" w:w="2589"/>
            <w:tcMar>
              <w:top w:type="dxa" w:w="100"/>
              <w:left w:type="dxa" w:w="120"/>
              <w:bottom w:type="dxa" w:w="100"/>
              <w:right w:type="dxa" w:w="120"/>
            </w:tcMar>
          </w:tcPr>
          <w:p>
            <w:r>
              <w:rPr>
                <w:b w:val="false"/>
                <w:bCs w:val="false"/>
                <w:sz w:val="19"/>
                <w:szCs w:val="19"/>
              </w:rPr>
              <w:t xml:space="preserve">M5 – Go-Live</w:t>
            </w:r>
          </w:p>
        </w:tc>
        <w:tc>
          <w:tcPr>
            <w:tcW w:type="dxa" w:w="1593"/>
            <w:tcMar>
              <w:top w:type="dxa" w:w="100"/>
              <w:left w:type="dxa" w:w="120"/>
              <w:bottom w:type="dxa" w:w="100"/>
              <w:right w:type="dxa" w:w="120"/>
            </w:tcMar>
          </w:tcPr>
          <w:p>
            <w:r>
              <w:rPr>
                <w:b w:val="false"/>
                <w:bCs w:val="false"/>
                <w:sz w:val="19"/>
                <w:szCs w:val="19"/>
              </w:rPr>
              <w:t xml:space="preserve">Nov 27, 2026</w:t>
            </w:r>
          </w:p>
        </w:tc>
        <w:tc>
          <w:tcPr>
            <w:tcW w:type="dxa" w:w="5178"/>
            <w:tcMar>
              <w:top w:type="dxa" w:w="100"/>
              <w:left w:type="dxa" w:w="120"/>
              <w:bottom w:type="dxa" w:w="100"/>
              <w:right w:type="dxa" w:w="120"/>
            </w:tcMar>
          </w:tcPr>
          <w:p>
            <w:r>
              <w:rPr>
                <w:b w:val="false"/>
                <w:bCs w:val="false"/>
                <w:sz w:val="19"/>
                <w:szCs w:val="19"/>
              </w:rPr>
              <w:t xml:space="preserve">Production deployment complete; hypercare period begins.</w:t>
            </w:r>
          </w:p>
        </w:tc>
      </w:tr>
      <w:tr>
        <w:tc>
          <w:tcPr>
            <w:tcW w:type="dxa" w:w="2589"/>
            <w:shd w:fill="DCE6F1" w:val="clear"/>
            <w:tcMar>
              <w:top w:type="dxa" w:w="100"/>
              <w:left w:type="dxa" w:w="120"/>
              <w:bottom w:type="dxa" w:w="100"/>
              <w:right w:type="dxa" w:w="120"/>
            </w:tcMar>
          </w:tcPr>
          <w:p>
            <w:r>
              <w:rPr>
                <w:b w:val="false"/>
                <w:bCs w:val="false"/>
                <w:sz w:val="19"/>
                <w:szCs w:val="19"/>
              </w:rPr>
              <w:t xml:space="preserve">M6 – Engagement Close</w:t>
            </w:r>
          </w:p>
        </w:tc>
        <w:tc>
          <w:tcPr>
            <w:tcW w:type="dxa" w:w="1593"/>
            <w:shd w:fill="DCE6F1" w:val="clear"/>
            <w:tcMar>
              <w:top w:type="dxa" w:w="100"/>
              <w:left w:type="dxa" w:w="120"/>
              <w:bottom w:type="dxa" w:w="100"/>
              <w:right w:type="dxa" w:w="120"/>
            </w:tcMar>
          </w:tcPr>
          <w:p>
            <w:r>
              <w:rPr>
                <w:b w:val="false"/>
                <w:bCs w:val="false"/>
                <w:sz w:val="19"/>
                <w:szCs w:val="19"/>
              </w:rPr>
              <w:t xml:space="preserve">Dec 25, 2026</w:t>
            </w:r>
          </w:p>
        </w:tc>
        <w:tc>
          <w:tcPr>
            <w:tcW w:type="dxa" w:w="5178"/>
            <w:shd w:fill="DCE6F1" w:val="clear"/>
            <w:tcMar>
              <w:top w:type="dxa" w:w="100"/>
              <w:left w:type="dxa" w:w="120"/>
              <w:bottom w:type="dxa" w:w="100"/>
              <w:right w:type="dxa" w:w="120"/>
            </w:tcMar>
          </w:tcPr>
          <w:p>
            <w:r>
              <w:rPr>
                <w:b w:val="false"/>
                <w:bCs w:val="false"/>
                <w:sz w:val="19"/>
                <w:szCs w:val="19"/>
              </w:rPr>
              <w:t xml:space="preserve">Hypercare complete; Training &amp; Handover Package (D7) accepted.</w:t>
            </w:r>
          </w:p>
        </w:tc>
      </w:tr>
    </w:tbl>
    <w:p>
      <w:pPr>
        <w:pStyle w:val="Heading1"/>
        <w:spacing w:after="160" w:before="360"/>
      </w:pPr>
      <w:r>
        <w:rPr>
          <w:b/>
          <w:bCs/>
          <w:color w:val="1F3864"/>
          <w:sz w:val="26"/>
          <w:szCs w:val="26"/>
        </w:rPr>
        <w:t xml:space="preserve">7.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9"/>
        <w:gridCol w:w="1593"/>
        <w:gridCol w:w="5277"/>
      </w:tblGrid>
      <w:tr>
        <w:trPr>
          <w:tblHeader/>
        </w:trPr>
        <w:tc>
          <w:tcPr>
            <w:tcW w:type="dxa" w:w="2489"/>
            <w:shd w:fill="1F3864" w:val="clear"/>
            <w:tcMar>
              <w:top w:type="dxa" w:w="100"/>
              <w:left w:type="dxa" w:w="120"/>
              <w:bottom w:type="dxa" w:w="100"/>
              <w:right w:type="dxa" w:w="120"/>
            </w:tcMar>
          </w:tcPr>
          <w:p>
            <w:r>
              <w:rPr>
                <w:b/>
                <w:bCs/>
                <w:color w:val="FFFFFF"/>
                <w:sz w:val="19"/>
                <w:szCs w:val="19"/>
              </w:rPr>
              <w:t xml:space="preserve">Role</w:t>
            </w:r>
          </w:p>
        </w:tc>
        <w:tc>
          <w:tcPr>
            <w:tcW w:type="dxa" w:w="1593"/>
            <w:shd w:fill="1F3864" w:val="clear"/>
            <w:tcMar>
              <w:top w:type="dxa" w:w="100"/>
              <w:left w:type="dxa" w:w="120"/>
              <w:bottom w:type="dxa" w:w="100"/>
              <w:right w:type="dxa" w:w="120"/>
            </w:tcMar>
          </w:tcPr>
          <w:p>
            <w:r>
              <w:rPr>
                <w:b/>
                <w:bCs/>
                <w:color w:val="FFFFFF"/>
                <w:sz w:val="19"/>
                <w:szCs w:val="19"/>
              </w:rPr>
              <w:t xml:space="preserve">Organization</w:t>
            </w:r>
          </w:p>
        </w:tc>
        <w:tc>
          <w:tcPr>
            <w:tcW w:type="dxa" w:w="5277"/>
            <w:shd w:fill="1F3864" w:val="clear"/>
            <w:tcMar>
              <w:top w:type="dxa" w:w="100"/>
              <w:left w:type="dxa" w:w="120"/>
              <w:bottom w:type="dxa" w:w="100"/>
              <w:right w:type="dxa" w:w="120"/>
            </w:tcMar>
          </w:tcPr>
          <w:p>
            <w:r>
              <w:rPr>
                <w:b/>
                <w:bCs/>
                <w:color w:val="FFFFFF"/>
                <w:sz w:val="19"/>
                <w:szCs w:val="19"/>
              </w:rPr>
              <w:t xml:space="preserve">Responsibility</w:t>
            </w:r>
          </w:p>
        </w:tc>
      </w:tr>
      <w:tr>
        <w:tc>
          <w:tcPr>
            <w:tcW w:type="dxa" w:w="2489"/>
            <w:tcMar>
              <w:top w:type="dxa" w:w="100"/>
              <w:left w:type="dxa" w:w="120"/>
              <w:bottom w:type="dxa" w:w="100"/>
              <w:right w:type="dxa" w:w="120"/>
            </w:tcMar>
          </w:tcPr>
          <w:p>
            <w:r>
              <w:rPr>
                <w:b w:val="false"/>
                <w:bCs w:val="false"/>
                <w:sz w:val="19"/>
                <w:szCs w:val="19"/>
              </w:rPr>
              <w:t xml:space="preserve">Engagement Sponsor</w:t>
            </w:r>
          </w:p>
        </w:tc>
        <w:tc>
          <w:tcPr>
            <w:tcW w:type="dxa" w:w="1593"/>
            <w:tcMar>
              <w:top w:type="dxa" w:w="100"/>
              <w:left w:type="dxa" w:w="120"/>
              <w:bottom w:type="dxa" w:w="100"/>
              <w:right w:type="dxa" w:w="120"/>
            </w:tcMar>
          </w:tcPr>
          <w:p>
            <w:r>
              <w:rPr>
                <w:b w:val="false"/>
                <w:bCs w:val="false"/>
                <w:sz w:val="19"/>
                <w:szCs w:val="19"/>
              </w:rPr>
              <w:t xml:space="preserve">Meridian</w:t>
            </w:r>
          </w:p>
        </w:tc>
        <w:tc>
          <w:tcPr>
            <w:tcW w:type="dxa" w:w="5277"/>
            <w:tcMar>
              <w:top w:type="dxa" w:w="100"/>
              <w:left w:type="dxa" w:w="120"/>
              <w:bottom w:type="dxa" w:w="100"/>
              <w:right w:type="dxa" w:w="120"/>
            </w:tcMar>
          </w:tcPr>
          <w:p>
            <w:r>
              <w:rPr>
                <w:b w:val="false"/>
                <w:bCs w:val="false"/>
                <w:sz w:val="19"/>
                <w:szCs w:val="19"/>
              </w:rPr>
              <w:t xml:space="preserve">Overall accountability for business outcomes; escalation point for scope or budget decisions.</w:t>
            </w:r>
          </w:p>
        </w:tc>
      </w:tr>
      <w:tr>
        <w:tc>
          <w:tcPr>
            <w:tcW w:type="dxa" w:w="2489"/>
            <w:shd w:fill="DCE6F1" w:val="clear"/>
            <w:tcMar>
              <w:top w:type="dxa" w:w="100"/>
              <w:left w:type="dxa" w:w="120"/>
              <w:bottom w:type="dxa" w:w="100"/>
              <w:right w:type="dxa" w:w="120"/>
            </w:tcMar>
          </w:tcPr>
          <w:p>
            <w:r>
              <w:rPr>
                <w:b w:val="false"/>
                <w:bCs w:val="false"/>
                <w:sz w:val="19"/>
                <w:szCs w:val="19"/>
              </w:rPr>
              <w:t xml:space="preserve">Product Owner</w:t>
            </w:r>
          </w:p>
        </w:tc>
        <w:tc>
          <w:tcPr>
            <w:tcW w:type="dxa" w:w="1593"/>
            <w:shd w:fill="DCE6F1" w:val="clear"/>
            <w:tcMar>
              <w:top w:type="dxa" w:w="100"/>
              <w:left w:type="dxa" w:w="120"/>
              <w:bottom w:type="dxa" w:w="100"/>
              <w:right w:type="dxa" w:w="120"/>
            </w:tcMar>
          </w:tcPr>
          <w:p>
            <w:r>
              <w:rPr>
                <w:b w:val="false"/>
                <w:bCs w:val="false"/>
                <w:sz w:val="19"/>
                <w:szCs w:val="19"/>
              </w:rPr>
              <w:t xml:space="preserve">Meridian</w:t>
            </w:r>
          </w:p>
        </w:tc>
        <w:tc>
          <w:tcPr>
            <w:tcW w:type="dxa" w:w="5277"/>
            <w:shd w:fill="DCE6F1" w:val="clear"/>
            <w:tcMar>
              <w:top w:type="dxa" w:w="100"/>
              <w:left w:type="dxa" w:w="120"/>
              <w:bottom w:type="dxa" w:w="100"/>
              <w:right w:type="dxa" w:w="120"/>
            </w:tcMar>
          </w:tcPr>
          <w:p>
            <w:r>
              <w:rPr>
                <w:b w:val="false"/>
                <w:bCs w:val="false"/>
                <w:sz w:val="19"/>
                <w:szCs w:val="19"/>
              </w:rPr>
              <w:t xml:space="preserve">Prioritizes backlog, approves designs, participates in sprint reviews and UAT.</w:t>
            </w:r>
          </w:p>
        </w:tc>
      </w:tr>
      <w:tr>
        <w:tc>
          <w:tcPr>
            <w:tcW w:type="dxa" w:w="2489"/>
            <w:tcMar>
              <w:top w:type="dxa" w:w="100"/>
              <w:left w:type="dxa" w:w="120"/>
              <w:bottom w:type="dxa" w:w="100"/>
              <w:right w:type="dxa" w:w="120"/>
            </w:tcMar>
          </w:tcPr>
          <w:p>
            <w:r>
              <w:rPr>
                <w:b w:val="false"/>
                <w:bCs w:val="false"/>
                <w:sz w:val="19"/>
                <w:szCs w:val="19"/>
              </w:rPr>
              <w:t xml:space="preserve">Engagement Partner</w:t>
            </w:r>
          </w:p>
        </w:tc>
        <w:tc>
          <w:tcPr>
            <w:tcW w:type="dxa" w:w="1593"/>
            <w:tcMar>
              <w:top w:type="dxa" w:w="100"/>
              <w:left w:type="dxa" w:w="120"/>
              <w:bottom w:type="dxa" w:w="100"/>
              <w:right w:type="dxa" w:w="120"/>
            </w:tcMar>
          </w:tcPr>
          <w:p>
            <w:r>
              <w:rPr>
                <w:b w:val="false"/>
                <w:bCs w:val="false"/>
                <w:sz w:val="19"/>
                <w:szCs w:val="19"/>
              </w:rPr>
              <w:t xml:space="preserve">Aurora</w:t>
            </w:r>
          </w:p>
        </w:tc>
        <w:tc>
          <w:tcPr>
            <w:tcW w:type="dxa" w:w="5277"/>
            <w:tcMar>
              <w:top w:type="dxa" w:w="100"/>
              <w:left w:type="dxa" w:w="120"/>
              <w:bottom w:type="dxa" w:w="100"/>
              <w:right w:type="dxa" w:w="120"/>
            </w:tcMar>
          </w:tcPr>
          <w:p>
            <w:r>
              <w:rPr>
                <w:b w:val="false"/>
                <w:bCs w:val="false"/>
                <w:sz w:val="19"/>
                <w:szCs w:val="19"/>
              </w:rPr>
              <w:t xml:space="preserve">Overall delivery accountability; primary relationship owner.</w:t>
            </w:r>
          </w:p>
        </w:tc>
      </w:tr>
      <w:tr>
        <w:tc>
          <w:tcPr>
            <w:tcW w:type="dxa" w:w="2489"/>
            <w:shd w:fill="DCE6F1" w:val="clear"/>
            <w:tcMar>
              <w:top w:type="dxa" w:w="100"/>
              <w:left w:type="dxa" w:w="120"/>
              <w:bottom w:type="dxa" w:w="100"/>
              <w:right w:type="dxa" w:w="120"/>
            </w:tcMar>
          </w:tcPr>
          <w:p>
            <w:r>
              <w:rPr>
                <w:b w:val="false"/>
                <w:bCs w:val="false"/>
                <w:sz w:val="19"/>
                <w:szCs w:val="19"/>
              </w:rPr>
              <w:t xml:space="preserve">Delivery Lead</w:t>
            </w:r>
          </w:p>
        </w:tc>
        <w:tc>
          <w:tcPr>
            <w:tcW w:type="dxa" w:w="1593"/>
            <w:shd w:fill="DCE6F1" w:val="clear"/>
            <w:tcMar>
              <w:top w:type="dxa" w:w="100"/>
              <w:left w:type="dxa" w:w="120"/>
              <w:bottom w:type="dxa" w:w="100"/>
              <w:right w:type="dxa" w:w="120"/>
            </w:tcMar>
          </w:tcPr>
          <w:p>
            <w:r>
              <w:rPr>
                <w:b w:val="false"/>
                <w:bCs w:val="false"/>
                <w:sz w:val="19"/>
                <w:szCs w:val="19"/>
              </w:rPr>
              <w:t xml:space="preserve">Aurora</w:t>
            </w:r>
          </w:p>
        </w:tc>
        <w:tc>
          <w:tcPr>
            <w:tcW w:type="dxa" w:w="5277"/>
            <w:shd w:fill="DCE6F1" w:val="clear"/>
            <w:tcMar>
              <w:top w:type="dxa" w:w="100"/>
              <w:left w:type="dxa" w:w="120"/>
              <w:bottom w:type="dxa" w:w="100"/>
              <w:right w:type="dxa" w:w="120"/>
            </w:tcMar>
          </w:tcPr>
          <w:p>
            <w:r>
              <w:rPr>
                <w:b w:val="false"/>
                <w:bCs w:val="false"/>
                <w:sz w:val="19"/>
                <w:szCs w:val="19"/>
              </w:rPr>
              <w:t xml:space="preserve">Day-to-day delivery management, sprint planning, status reporting.</w:t>
            </w:r>
          </w:p>
        </w:tc>
      </w:tr>
      <w:tr>
        <w:tc>
          <w:tcPr>
            <w:tcW w:type="dxa" w:w="2489"/>
            <w:tcMar>
              <w:top w:type="dxa" w:w="100"/>
              <w:left w:type="dxa" w:w="120"/>
              <w:bottom w:type="dxa" w:w="100"/>
              <w:right w:type="dxa" w:w="120"/>
            </w:tcMar>
          </w:tcPr>
          <w:p>
            <w:r>
              <w:rPr>
                <w:b w:val="false"/>
                <w:bCs w:val="false"/>
                <w:sz w:val="19"/>
                <w:szCs w:val="19"/>
              </w:rPr>
              <w:t xml:space="preserve">Solution Architect</w:t>
            </w:r>
          </w:p>
        </w:tc>
        <w:tc>
          <w:tcPr>
            <w:tcW w:type="dxa" w:w="1593"/>
            <w:tcMar>
              <w:top w:type="dxa" w:w="100"/>
              <w:left w:type="dxa" w:w="120"/>
              <w:bottom w:type="dxa" w:w="100"/>
              <w:right w:type="dxa" w:w="120"/>
            </w:tcMar>
          </w:tcPr>
          <w:p>
            <w:r>
              <w:rPr>
                <w:b w:val="false"/>
                <w:bCs w:val="false"/>
                <w:sz w:val="19"/>
                <w:szCs w:val="19"/>
              </w:rPr>
              <w:t xml:space="preserve">Aurora</w:t>
            </w:r>
          </w:p>
        </w:tc>
        <w:tc>
          <w:tcPr>
            <w:tcW w:type="dxa" w:w="5277"/>
            <w:tcMar>
              <w:top w:type="dxa" w:w="100"/>
              <w:left w:type="dxa" w:w="120"/>
              <w:bottom w:type="dxa" w:w="100"/>
              <w:right w:type="dxa" w:w="120"/>
            </w:tcMar>
          </w:tcPr>
          <w:p>
            <w:r>
              <w:rPr>
                <w:b w:val="false"/>
                <w:bCs w:val="false"/>
                <w:sz w:val="19"/>
                <w:szCs w:val="19"/>
              </w:rPr>
              <w:t xml:space="preserve">Owns target architecture and integration design.</w:t>
            </w:r>
          </w:p>
        </w:tc>
      </w:tr>
      <w:tr>
        <w:tc>
          <w:tcPr>
            <w:tcW w:type="dxa" w:w="2489"/>
            <w:shd w:fill="DCE6F1" w:val="clear"/>
            <w:tcMar>
              <w:top w:type="dxa" w:w="100"/>
              <w:left w:type="dxa" w:w="120"/>
              <w:bottom w:type="dxa" w:w="100"/>
              <w:right w:type="dxa" w:w="120"/>
            </w:tcMar>
          </w:tcPr>
          <w:p>
            <w:r>
              <w:rPr>
                <w:b w:val="false"/>
                <w:bCs w:val="false"/>
                <w:sz w:val="19"/>
                <w:szCs w:val="19"/>
              </w:rPr>
              <w:t xml:space="preserve">Data Scientist(s)</w:t>
            </w:r>
          </w:p>
        </w:tc>
        <w:tc>
          <w:tcPr>
            <w:tcW w:type="dxa" w:w="1593"/>
            <w:shd w:fill="DCE6F1" w:val="clear"/>
            <w:tcMar>
              <w:top w:type="dxa" w:w="100"/>
              <w:left w:type="dxa" w:w="120"/>
              <w:bottom w:type="dxa" w:w="100"/>
              <w:right w:type="dxa" w:w="120"/>
            </w:tcMar>
          </w:tcPr>
          <w:p>
            <w:r>
              <w:rPr>
                <w:b w:val="false"/>
                <w:bCs w:val="false"/>
                <w:sz w:val="19"/>
                <w:szCs w:val="19"/>
              </w:rPr>
              <w:t xml:space="preserve">Aurora</w:t>
            </w:r>
          </w:p>
        </w:tc>
        <w:tc>
          <w:tcPr>
            <w:tcW w:type="dxa" w:w="5277"/>
            <w:shd w:fill="DCE6F1" w:val="clear"/>
            <w:tcMar>
              <w:top w:type="dxa" w:w="100"/>
              <w:left w:type="dxa" w:w="120"/>
              <w:bottom w:type="dxa" w:w="100"/>
              <w:right w:type="dxa" w:w="120"/>
            </w:tcMar>
          </w:tcPr>
          <w:p>
            <w:r>
              <w:rPr>
                <w:b w:val="false"/>
                <w:bCs w:val="false"/>
                <w:sz w:val="19"/>
                <w:szCs w:val="19"/>
              </w:rPr>
              <w:t xml:space="preserve">Develops and validates the demand forecasting model.</w:t>
            </w:r>
          </w:p>
        </w:tc>
      </w:tr>
      <w:tr>
        <w:tc>
          <w:tcPr>
            <w:tcW w:type="dxa" w:w="2489"/>
            <w:tcMar>
              <w:top w:type="dxa" w:w="100"/>
              <w:left w:type="dxa" w:w="120"/>
              <w:bottom w:type="dxa" w:w="100"/>
              <w:right w:type="dxa" w:w="120"/>
            </w:tcMar>
          </w:tcPr>
          <w:p>
            <w:r>
              <w:rPr>
                <w:b w:val="false"/>
                <w:bCs w:val="false"/>
                <w:sz w:val="19"/>
                <w:szCs w:val="19"/>
              </w:rPr>
              <w:t xml:space="preserve">IT Systems Owner</w:t>
            </w:r>
          </w:p>
        </w:tc>
        <w:tc>
          <w:tcPr>
            <w:tcW w:type="dxa" w:w="1593"/>
            <w:tcMar>
              <w:top w:type="dxa" w:w="100"/>
              <w:left w:type="dxa" w:w="120"/>
              <w:bottom w:type="dxa" w:w="100"/>
              <w:right w:type="dxa" w:w="120"/>
            </w:tcMar>
          </w:tcPr>
          <w:p>
            <w:r>
              <w:rPr>
                <w:b w:val="false"/>
                <w:bCs w:val="false"/>
                <w:sz w:val="19"/>
                <w:szCs w:val="19"/>
              </w:rPr>
              <w:t xml:space="preserve">Meridian</w:t>
            </w:r>
          </w:p>
        </w:tc>
        <w:tc>
          <w:tcPr>
            <w:tcW w:type="dxa" w:w="5277"/>
            <w:tcMar>
              <w:top w:type="dxa" w:w="100"/>
              <w:left w:type="dxa" w:w="120"/>
              <w:bottom w:type="dxa" w:w="100"/>
              <w:right w:type="dxa" w:w="120"/>
            </w:tcMar>
          </w:tcPr>
          <w:p>
            <w:r>
              <w:rPr>
                <w:b w:val="false"/>
                <w:bCs w:val="false"/>
                <w:sz w:val="19"/>
                <w:szCs w:val="19"/>
              </w:rPr>
              <w:t xml:space="preserve">Provides access to POS, WMS, and e-commerce systems; supports environment setup.</w:t>
            </w:r>
          </w:p>
        </w:tc>
      </w:tr>
    </w:tbl>
    <w:p>
      <w:pPr>
        <w:pStyle w:val="Heading1"/>
        <w:spacing w:after="160" w:before="360"/>
      </w:pPr>
      <w:r>
        <w:rPr>
          <w:b/>
          <w:bCs/>
          <w:color w:val="1F3864"/>
          <w:sz w:val="26"/>
          <w:szCs w:val="26"/>
        </w:rPr>
        <w:t xml:space="preserve">8. Assumptions &amp; Dependencies</w:t>
      </w:r>
    </w:p>
    <w:p>
      <w:pPr>
        <w:pStyle w:val="ListParagraph"/>
        <w:numPr>
          <w:ilvl w:val="0"/>
          <w:numId w:val="2"/>
        </w:numPr>
        <w:spacing w:after="80"/>
      </w:pPr>
      <w:r>
        <w:rPr>
          <w:sz w:val="21"/>
          <w:szCs w:val="21"/>
        </w:rPr>
        <w:t xml:space="preserve">Meridian will provide timely access to POS, WMS, and e-commerce test environments within 5 business days of contract signature.</w:t>
      </w:r>
    </w:p>
    <w:p>
      <w:pPr>
        <w:pStyle w:val="ListParagraph"/>
        <w:numPr>
          <w:ilvl w:val="0"/>
          <w:numId w:val="2"/>
        </w:numPr>
        <w:spacing w:after="80"/>
      </w:pPr>
      <w:r>
        <w:rPr>
          <w:sz w:val="21"/>
          <w:szCs w:val="21"/>
        </w:rPr>
        <w:t xml:space="preserve">Meridian will make the Product Owner and IT Systems Owner available for a minimum of 8 hours per week throughout the engagement.</w:t>
      </w:r>
    </w:p>
    <w:p>
      <w:pPr>
        <w:pStyle w:val="ListParagraph"/>
        <w:numPr>
          <w:ilvl w:val="0"/>
          <w:numId w:val="2"/>
        </w:numPr>
        <w:spacing w:after="80"/>
      </w:pPr>
      <w:r>
        <w:rPr>
          <w:sz w:val="21"/>
          <w:szCs w:val="21"/>
        </w:rPr>
        <w:t xml:space="preserve">Historical sales data (minimum 24 months) for the top 500 SKUs will be made available in a structured, exportable format.</w:t>
      </w:r>
    </w:p>
    <w:p>
      <w:pPr>
        <w:pStyle w:val="ListParagraph"/>
        <w:numPr>
          <w:ilvl w:val="0"/>
          <w:numId w:val="2"/>
        </w:numPr>
        <w:spacing w:after="80"/>
      </w:pPr>
      <w:r>
        <w:rPr>
          <w:sz w:val="21"/>
          <w:szCs w:val="21"/>
        </w:rPr>
        <w:t xml:space="preserve">Any delay in Client-provided access, data, or approvals of more than 5 business days may result in a corresponding adjustment to the timeline in Section 6.</w:t>
      </w:r>
    </w:p>
    <w:p>
      <w:pPr>
        <w:pStyle w:val="ListParagraph"/>
        <w:numPr>
          <w:ilvl w:val="0"/>
          <w:numId w:val="2"/>
        </w:numPr>
        <w:spacing w:after="80"/>
      </w:pPr>
      <w:r>
        <w:rPr>
          <w:sz w:val="21"/>
          <w:szCs w:val="21"/>
        </w:rPr>
        <w:t xml:space="preserve">All third-party software licensing (cloud hosting, forecasting platform runtime) is the responsibility of the Client unless otherwise agreed in writing.</w:t>
      </w:r>
    </w:p>
    <w:p>
      <w:pPr>
        <w:pStyle w:val="Heading1"/>
        <w:spacing w:after="160" w:before="360"/>
      </w:pPr>
      <w:r>
        <w:rPr>
          <w:b/>
          <w:bCs/>
          <w:color w:val="1F3864"/>
          <w:sz w:val="26"/>
          <w:szCs w:val="26"/>
        </w:rPr>
        <w:t xml:space="preserve">9. Application Security</w:t>
      </w:r>
    </w:p>
    <w:p>
      <w:pPr>
        <w:spacing w:after="160"/>
      </w:pPr>
      <w:r>
        <w:rPr>
          <w:sz w:val="21"/>
          <w:szCs w:val="21"/>
        </w:rPr>
        <w:t xml:space="preserve">Given the platform's access to POS transaction data and integration touchpoints across three production systems, Aurora will apply the IBM Consulting Cybersecurity Services Digital AppSec Champion (DASC) methodology during solution design, covering: data flow and access-control review across the integration layer, secure handling of any AI-agent-assisted code generation and internal tooling used during Phase 2, and validation that role-based dashboard access enforces least-privilege by user role. Findings and remediations will be documented in a DASC Security Review Summary, delivered alongside D2 (Solution Design Document).</w:t>
      </w:r>
    </w:p>
    <w:p>
      <w:pPr>
        <w:pStyle w:val="Heading1"/>
        <w:spacing w:after="160" w:before="360"/>
      </w:pPr>
      <w:r>
        <w:rPr>
          <w:b/>
          <w:bCs/>
          <w:color w:val="1F3864"/>
          <w:sz w:val="26"/>
          <w:szCs w:val="26"/>
        </w:rPr>
        <w:t xml:space="preserve">10. Acceptance Criteria</w:t>
      </w:r>
    </w:p>
    <w:p>
      <w:pPr>
        <w:spacing w:after="160"/>
      </w:pPr>
      <w:r>
        <w:rPr>
          <w:sz w:val="21"/>
          <w:szCs w:val="21"/>
        </w:rPr>
        <w:t xml:space="preserve">Each deliverable in Section 4 will be reviewed by the Client's Product Owner within 5 business days of submission. Deliverables will be deemed accepted if no written objection specifying material, documented non-conformance with the applicable requirements is received within that window. Acceptance of a deliverable does not waive Aurora's obligation to remediate defects identified during subsequent testing phases.</w:t>
      </w:r>
    </w:p>
    <w:p>
      <w:pPr>
        <w:pStyle w:val="Heading1"/>
        <w:spacing w:after="160" w:before="360"/>
      </w:pPr>
      <w:r>
        <w:rPr>
          <w:b/>
          <w:bCs/>
          <w:color w:val="1F3864"/>
          <w:sz w:val="26"/>
          <w:szCs w:val="26"/>
        </w:rPr>
        <w:t xml:space="preserve">11. Change Management</w:t>
      </w:r>
    </w:p>
    <w:p>
      <w:pPr>
        <w:spacing w:after="160"/>
      </w:pPr>
      <w:r>
        <w:rPr>
          <w:sz w:val="21"/>
          <w:szCs w:val="21"/>
        </w:rPr>
        <w:t xml:space="preserve">Any request to modify scope, deliverables, timeline, or fees defined in this SOW will be documented in a Change Request (CR) describing the change, impact on timeline and fees, and required approvals. No change will be implemented until the CR is signed by both parties' Engagement Sponsors.</w:t>
      </w:r>
    </w:p>
    <w:p>
      <w:pPr>
        <w:pStyle w:val="Heading1"/>
        <w:spacing w:after="160" w:before="360"/>
      </w:pPr>
      <w:r>
        <w:rPr>
          <w:b/>
          <w:bCs/>
          <w:color w:val="1F3864"/>
          <w:sz w:val="26"/>
          <w:szCs w:val="26"/>
        </w:rPr>
        <w:t xml:space="preserve">12.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6"/>
        <w:gridCol w:w="1593"/>
        <w:gridCol w:w="4580"/>
      </w:tblGrid>
      <w:tr>
        <w:trPr>
          <w:tblHeader/>
        </w:trPr>
        <w:tc>
          <w:tcPr>
            <w:tcW w:type="dxa" w:w="3186"/>
            <w:shd w:fill="1F3864" w:val="clear"/>
            <w:tcMar>
              <w:top w:type="dxa" w:w="100"/>
              <w:left w:type="dxa" w:w="120"/>
              <w:bottom w:type="dxa" w:w="100"/>
              <w:right w:type="dxa" w:w="120"/>
            </w:tcMar>
          </w:tcPr>
          <w:p>
            <w:r>
              <w:rPr>
                <w:b/>
                <w:bCs/>
                <w:color w:val="FFFFFF"/>
                <w:sz w:val="19"/>
                <w:szCs w:val="19"/>
              </w:rPr>
              <w:t xml:space="preserve">Phase</w:t>
            </w:r>
          </w:p>
        </w:tc>
        <w:tc>
          <w:tcPr>
            <w:tcW w:type="dxa" w:w="1593"/>
            <w:shd w:fill="1F3864" w:val="clear"/>
            <w:tcMar>
              <w:top w:type="dxa" w:w="100"/>
              <w:left w:type="dxa" w:w="120"/>
              <w:bottom w:type="dxa" w:w="100"/>
              <w:right w:type="dxa" w:w="120"/>
            </w:tcMar>
          </w:tcPr>
          <w:p>
            <w:r>
              <w:rPr>
                <w:b/>
                <w:bCs/>
                <w:color w:val="FFFFFF"/>
                <w:sz w:val="19"/>
                <w:szCs w:val="19"/>
              </w:rPr>
              <w:t xml:space="preserve">Fee (USD)</w:t>
            </w:r>
          </w:p>
        </w:tc>
        <w:tc>
          <w:tcPr>
            <w:tcW w:type="dxa" w:w="4580"/>
            <w:shd w:fill="1F3864" w:val="clear"/>
            <w:tcMar>
              <w:top w:type="dxa" w:w="100"/>
              <w:left w:type="dxa" w:w="120"/>
              <w:bottom w:type="dxa" w:w="100"/>
              <w:right w:type="dxa" w:w="120"/>
            </w:tcMar>
          </w:tcPr>
          <w:p>
            <w:r>
              <w:rPr>
                <w:b/>
                <w:bCs/>
                <w:color w:val="FFFFFF"/>
                <w:sz w:val="19"/>
                <w:szCs w:val="19"/>
              </w:rPr>
              <w:t xml:space="preserve">Billing Trigger</w:t>
            </w:r>
          </w:p>
        </w:tc>
      </w:tr>
      <w:tr>
        <w:tc>
          <w:tcPr>
            <w:tcW w:type="dxa" w:w="3186"/>
            <w:tcMar>
              <w:top w:type="dxa" w:w="100"/>
              <w:left w:type="dxa" w:w="120"/>
              <w:bottom w:type="dxa" w:w="100"/>
              <w:right w:type="dxa" w:w="120"/>
            </w:tcMar>
          </w:tcPr>
          <w:p>
            <w:r>
              <w:rPr>
                <w:b w:val="false"/>
                <w:bCs w:val="false"/>
                <w:sz w:val="19"/>
                <w:szCs w:val="19"/>
              </w:rPr>
              <w:t xml:space="preserve">Phase 1 – Discovery &amp; Design</w:t>
            </w:r>
          </w:p>
        </w:tc>
        <w:tc>
          <w:tcPr>
            <w:tcW w:type="dxa" w:w="1593"/>
            <w:tcMar>
              <w:top w:type="dxa" w:w="100"/>
              <w:left w:type="dxa" w:w="120"/>
              <w:bottom w:type="dxa" w:w="100"/>
              <w:right w:type="dxa" w:w="120"/>
            </w:tcMar>
          </w:tcPr>
          <w:p>
            <w:r>
              <w:rPr>
                <w:b w:val="false"/>
                <w:bCs w:val="false"/>
                <w:sz w:val="19"/>
                <w:szCs w:val="19"/>
              </w:rPr>
              <w:t xml:space="preserve">$180,000</w:t>
            </w:r>
          </w:p>
        </w:tc>
        <w:tc>
          <w:tcPr>
            <w:tcW w:type="dxa" w:w="4580"/>
            <w:tcMar>
              <w:top w:type="dxa" w:w="100"/>
              <w:left w:type="dxa" w:w="120"/>
              <w:bottom w:type="dxa" w:w="100"/>
              <w:right w:type="dxa" w:w="120"/>
            </w:tcMar>
          </w:tcPr>
          <w:p>
            <w:r>
              <w:rPr>
                <w:b w:val="false"/>
                <w:bCs w:val="false"/>
                <w:sz w:val="19"/>
                <w:szCs w:val="19"/>
              </w:rPr>
              <w:t xml:space="preserve">Upon Client sign-off of M2 (Design Approved).</w:t>
            </w:r>
          </w:p>
        </w:tc>
      </w:tr>
      <w:tr>
        <w:tc>
          <w:tcPr>
            <w:tcW w:type="dxa" w:w="3186"/>
            <w:shd w:fill="DCE6F1" w:val="clear"/>
            <w:tcMar>
              <w:top w:type="dxa" w:w="100"/>
              <w:left w:type="dxa" w:w="120"/>
              <w:bottom w:type="dxa" w:w="100"/>
              <w:right w:type="dxa" w:w="120"/>
            </w:tcMar>
          </w:tcPr>
          <w:p>
            <w:r>
              <w:rPr>
                <w:b w:val="false"/>
                <w:bCs w:val="false"/>
                <w:sz w:val="19"/>
                <w:szCs w:val="19"/>
              </w:rPr>
              <w:t xml:space="preserve">Phase 2 – Build</w:t>
            </w:r>
          </w:p>
        </w:tc>
        <w:tc>
          <w:tcPr>
            <w:tcW w:type="dxa" w:w="1593"/>
            <w:shd w:fill="DCE6F1" w:val="clear"/>
            <w:tcMar>
              <w:top w:type="dxa" w:w="100"/>
              <w:left w:type="dxa" w:w="120"/>
              <w:bottom w:type="dxa" w:w="100"/>
              <w:right w:type="dxa" w:w="120"/>
            </w:tcMar>
          </w:tcPr>
          <w:p>
            <w:r>
              <w:rPr>
                <w:b w:val="false"/>
                <w:bCs w:val="false"/>
                <w:sz w:val="19"/>
                <w:szCs w:val="19"/>
              </w:rPr>
              <w:t xml:space="preserve">$420,000</w:t>
            </w:r>
          </w:p>
        </w:tc>
        <w:tc>
          <w:tcPr>
            <w:tcW w:type="dxa" w:w="4580"/>
            <w:shd w:fill="DCE6F1" w:val="clear"/>
            <w:tcMar>
              <w:top w:type="dxa" w:w="100"/>
              <w:left w:type="dxa" w:w="120"/>
              <w:bottom w:type="dxa" w:w="100"/>
              <w:right w:type="dxa" w:w="120"/>
            </w:tcMar>
          </w:tcPr>
          <w:p>
            <w:r>
              <w:rPr>
                <w:b w:val="false"/>
                <w:bCs w:val="false"/>
                <w:sz w:val="19"/>
                <w:szCs w:val="19"/>
              </w:rPr>
              <w:t xml:space="preserve">50% upon Phase 2 kickoff; 50% upon M3 (Build Complete).</w:t>
            </w:r>
          </w:p>
        </w:tc>
      </w:tr>
      <w:tr>
        <w:tc>
          <w:tcPr>
            <w:tcW w:type="dxa" w:w="3186"/>
            <w:tcMar>
              <w:top w:type="dxa" w:w="100"/>
              <w:left w:type="dxa" w:w="120"/>
              <w:bottom w:type="dxa" w:w="100"/>
              <w:right w:type="dxa" w:w="120"/>
            </w:tcMar>
          </w:tcPr>
          <w:p>
            <w:r>
              <w:rPr>
                <w:b w:val="false"/>
                <w:bCs w:val="false"/>
                <w:sz w:val="19"/>
                <w:szCs w:val="19"/>
              </w:rPr>
              <w:t xml:space="preserve">Phase 3 – Test &amp; Stabilize</w:t>
            </w:r>
          </w:p>
        </w:tc>
        <w:tc>
          <w:tcPr>
            <w:tcW w:type="dxa" w:w="1593"/>
            <w:tcMar>
              <w:top w:type="dxa" w:w="100"/>
              <w:left w:type="dxa" w:w="120"/>
              <w:bottom w:type="dxa" w:w="100"/>
              <w:right w:type="dxa" w:w="120"/>
            </w:tcMar>
          </w:tcPr>
          <w:p>
            <w:r>
              <w:rPr>
                <w:b w:val="false"/>
                <w:bCs w:val="false"/>
                <w:sz w:val="19"/>
                <w:szCs w:val="19"/>
              </w:rPr>
              <w:t xml:space="preserve">$140,000</w:t>
            </w:r>
          </w:p>
        </w:tc>
        <w:tc>
          <w:tcPr>
            <w:tcW w:type="dxa" w:w="4580"/>
            <w:tcMar>
              <w:top w:type="dxa" w:w="100"/>
              <w:left w:type="dxa" w:w="120"/>
              <w:bottom w:type="dxa" w:w="100"/>
              <w:right w:type="dxa" w:w="120"/>
            </w:tcMar>
          </w:tcPr>
          <w:p>
            <w:r>
              <w:rPr>
                <w:b w:val="false"/>
                <w:bCs w:val="false"/>
                <w:sz w:val="19"/>
                <w:szCs w:val="19"/>
              </w:rPr>
              <w:t xml:space="preserve">Upon Client sign-off of M4 (UAT Sign-off).</w:t>
            </w:r>
          </w:p>
        </w:tc>
      </w:tr>
      <w:tr>
        <w:tc>
          <w:tcPr>
            <w:tcW w:type="dxa" w:w="3186"/>
            <w:shd w:fill="DCE6F1" w:val="clear"/>
            <w:tcMar>
              <w:top w:type="dxa" w:w="100"/>
              <w:left w:type="dxa" w:w="120"/>
              <w:bottom w:type="dxa" w:w="100"/>
              <w:right w:type="dxa" w:w="120"/>
            </w:tcMar>
          </w:tcPr>
          <w:p>
            <w:r>
              <w:rPr>
                <w:b w:val="false"/>
                <w:bCs w:val="false"/>
                <w:sz w:val="19"/>
                <w:szCs w:val="19"/>
              </w:rPr>
              <w:t xml:space="preserve">Phase 4 – Deploy &amp; Hypercare</w:t>
            </w:r>
          </w:p>
        </w:tc>
        <w:tc>
          <w:tcPr>
            <w:tcW w:type="dxa" w:w="1593"/>
            <w:shd w:fill="DCE6F1" w:val="clear"/>
            <w:tcMar>
              <w:top w:type="dxa" w:w="100"/>
              <w:left w:type="dxa" w:w="120"/>
              <w:bottom w:type="dxa" w:w="100"/>
              <w:right w:type="dxa" w:w="120"/>
            </w:tcMar>
          </w:tcPr>
          <w:p>
            <w:r>
              <w:rPr>
                <w:b w:val="false"/>
                <w:bCs w:val="false"/>
                <w:sz w:val="19"/>
                <w:szCs w:val="19"/>
              </w:rPr>
              <w:t xml:space="preserve">$110,000</w:t>
            </w:r>
          </w:p>
        </w:tc>
        <w:tc>
          <w:tcPr>
            <w:tcW w:type="dxa" w:w="4580"/>
            <w:shd w:fill="DCE6F1" w:val="clear"/>
            <w:tcMar>
              <w:top w:type="dxa" w:w="100"/>
              <w:left w:type="dxa" w:w="120"/>
              <w:bottom w:type="dxa" w:w="100"/>
              <w:right w:type="dxa" w:w="120"/>
            </w:tcMar>
          </w:tcPr>
          <w:p>
            <w:r>
              <w:rPr>
                <w:b w:val="false"/>
                <w:bCs w:val="false"/>
                <w:sz w:val="19"/>
                <w:szCs w:val="19"/>
              </w:rPr>
              <w:t xml:space="preserve">Upon M6 (Engagement Close).</w:t>
            </w:r>
          </w:p>
        </w:tc>
      </w:tr>
      <w:tr>
        <w:tc>
          <w:tcPr>
            <w:tcW w:type="dxa" w:w="3186"/>
            <w:tcMar>
              <w:top w:type="dxa" w:w="100"/>
              <w:left w:type="dxa" w:w="120"/>
              <w:bottom w:type="dxa" w:w="100"/>
              <w:right w:type="dxa" w:w="120"/>
            </w:tcMar>
          </w:tcPr>
          <w:p>
            <w:r>
              <w:rPr>
                <w:b w:val="false"/>
                <w:bCs w:val="false"/>
                <w:sz w:val="19"/>
                <w:szCs w:val="19"/>
              </w:rPr>
              <w:t xml:space="preserve">Total</w:t>
            </w:r>
          </w:p>
        </w:tc>
        <w:tc>
          <w:tcPr>
            <w:tcW w:type="dxa" w:w="1593"/>
            <w:tcMar>
              <w:top w:type="dxa" w:w="100"/>
              <w:left w:type="dxa" w:w="120"/>
              <w:bottom w:type="dxa" w:w="100"/>
              <w:right w:type="dxa" w:w="120"/>
            </w:tcMar>
          </w:tcPr>
          <w:p>
            <w:r>
              <w:rPr>
                <w:b w:val="false"/>
                <w:bCs w:val="false"/>
                <w:sz w:val="19"/>
                <w:szCs w:val="19"/>
              </w:rPr>
              <w:t xml:space="preserve">$850,000</w:t>
            </w:r>
          </w:p>
        </w:tc>
        <w:tc>
          <w:tcPr>
            <w:tcW w:type="dxa" w:w="4580"/>
            <w:tcMar>
              <w:top w:type="dxa" w:w="100"/>
              <w:left w:type="dxa" w:w="120"/>
              <w:bottom w:type="dxa" w:w="100"/>
              <w:right w:type="dxa" w:w="120"/>
            </w:tcMar>
          </w:tcPr>
          <w:p>
            <w:r>
              <w:rPr>
                <w:b w:val="false"/>
                <w:bCs w:val="false"/>
                <w:sz w:val="19"/>
                <w:szCs w:val="19"/>
              </w:rPr>
              <w:t xml:space="preserve"/>
            </w:r>
          </w:p>
        </w:tc>
      </w:tr>
    </w:tbl>
    <w:p>
      <w:pPr>
        <w:spacing w:after="160"/>
      </w:pPr>
      <w:r>
        <w:rPr>
          <w:sz w:val="21"/>
          <w:szCs w:val="21"/>
        </w:rPr>
        <w:t xml:space="preserve">Fees exclude applicable taxes and any pre-approved travel expenses, which will be billed at cost with prior written approval. Payment terms are net 30 days from invoice date, per the Master Services Agreement.</w:t>
      </w:r>
    </w:p>
    <w:p>
      <w:pPr>
        <w:pStyle w:val="Heading1"/>
        <w:spacing w:after="160" w:before="360"/>
      </w:pPr>
      <w:r>
        <w:rPr>
          <w:b/>
          <w:bCs/>
          <w:color w:val="1F3864"/>
          <w:sz w:val="26"/>
          <w:szCs w:val="26"/>
        </w:rPr>
        <w:t xml:space="preserve">13. Signatures</w:t>
      </w:r>
    </w:p>
    <w:p>
      <w:pPr>
        <w:spacing w:after="160"/>
      </w:pPr>
      <w:r>
        <w:rPr>
          <w:sz w:val="21"/>
          <w:szCs w:val="21"/>
        </w:rPr>
        <w:t xml:space="preserve">By signing below, the parties agree to the scope, deliverables, timeline, and commercial terms set out in this Statement of Work.</w:t>
      </w:r>
    </w:p>
    <w:p>
      <w:pPr>
        <w:spacing w:before="400"/>
      </w:pPr>
      <w:r>
        <w:rPr>
          <w:b/>
          <w:bCs/>
          <w:sz w:val="21"/>
          <w:szCs w:val="21"/>
        </w:rPr>
        <w:t xml:space="preserve">For Meridian Retail Group</w:t>
      </w:r>
    </w:p>
    <w:p>
      <w:pPr>
        <w:pBdr>
          <w:bottom w:val="single" w:color="000000" w:sz="4" w:space="1"/>
        </w:pBdr>
        <w:spacing w:after="40" w:before="300"/>
      </w:pPr>
      <w:r>
        <w:rPr>
          <w:sz w:val="21"/>
          <w:szCs w:val="21"/>
        </w:rPr>
        <w:t xml:space="preserve">                                                            </w:t>
      </w:r>
    </w:p>
    <w:p>
      <w:pPr>
        <w:spacing w:after="160"/>
      </w:pPr>
      <w:r>
        <w:rPr>
          <w:color w:val="595959"/>
          <w:sz w:val="18"/>
          <w:szCs w:val="18"/>
        </w:rPr>
        <w:t xml:space="preserve">Name / Title / Date</w:t>
      </w:r>
    </w:p>
    <w:p>
      <w:pPr>
        <w:spacing w:before="400"/>
      </w:pPr>
      <w:r>
        <w:rPr>
          <w:b/>
          <w:bCs/>
          <w:sz w:val="21"/>
          <w:szCs w:val="21"/>
        </w:rPr>
        <w:t xml:space="preserve">For Aurora Consulting Partners</w:t>
      </w:r>
    </w:p>
    <w:p>
      <w:pPr>
        <w:pBdr>
          <w:bottom w:val="single" w:color="000000" w:sz="4" w:space="1"/>
        </w:pBdr>
        <w:spacing w:after="40" w:before="300"/>
      </w:pPr>
      <w:r>
        <w:rPr>
          <w:sz w:val="21"/>
          <w:szCs w:val="21"/>
        </w:rPr>
        <w:t xml:space="preserve">                                                            </w:t>
      </w:r>
    </w:p>
    <w:p>
      <w:pPr>
        <w:spacing w:after="160"/>
      </w:pPr>
      <w:r>
        <w:rPr>
          <w:color w:val="595959"/>
          <w:sz w:val="18"/>
          <w:szCs w:val="18"/>
        </w:rPr>
        <w:t xml:space="preserve">Name / Title /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SOW-MRG-2026-014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Meridian Retail Group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2026-07-09T11:39:40.011Z</dcterms:created>
  <dcterms:modified xsi:type="dcterms:W3CDTF">2026-07-09T11:39:40.023Z</dcterms:modified>
</cp:coreProperties>
</file>

<file path=docProps/custom.xml><?xml version="1.0" encoding="utf-8"?>
<Properties xmlns="http://schemas.openxmlformats.org/officeDocument/2006/custom-properties" xmlns:vt="http://schemas.openxmlformats.org/officeDocument/2006/docPropsVTypes"/>
</file>