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color w:val="003366"/>
          <w:sz w:val="40"/>
        </w:rPr>
        <w:t>📋 TECHCORP — DOSSIER OFFICIEL DES LIVRABLES, CONFORMITÉ GIT &amp; SOUTENANCE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CONFORMITÉ DU DÉPÔT GIT OBLIGATOIRE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Exigence Officielle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Preuve Technique &amp; Emplacement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Un dépôt commun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</w:t>
            </w:r>
            <w:r>
              <w:rPr>
                <w:rFonts w:ascii="Calibri" w:hAnsi="Calibri"/>
                <w:b/>
                <w:color w:val="282828"/>
                <w:sz w:val="19"/>
              </w:rPr>
              <w:t>Dépôt GitHub :</w:t>
            </w:r>
            <w:r>
              <w:rPr>
                <w:rFonts w:ascii="Calibri" w:hAnsi="Calibri"/>
                <w:color w:val="282828"/>
                <w:sz w:val="19"/>
              </w:rPr>
              <w:t xml:space="preserve"> 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https://github.com/spirit0621/Master-1-SI</w:t>
            </w:r>
            <w:r>
              <w:rPr>
                <w:rFonts w:ascii="Calibri" w:hAnsi="Calibri"/>
                <w:color w:val="282828"/>
                <w:sz w:val="19"/>
              </w:rPr>
              <w:t xml:space="preserve">- &lt;br /&gt;- Branche dédiée au TP Final : 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`tpfinale`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Commits identifiables par étudiant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Tous les commits sont enregistrés sous l'identifiant GitHub de l'étudiant (</w:t>
            </w:r>
            <w:r>
              <w:rPr>
                <w:rFonts w:ascii="Calibri" w:hAnsi="Calibri"/>
                <w:b/>
                <w:color w:val="282828"/>
                <w:sz w:val="19"/>
              </w:rPr>
              <w:t>`spirit0621`</w:t>
            </w:r>
            <w:r>
              <w:rPr>
                <w:rFonts w:ascii="Calibri" w:hAnsi="Calibri"/>
                <w:color w:val="282828"/>
                <w:sz w:val="19"/>
              </w:rPr>
              <w:t>).- Messages de commits explicites et horodatés.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README de lancement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Fichier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`TPFINALE/README.md`</w:t>
            </w:r>
            <w:r>
              <w:rPr>
                <w:rFonts w:ascii="Calibri" w:hAnsi="Calibri"/>
                <w:color w:val="282828"/>
                <w:sz w:val="19"/>
              </w:rPr>
              <w:t xml:space="preserve"> détaillant les prérequis, l'installation, le démarrage ordonné et la matrice des ports d'écoute (</w:t>
            </w:r>
            <w:r>
              <w:rPr>
                <w:rFonts w:ascii="Consolas" w:hAnsi="Consolas"/>
                <w:color w:val="B42828"/>
                <w:sz w:val="19"/>
              </w:rPr>
              <w:t>8000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8501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11434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5432</w:t>
            </w:r>
            <w:r>
              <w:rPr>
                <w:rFonts w:ascii="Calibri" w:hAnsi="Calibri"/>
                <w:color w:val="282828"/>
                <w:sz w:val="19"/>
              </w:rPr>
              <w:t>) sans exposer aucun mot de passe.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`.gitignore` conforme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Présent à la racine (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`.gitignore`</w:t>
            </w:r>
            <w:r>
              <w:rPr>
                <w:rFonts w:ascii="Calibri" w:hAnsi="Calibri"/>
                <w:color w:val="282828"/>
                <w:sz w:val="19"/>
              </w:rPr>
              <w:t xml:space="preserve">) et dans </w:t>
            </w:r>
            <w:r>
              <w:rPr>
                <w:rFonts w:ascii="Consolas" w:hAnsi="Consolas"/>
                <w:color w:val="B42828"/>
                <w:sz w:val="19"/>
              </w:rPr>
              <w:t>TPFINALE/.gitignore</w:t>
            </w:r>
            <w:r>
              <w:rPr>
                <w:rFonts w:ascii="Calibri" w:hAnsi="Calibri"/>
                <w:color w:val="282828"/>
                <w:sz w:val="19"/>
              </w:rPr>
              <w:t xml:space="preserve">.- Exclut formellement :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.venv/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venv/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__pycache__/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*.safetensors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DOCS PERSO/</w:t>
            </w:r>
            <w:r>
              <w:rPr>
                <w:rFonts w:ascii="Calibri" w:hAnsi="Calibri"/>
                <w:color w:val="282828"/>
                <w:sz w:val="19"/>
              </w:rPr>
              <w:t xml:space="preserve"> et tous les fichiers sensibles.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Organisation du projet lisible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Arborescence claire et modulaire par responsabilités (</w:t>
            </w:r>
            <w:r>
              <w:rPr>
                <w:rFonts w:ascii="Consolas" w:hAnsi="Consolas"/>
                <w:color w:val="B42828"/>
                <w:sz w:val="19"/>
              </w:rPr>
              <w:t>api/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app/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etl/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mcp_server/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procedures/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sql/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tests/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docs/</w:t>
            </w:r>
            <w:r>
              <w:rPr>
                <w:rFonts w:ascii="Calibri" w:hAnsi="Calibri"/>
                <w:color w:val="282828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LES 7 LIVRABLES DU PROJET POUR VENDREDI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Livrable Exigé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Emplacement &amp; Contenu Validé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Code source</w:t>
            </w:r>
            <w:r>
              <w:rPr>
                <w:rFonts w:ascii="Calibri" w:hAnsi="Calibri"/>
                <w:i/>
                <w:color w:val="282828"/>
                <w:sz w:val="19"/>
              </w:rPr>
              <w:t>Dépôt Git complet et exécutable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Dépôt GitHub complet et clonable avec ses branches</w:t>
            </w:r>
            <w:r>
              <w:rPr>
                <w:rFonts w:ascii="Consolas" w:hAnsi="Consolas"/>
                <w:color w:val="B42828"/>
                <w:sz w:val="19"/>
              </w:rPr>
              <w:t>main</w:t>
            </w:r>
            <w:r>
              <w:rPr>
                <w:rFonts w:ascii="Calibri" w:hAnsi="Calibri"/>
                <w:color w:val="282828"/>
                <w:sz w:val="19"/>
              </w:rPr>
              <w:t xml:space="preserve"> et </w:t>
            </w:r>
            <w:r>
              <w:rPr>
                <w:rFonts w:ascii="Consolas" w:hAnsi="Consolas"/>
                <w:color w:val="B42828"/>
                <w:sz w:val="19"/>
              </w:rPr>
              <w:t>tpfinale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README</w:t>
            </w:r>
            <w:r>
              <w:rPr>
                <w:rFonts w:ascii="Calibri" w:hAnsi="Calibri"/>
                <w:i/>
                <w:color w:val="282828"/>
                <w:sz w:val="19"/>
              </w:rPr>
              <w:t>Prérequis, installation, lancement, comptes/ports sans secret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0066CC"/>
                <w:sz w:val="19"/>
                <w:u w:val="single"/>
              </w:rPr>
              <w:t>`TPFINALE/README.md`</w:t>
            </w:r>
            <w:r>
              <w:rPr>
                <w:rFonts w:ascii="Calibri" w:hAnsi="Calibri"/>
                <w:color w:val="282828"/>
                <w:sz w:val="19"/>
              </w:rPr>
              <w:t xml:space="preserve"> structuré avec commandes exactes, guide Docker et variables documentées.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Rapport PDF ou Word</w:t>
            </w:r>
            <w:r>
              <w:rPr>
                <w:rFonts w:ascii="Calibri" w:hAnsi="Calibri"/>
                <w:i/>
                <w:color w:val="282828"/>
                <w:sz w:val="19"/>
              </w:rPr>
              <w:t>8 à 12 pages hors annexes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0066CC"/>
                <w:sz w:val="19"/>
                <w:u w:val="single"/>
              </w:rPr>
              <w:t>`docs/RAPPORT_TECHNIQUE_TECHCORP.md`</w:t>
            </w:r>
            <w:r>
              <w:rPr>
                <w:rFonts w:ascii="Calibri" w:hAnsi="Calibri"/>
                <w:color w:val="282828"/>
                <w:sz w:val="19"/>
              </w:rPr>
              <w:t xml:space="preserve"> (calibré à 11 pages, convertible sous Word/PDF).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Schéma d’architecture</w:t>
            </w:r>
            <w:r>
              <w:rPr>
                <w:rFonts w:ascii="Calibri" w:hAnsi="Calibri"/>
                <w:i/>
                <w:color w:val="282828"/>
                <w:sz w:val="19"/>
              </w:rPr>
              <w:t>Machines, composants, IP, ports, protocoles, flux, contrôles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Classeur Draw.io éditable :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`docs/DOC SCHema drawio/TECHCORP_TOUS_LES_SCHEMAS.drawio`</w:t>
            </w:r>
            <w:r>
              <w:rPr>
                <w:rFonts w:ascii="Calibri" w:hAnsi="Calibri"/>
                <w:color w:val="282828"/>
                <w:sz w:val="19"/>
              </w:rPr>
              <w:t xml:space="preserve">- Dossier d'architecture réseau : 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`docs/ARCHITECTURE_FLUX_RESEAU.md`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SQL / ETL</w:t>
            </w:r>
            <w:r>
              <w:rPr>
                <w:rFonts w:ascii="Calibri" w:hAnsi="Calibri"/>
                <w:i/>
                <w:color w:val="282828"/>
                <w:sz w:val="19"/>
              </w:rPr>
              <w:t>schema.sql + traitement reproductible des données brutes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Schéma 3FN :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`sql/schema.sql`</w:t>
            </w:r>
            <w:r>
              <w:rPr>
                <w:rFonts w:ascii="Calibri" w:hAnsi="Calibri"/>
                <w:color w:val="282828"/>
                <w:sz w:val="19"/>
              </w:rPr>
              <w:t xml:space="preserve">- Pipeline reproductible : 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`etl/clean_and_load.py`</w:t>
            </w:r>
            <w:r>
              <w:rPr>
                <w:rFonts w:ascii="Calibri" w:hAnsi="Calibri"/>
                <w:color w:val="282828"/>
                <w:sz w:val="19"/>
              </w:rPr>
              <w:t xml:space="preserve">- Données brutes : 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`etl/data_raw/`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Captures techniques</w:t>
            </w:r>
            <w:r>
              <w:rPr>
                <w:rFonts w:ascii="Calibri" w:hAnsi="Calibri"/>
                <w:i/>
                <w:color w:val="282828"/>
                <w:sz w:val="19"/>
              </w:rPr>
              <w:t>MCP Inspector / logs / tests réseau / API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Traces d'appels JSONL :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`logs/techcorp_calls.jsonl`</w:t>
            </w:r>
            <w:r>
              <w:rPr>
                <w:rFonts w:ascii="Calibri" w:hAnsi="Calibri"/>
                <w:color w:val="282828"/>
                <w:sz w:val="19"/>
              </w:rPr>
              <w:t xml:space="preserve">- Tests Pytest : 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`tests/`</w:t>
            </w:r>
            <w:r>
              <w:rPr>
                <w:rFonts w:ascii="Calibri" w:hAnsi="Calibri"/>
                <w:color w:val="282828"/>
                <w:sz w:val="19"/>
              </w:rPr>
              <w:t xml:space="preserve">- Swagger API : </w:t>
            </w:r>
            <w:r>
              <w:rPr>
                <w:rFonts w:ascii="Consolas" w:hAnsi="Consolas"/>
                <w:color w:val="B42828"/>
                <w:sz w:val="19"/>
              </w:rPr>
              <w:t>/docs</w:t>
            </w:r>
            <w:r>
              <w:rPr>
                <w:rFonts w:ascii="Calibri" w:hAnsi="Calibri"/>
                <w:color w:val="282828"/>
                <w:sz w:val="19"/>
              </w:rPr>
              <w:t xml:space="preserve"> et </w:t>
            </w:r>
            <w:r>
              <w:rPr>
                <w:rFonts w:ascii="Consolas" w:hAnsi="Consolas"/>
                <w:color w:val="B42828"/>
                <w:sz w:val="19"/>
              </w:rPr>
              <w:t>/health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Démonstration</w:t>
            </w:r>
            <w:r>
              <w:rPr>
                <w:rFonts w:ascii="Calibri" w:hAnsi="Calibri"/>
                <w:i/>
                <w:color w:val="282828"/>
                <w:sz w:val="19"/>
              </w:rPr>
              <w:t>Scénarios socle + F4, F5 et sécurité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Interface Streamlit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`app/main.py`</w:t>
            </w:r>
            <w:r>
              <w:rPr>
                <w:rFonts w:ascii="Calibri" w:hAnsi="Calibri"/>
                <w:color w:val="282828"/>
                <w:sz w:val="19"/>
              </w:rPr>
              <w:t xml:space="preserve"> équipée de boutons 1-clic pour dérouler les 5 scénarios sans saisie manuelle.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STRUCTURE DU RAPPORT TECHNIQUE (8 SECTIONS OBLIGATOIRES)</w:t>
      </w:r>
    </w:p>
    <w:p>
      <w:pPr>
        <w:spacing w:before="40" w:after="80" w:line="276" w:lineRule="auto"/>
      </w:pPr>
      <w:r>
        <w:t xml:space="preserve">Le document officiel </w:t>
      </w:r>
      <w:r>
        <w:rPr>
          <w:color w:val="0066CC"/>
          <w:u w:val="single"/>
        </w:rPr>
        <w:t>docs/RAPPORT_TECHNIQUE_TECHCORP.md</w:t>
      </w:r>
      <w:r>
        <w:t xml:space="preserve"> respecte rigoureusement les 8 chapitres exigés :</w:t>
      </w:r>
    </w:p>
    <w:p>
      <w:pPr>
        <w:pStyle w:val="ListNumber"/>
        <w:spacing w:before="20" w:after="40" w:line="276" w:lineRule="auto"/>
      </w:pPr>
      <w:r>
        <w:rPr>
          <w:b/>
        </w:rPr>
        <w:t>Contexte et besoin métier :</w:t>
      </w:r>
      <w:r>
        <w:t xml:space="preserve"> Description du SI TECHCORP, dispersion des données, diagnostic des pannes et objectifs d'automatisation.</w:t>
      </w:r>
    </w:p>
    <w:p>
      <w:pPr>
        <w:pStyle w:val="ListNumber"/>
        <w:spacing w:before="20" w:after="40" w:line="276" w:lineRule="auto"/>
      </w:pPr>
      <w:r>
        <w:rPr>
          <w:b/>
        </w:rPr>
        <w:t>Architecture retenue et justification :</w:t>
      </w:r>
      <w:r>
        <w:t xml:space="preserve"> Choix des technologies (Ollama local pour la souveraineté, FastMCP pour la normalisation, FastAPI pour la gouvernance, PostgreSQL pour la rigueur ACID).</w:t>
      </w:r>
    </w:p>
    <w:p>
      <w:pPr>
        <w:pStyle w:val="ListNumber"/>
        <w:spacing w:before="20" w:after="40" w:line="276" w:lineRule="auto"/>
      </w:pPr>
      <w:r>
        <w:rPr>
          <w:b/>
        </w:rPr>
        <w:t>Traitement des données brutes et anomalies :</w:t>
      </w:r>
      <w:r>
        <w:t xml:space="preserve"> Analyse des 5 anomalies (doublons, IP 999 rejetées, tickets vides, orphelins, dates erronées) et traçabilité via </w:t>
      </w:r>
      <w:r>
        <w:rPr>
          <w:rFonts w:ascii="Consolas" w:hAnsi="Consolas"/>
          <w:color w:val="B42828"/>
          <w:sz w:val="19"/>
        </w:rPr>
        <w:t>ingestion_audit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Modèle de données PostgreSQL :</w:t>
      </w:r>
      <w:r>
        <w:t xml:space="preserve"> Normalisation en 3FN, contraintes CHECK, clés étrangères et requêtes SQL obligatoires.</w:t>
      </w:r>
    </w:p>
    <w:p>
      <w:pPr>
        <w:pStyle w:val="ListNumber"/>
        <w:spacing w:before="20" w:after="40" w:line="276" w:lineRule="auto"/>
      </w:pPr>
      <w:r>
        <w:rPr>
          <w:b/>
        </w:rPr>
        <w:t>Architecture API / MCP / LLM :</w:t>
      </w:r>
      <w:r>
        <w:t xml:space="preserve"> Spécification des endpoints REST, rôle d'orchestrateur du serveur MCP et mécanisme de </w:t>
      </w:r>
      <w:r>
        <w:rPr>
          <w:i/>
        </w:rPr>
        <w:t>Dual Tool Calling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Flux réseau et sécurité :</w:t>
      </w:r>
      <w:r>
        <w:t xml:space="preserve"> Matrice d'exposition des ports, réponses aux 10 questions d'architecture de 13.2 et politique de cloisonnement.</w:t>
      </w:r>
    </w:p>
    <w:p>
      <w:pPr>
        <w:pStyle w:val="ListNumber"/>
        <w:spacing w:before="20" w:after="40" w:line="276" w:lineRule="auto"/>
      </w:pPr>
      <w:r>
        <w:rPr>
          <w:b/>
        </w:rPr>
        <w:t>Scénarios de test :</w:t>
      </w:r>
      <w:r>
        <w:t xml:space="preserve"> Résultats expérimentaux sur les scénarios Socle (F1/F2), Contradictoire (F3), Corrélation (F4), Procédure (F5) et Injection de Prompt.</w:t>
      </w:r>
    </w:p>
    <w:p>
      <w:pPr>
        <w:pStyle w:val="ListNumber"/>
        <w:spacing w:before="20" w:after="40" w:line="276" w:lineRule="auto"/>
      </w:pPr>
      <w:r>
        <w:rPr>
          <w:b/>
        </w:rPr>
        <w:t>Limites, problèmes rencontrés et améliorations possibles :</w:t>
      </w:r>
      <w:r>
        <w:t xml:space="preserve"> Gestion de la latence du LLM local, perspectives de passage à Kubernetes et bus d'événements Kafka.</w:t>
      </w: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16. CRITÈRES D'ACCEPTATION TECHNIQUE (A1 À A14)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Critère Technique Officiel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Preuve Technique dans l'Implémentation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 LLM répond depuis une interface réellement utilisable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Interface Web Streamlit réactive sur</w:t>
            </w:r>
            <w:r>
              <w:rPr>
                <w:rFonts w:ascii="Consolas" w:hAnsi="Consolas"/>
                <w:color w:val="B42828"/>
                <w:sz w:val="19"/>
              </w:rPr>
              <w:t>localhost:8501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 LLM peut déclencher au moins un Tool MCP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L'orchestrateur</w:t>
            </w:r>
            <w:r>
              <w:rPr>
                <w:rFonts w:ascii="Consolas" w:hAnsi="Consolas"/>
                <w:color w:val="B42828"/>
                <w:sz w:val="19"/>
              </w:rPr>
              <w:t>llm_engine.py</w:t>
            </w:r>
            <w:r>
              <w:rPr>
                <w:rFonts w:ascii="Calibri" w:hAnsi="Calibri"/>
                <w:color w:val="282828"/>
                <w:sz w:val="19"/>
              </w:rPr>
              <w:t xml:space="preserve"> convertit l'intention en appel de fonction MCP.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Au moins cinq Tools MCP sont exposés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6 Tools disponibles</w:t>
            </w:r>
            <w:r>
              <w:rPr>
                <w:rFonts w:ascii="Calibri" w:hAnsi="Calibri"/>
                <w:color w:val="282828"/>
                <w:sz w:val="19"/>
              </w:rPr>
              <w:t xml:space="preserve"> : </w:t>
            </w:r>
            <w:r>
              <w:rPr>
                <w:rFonts w:ascii="Consolas" w:hAnsi="Consolas"/>
                <w:color w:val="B42828"/>
                <w:sz w:val="19"/>
              </w:rPr>
              <w:t>get_server_info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check_server_availability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list_open_tickets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create_ticket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read_procedure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get_recent_events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Niveau avancé : au moins deux Resources et un Prompt sont exposés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- Resources :</w:t>
            </w:r>
            <w:r>
              <w:rPr>
                <w:rFonts w:ascii="Consolas" w:hAnsi="Consolas"/>
                <w:color w:val="B42828"/>
                <w:sz w:val="19"/>
              </w:rPr>
              <w:t>techcorp://procedures/dns</w:t>
            </w:r>
            <w:r>
              <w:rPr>
                <w:rFonts w:ascii="Calibri" w:hAnsi="Calibri"/>
                <w:color w:val="282828"/>
                <w:sz w:val="19"/>
              </w:rPr>
              <w:t xml:space="preserve"> et </w:t>
            </w:r>
            <w:r>
              <w:rPr>
                <w:rFonts w:ascii="Consolas" w:hAnsi="Consolas"/>
                <w:color w:val="B42828"/>
                <w:sz w:val="19"/>
              </w:rPr>
              <w:t>techcorp://procedures/incidents</w:t>
            </w:r>
            <w:r>
              <w:rPr>
                <w:rFonts w:ascii="Calibri" w:hAnsi="Calibri"/>
                <w:color w:val="282828"/>
                <w:sz w:val="19"/>
              </w:rPr>
              <w:t xml:space="preserve">- Prompt : </w:t>
            </w:r>
            <w:r>
              <w:rPr>
                <w:rFonts w:ascii="Consolas" w:hAnsi="Consolas"/>
                <w:color w:val="B42828"/>
                <w:sz w:val="19"/>
              </w:rPr>
              <w:t>incident_diagnostic</w:t>
            </w:r>
            <w:r>
              <w:rPr>
                <w:rFonts w:ascii="Calibri" w:hAnsi="Calibri"/>
                <w:color w:val="282828"/>
                <w:sz w:val="19"/>
              </w:rPr>
              <w:t xml:space="preserve"> dans </w:t>
            </w:r>
            <w:r>
              <w:rPr>
                <w:rFonts w:ascii="Consolas" w:hAnsi="Consolas"/>
                <w:color w:val="B42828"/>
                <w:sz w:val="19"/>
              </w:rPr>
              <w:t>mcp_server/server.py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A5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FastAPI répond depuis un autre composant ou poste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Endpoints REST HTTP fonctionnels sur le port</w:t>
            </w:r>
            <w:r>
              <w:rPr>
                <w:rFonts w:ascii="Consolas" w:hAnsi="Consolas"/>
                <w:color w:val="B42828"/>
                <w:sz w:val="19"/>
              </w:rPr>
              <w:t>8000</w:t>
            </w:r>
            <w:r>
              <w:rPr>
                <w:rFonts w:ascii="Calibri" w:hAnsi="Calibri"/>
                <w:color w:val="282828"/>
                <w:sz w:val="19"/>
              </w:rPr>
              <w:t xml:space="preserve"> (</w:t>
            </w:r>
            <w:r>
              <w:rPr>
                <w:rFonts w:ascii="Consolas" w:hAnsi="Consolas"/>
                <w:color w:val="B42828"/>
                <w:sz w:val="19"/>
              </w:rPr>
              <w:t>/health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/tickets/open</w:t>
            </w:r>
            <w:r>
              <w:rPr>
                <w:rFonts w:ascii="Calibri" w:hAnsi="Calibri"/>
                <w:color w:val="282828"/>
                <w:sz w:val="19"/>
              </w:rPr>
              <w:t>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A6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PostgreSQL contient les données nettoyées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Tables relationnelles chargées et auditées sans aucune donnée corrompue.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A7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Un Tool interroge PostgreSQL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get_server_info</w:t>
            </w:r>
            <w:r>
              <w:rPr>
                <w:rFonts w:ascii="Calibri" w:hAnsi="Calibri"/>
                <w:color w:val="282828"/>
                <w:sz w:val="19"/>
              </w:rPr>
              <w:t xml:space="preserve"> et </w:t>
            </w:r>
            <w:r>
              <w:rPr>
                <w:rFonts w:ascii="Consolas" w:hAnsi="Consolas"/>
                <w:color w:val="B42828"/>
                <w:sz w:val="19"/>
              </w:rPr>
              <w:t>get_recent_events</w:t>
            </w:r>
            <w:r>
              <w:rPr>
                <w:rFonts w:ascii="Calibri" w:hAnsi="Calibri"/>
                <w:color w:val="282828"/>
                <w:sz w:val="19"/>
              </w:rPr>
              <w:t xml:space="preserve"> requêtent la base de données.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A8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Un Tool interroge FastAPI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list_open_tickets</w:t>
            </w:r>
            <w:r>
              <w:rPr>
                <w:rFonts w:ascii="Calibri" w:hAnsi="Calibri"/>
                <w:color w:val="282828"/>
                <w:sz w:val="19"/>
              </w:rPr>
              <w:t xml:space="preserve"> et </w:t>
            </w:r>
            <w:r>
              <w:rPr>
                <w:rFonts w:ascii="Consolas" w:hAnsi="Consolas"/>
                <w:color w:val="B42828"/>
                <w:sz w:val="19"/>
              </w:rPr>
              <w:t>create_ticket</w:t>
            </w:r>
            <w:r>
              <w:rPr>
                <w:rFonts w:ascii="Calibri" w:hAnsi="Calibri"/>
                <w:color w:val="282828"/>
                <w:sz w:val="19"/>
              </w:rPr>
              <w:t xml:space="preserve"> communiquent via HTTP REST avec FastAPI.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A9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Un Tool effectue un test réel de disponibilité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check_server_availability</w:t>
            </w:r>
            <w:r>
              <w:rPr>
                <w:rFonts w:ascii="Calibri" w:hAnsi="Calibri"/>
                <w:color w:val="282828"/>
                <w:sz w:val="19"/>
              </w:rPr>
              <w:t xml:space="preserve"> ouvre un socket TCP réel et qualifie l'état (</w:t>
            </w:r>
            <w:r>
              <w:rPr>
                <w:rFonts w:ascii="Consolas" w:hAnsi="Consolas"/>
                <w:color w:val="B42828"/>
                <w:sz w:val="19"/>
              </w:rPr>
              <w:t>UP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SERVICE_DOWN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DOWN</w:t>
            </w:r>
            <w:r>
              <w:rPr>
                <w:rFonts w:ascii="Calibri" w:hAnsi="Calibri"/>
                <w:color w:val="282828"/>
                <w:sz w:val="19"/>
              </w:rPr>
              <w:t>).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A10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La provenance des données est visible dans les retours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Les réponses citent explicitement les sources :</w:t>
            </w:r>
            <w:r>
              <w:rPr>
                <w:rFonts w:ascii="Consolas" w:hAnsi="Consolas"/>
                <w:color w:val="B42828"/>
                <w:sz w:val="19"/>
              </w:rPr>
              <w:t>[Base de données]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[API FastAPI]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[Sonde Socket Réelle]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[Procédure RAG]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A11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Un scénario contradictoire est correctement géré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Scénario F3 :</w:t>
            </w:r>
            <w:r>
              <w:rPr>
                <w:rFonts w:ascii="Calibri" w:hAnsi="Calibri"/>
                <w:color w:val="282828"/>
                <w:sz w:val="19"/>
              </w:rPr>
              <w:t xml:space="preserve"> L'inventaire indique </w:t>
            </w:r>
            <w:r>
              <w:rPr>
                <w:rFonts w:ascii="Consolas" w:hAnsi="Consolas"/>
                <w:color w:val="B42828"/>
                <w:sz w:val="19"/>
              </w:rPr>
              <w:t>UP</w:t>
            </w:r>
            <w:r>
              <w:rPr>
                <w:rFonts w:ascii="Calibri" w:hAnsi="Calibri"/>
                <w:color w:val="282828"/>
                <w:sz w:val="19"/>
              </w:rPr>
              <w:t>, mais la sonde active échoue (</w:t>
            </w:r>
            <w:r>
              <w:rPr>
                <w:rFonts w:ascii="Consolas" w:hAnsi="Consolas"/>
                <w:color w:val="B42828"/>
                <w:sz w:val="19"/>
              </w:rPr>
              <w:t>FAILED</w:t>
            </w:r>
            <w:r>
              <w:rPr>
                <w:rFonts w:ascii="Calibri" w:hAnsi="Calibri"/>
                <w:color w:val="282828"/>
                <w:sz w:val="19"/>
              </w:rPr>
              <w:t>). L'IA privilégie la sonde temps réel sans halluciner.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A12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282828"/>
                <w:sz w:val="19"/>
              </w:rPr>
              <w:t>Niveau avancé : le test de prompt malveillant ne révèle aucun secret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Filtre de sécurité actif dans</w:t>
            </w:r>
            <w:r>
              <w:rPr>
                <w:rFonts w:ascii="Consolas" w:hAnsi="Consolas"/>
                <w:color w:val="B42828"/>
                <w:sz w:val="19"/>
              </w:rPr>
              <w:t>llm_engine.py</w:t>
            </w:r>
            <w:r>
              <w:rPr>
                <w:rFonts w:ascii="Calibri" w:hAnsi="Calibri"/>
                <w:color w:val="282828"/>
                <w:sz w:val="19"/>
              </w:rPr>
              <w:t xml:space="preserve"> qui bloque net toute demande de dump de fichiers, de clés ou de secrets système.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A13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Les logs permettent de reconstituer au moins un appel complet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logs/techcorp_calls.jsonl</w:t>
            </w:r>
            <w:r>
              <w:rPr>
                <w:rFonts w:ascii="Calibri" w:hAnsi="Calibri"/>
                <w:color w:val="282828"/>
                <w:sz w:val="19"/>
              </w:rPr>
              <w:t xml:space="preserve"> consigne : </w:t>
            </w:r>
            <w:r>
              <w:rPr>
                <w:rFonts w:ascii="Consolas" w:hAnsi="Consolas"/>
                <w:color w:val="B42828"/>
                <w:sz w:val="19"/>
              </w:rPr>
              <w:t>timestamp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tool_name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arguments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duration_ms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status</w:t>
            </w:r>
            <w:r>
              <w:rPr>
                <w:rFonts w:ascii="Calibri" w:hAnsi="Calibri"/>
                <w:color w:val="282828"/>
                <w:sz w:val="19"/>
              </w:rPr>
              <w:t xml:space="preserve"> et provenance.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A14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 schéma d’architecture final correspond au déploiement réel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OK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Schéma réseau exact représentant l'adressage IP (</w:t>
            </w:r>
            <w:r>
              <w:rPr>
                <w:rFonts w:ascii="Consolas" w:hAnsi="Consolas"/>
                <w:color w:val="B42828"/>
                <w:sz w:val="19"/>
              </w:rPr>
              <w:t>192.168.56.x</w:t>
            </w:r>
            <w:r>
              <w:rPr>
                <w:rFonts w:ascii="Calibri" w:hAnsi="Calibri"/>
                <w:color w:val="282828"/>
                <w:sz w:val="19"/>
              </w:rPr>
              <w:t>), les composants et les flux.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b/>
          <w:color w:val="B4BEC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rFonts w:ascii="Calibri" w:hAnsi="Calibri"/>
          <w:color w:val="005096"/>
          <w:sz w:val="30"/>
        </w:rPr>
        <w:t>ANNEXE E — GRILLE DE VÉRIFICATION AVANT REMISE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Point de Contrôle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Fait 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Preuve &amp; Justification Technique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Les données brutes ne sont pas modifiées manuellement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Les fichiers sources dans</w:t>
            </w:r>
            <w:r>
              <w:rPr>
                <w:rFonts w:ascii="Consolas" w:hAnsi="Consolas"/>
                <w:color w:val="B42828"/>
                <w:sz w:val="19"/>
              </w:rPr>
              <w:t>etl/data_raw/</w:t>
            </w:r>
            <w:r>
              <w:rPr>
                <w:rFonts w:ascii="Calibri" w:hAnsi="Calibri"/>
                <w:color w:val="282828"/>
                <w:sz w:val="19"/>
              </w:rPr>
              <w:t xml:space="preserve"> sont restés vierges avec toutes leurs anomalies d'origine (IP </w:t>
            </w:r>
            <w:r>
              <w:rPr>
                <w:rFonts w:ascii="Consolas" w:hAnsi="Consolas"/>
                <w:color w:val="B42828"/>
                <w:sz w:val="19"/>
              </w:rPr>
              <w:t>999</w:t>
            </w:r>
            <w:r>
              <w:rPr>
                <w:rFonts w:ascii="Calibri" w:hAnsi="Calibri"/>
                <w:color w:val="282828"/>
                <w:sz w:val="19"/>
              </w:rPr>
              <w:t>, doublons, statuts hétérogènes).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Le pipeline de nettoyage est reproductible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La commande</w:t>
            </w:r>
            <w:r>
              <w:rPr>
                <w:rFonts w:ascii="Consolas" w:hAnsi="Consolas"/>
                <w:color w:val="B42828"/>
                <w:sz w:val="19"/>
              </w:rPr>
              <w:t>python etl/clean_and_load.py</w:t>
            </w:r>
            <w:r>
              <w:rPr>
                <w:rFonts w:ascii="Calibri" w:hAnsi="Calibri"/>
                <w:color w:val="282828"/>
                <w:sz w:val="19"/>
              </w:rPr>
              <w:t xml:space="preserve"> réexécute l'intégralité du nettoyage, déduplication et insertion de façon 100 % déterministe.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Le schéma PostgreSQL est versionné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 fichier DDL relationnel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`sql/schema.sql`</w:t>
            </w:r>
            <w:r>
              <w:rPr>
                <w:rFonts w:ascii="Calibri" w:hAnsi="Calibri"/>
                <w:color w:val="282828"/>
                <w:sz w:val="19"/>
              </w:rPr>
              <w:t xml:space="preserve"> est commité et versionné sous Git.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Aucun secret n’est dans Git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 fichier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  <w:r>
              <w:rPr>
                <w:rFonts w:ascii="Calibri" w:hAnsi="Calibri"/>
                <w:color w:val="282828"/>
                <w:sz w:val="19"/>
              </w:rPr>
              <w:t xml:space="preserve"> est exclu par le </w:t>
            </w:r>
            <w:r>
              <w:rPr>
                <w:rFonts w:ascii="Consolas" w:hAnsi="Consolas"/>
                <w:color w:val="B42828"/>
                <w:sz w:val="19"/>
              </w:rPr>
              <w:t>.gitignore</w:t>
            </w:r>
            <w:r>
              <w:rPr>
                <w:rFonts w:ascii="Calibri" w:hAnsi="Calibri"/>
                <w:color w:val="282828"/>
                <w:sz w:val="19"/>
              </w:rPr>
              <w:t xml:space="preserve">. Seul le gabarit neutre </w:t>
            </w:r>
            <w:r>
              <w:rPr>
                <w:rFonts w:ascii="Consolas" w:hAnsi="Consolas"/>
                <w:color w:val="B42828"/>
                <w:sz w:val="19"/>
              </w:rPr>
              <w:t>.env.example</w:t>
            </w:r>
            <w:r>
              <w:rPr>
                <w:rFonts w:ascii="Calibri" w:hAnsi="Calibri"/>
                <w:color w:val="282828"/>
                <w:sz w:val="19"/>
              </w:rPr>
              <w:t xml:space="preserve"> sans mot de passe réel est publié.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Tous les Tools sont testables sans LLM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Chaque Tool MCP (</w:t>
            </w:r>
            <w:r>
              <w:rPr>
                <w:rFonts w:ascii="Consolas" w:hAnsi="Consolas"/>
                <w:color w:val="B42828"/>
                <w:sz w:val="19"/>
              </w:rPr>
              <w:t>mcp_server/server.py</w:t>
            </w:r>
            <w:r>
              <w:rPr>
                <w:rFonts w:ascii="Calibri" w:hAnsi="Calibri"/>
                <w:color w:val="282828"/>
                <w:sz w:val="19"/>
              </w:rPr>
              <w:t xml:space="preserve">) est une fonction Python unitaire testable par script ou via la suite 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`tests/test_mcp.py`</w:t>
            </w:r>
            <w:r>
              <w:rPr>
                <w:rFonts w:ascii="Calibri" w:hAnsi="Calibri"/>
                <w:color w:val="282828"/>
                <w:sz w:val="19"/>
              </w:rPr>
              <w:t>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Le LLM utilise réellement les Tools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L'orchestrateur</w:t>
            </w:r>
            <w:r>
              <w:rPr>
                <w:rFonts w:ascii="Consolas" w:hAnsi="Consolas"/>
                <w:color w:val="B42828"/>
                <w:sz w:val="19"/>
              </w:rPr>
              <w:t>app/llm_engine.py</w:t>
            </w:r>
            <w:r>
              <w:rPr>
                <w:rFonts w:ascii="Calibri" w:hAnsi="Calibri"/>
                <w:color w:val="282828"/>
                <w:sz w:val="19"/>
              </w:rPr>
              <w:t xml:space="preserve"> analyse la requête utilisateur, génère l'appel d'outil MCP et injecte le résultat factuel dans le prompt.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Le scénario contradictoire fonctionne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Scénario F3 :</w:t>
            </w:r>
            <w:r>
              <w:rPr>
                <w:rFonts w:ascii="Calibri" w:hAnsi="Calibri"/>
                <w:color w:val="282828"/>
                <w:sz w:val="19"/>
              </w:rPr>
              <w:t xml:space="preserve"> L'inventaire affiche </w:t>
            </w:r>
            <w:r>
              <w:rPr>
                <w:rFonts w:ascii="Consolas" w:hAnsi="Consolas"/>
                <w:color w:val="B42828"/>
                <w:sz w:val="19"/>
              </w:rPr>
              <w:t>SRV-DB-01</w:t>
            </w:r>
            <w:r>
              <w:rPr>
                <w:rFonts w:ascii="Calibri" w:hAnsi="Calibri"/>
                <w:color w:val="282828"/>
                <w:sz w:val="19"/>
              </w:rPr>
              <w:t xml:space="preserve"> = </w:t>
            </w:r>
            <w:r>
              <w:rPr>
                <w:rFonts w:ascii="Consolas" w:hAnsi="Consolas"/>
                <w:color w:val="B42828"/>
                <w:sz w:val="19"/>
              </w:rPr>
              <w:t>UP</w:t>
            </w:r>
            <w:r>
              <w:rPr>
                <w:rFonts w:ascii="Calibri" w:hAnsi="Calibri"/>
                <w:color w:val="282828"/>
                <w:sz w:val="19"/>
              </w:rPr>
              <w:t>, mais la sonde TCP 5432 échoue. L'IA tranche en faveur de la sonde réelle sans hallucination.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Niveau avancé : le scénario de sécurité fonctionne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Tentatives d'injections de prompt détectées et bloquées net avec refus rouge et trace de sécurité dans les logs.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Les logs sont exploitables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Fichier</w:t>
            </w:r>
            <w:r>
              <w:rPr>
                <w:rFonts w:ascii="Calibri" w:hAnsi="Calibri"/>
                <w:color w:val="0066CC"/>
                <w:sz w:val="19"/>
                <w:u w:val="single"/>
              </w:rPr>
              <w:t>`logs/techcorp_calls.jsonl`</w:t>
            </w:r>
            <w:r>
              <w:rPr>
                <w:rFonts w:ascii="Calibri" w:hAnsi="Calibri"/>
                <w:color w:val="282828"/>
                <w:sz w:val="19"/>
              </w:rPr>
              <w:t xml:space="preserve"> structuré en JSON avec horodatage, nom du Tool, arguments, durée en ms et statut.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Le schéma correspond au déploiement réel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7F9FC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Schémas Draw.io et Mermaid fidèles aux adresses IP (</w:t>
            </w:r>
            <w:r>
              <w:rPr>
                <w:rFonts w:ascii="Consolas" w:hAnsi="Consolas"/>
                <w:color w:val="B42828"/>
                <w:sz w:val="19"/>
              </w:rPr>
              <w:t>192.168.56.x</w:t>
            </w:r>
            <w:r>
              <w:rPr>
                <w:rFonts w:ascii="Calibri" w:hAnsi="Calibri"/>
                <w:color w:val="282828"/>
                <w:sz w:val="19"/>
              </w:rPr>
              <w:t>), aux ports réels (</w:t>
            </w:r>
            <w:r>
              <w:rPr>
                <w:rFonts w:ascii="Consolas" w:hAnsi="Consolas"/>
                <w:color w:val="B42828"/>
                <w:sz w:val="19"/>
              </w:rPr>
              <w:t>8000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8501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11434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5432</w:t>
            </w:r>
            <w:r>
              <w:rPr>
                <w:rFonts w:ascii="Calibri" w:hAnsi="Calibri"/>
                <w:color w:val="282828"/>
                <w:sz w:val="19"/>
              </w:rPr>
              <w:t>) et aux flux réseau.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82828"/>
                <w:sz w:val="19"/>
              </w:rPr>
              <w:t>La démonstration a été répétée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✅</w:t>
            </w:r>
            <w:r>
              <w:rPr>
                <w:rFonts w:ascii="Calibri" w:hAnsi="Calibri"/>
                <w:b/>
                <w:color w:val="282828"/>
                <w:sz w:val="19"/>
              </w:rPr>
              <w:t>OUI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282828"/>
                <w:sz w:val="19"/>
              </w:rPr>
              <w:t>Les 5 scénarios sont pré-intégrés sous forme de boutons 1-clic dans la barre latérale de l'application Streamlit pour un déroulé fluide en moins de 8 minutes.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