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AlliGo Competitive Analysis</w:t>
      </w:r>
    </w:p>
    <w:p>
      <w:pPr>
        <w:spacing w:after="400"/>
        <w:jc w:val="center"/>
      </w:pPr>
      <w:r>
        <w:rPr>
          <w:i/>
          <w:iCs/>
          <w:color w:val="64748B"/>
          <w:sz w:val="22"/>
          <w:szCs w:val="22"/>
        </w:rPr>
        <w:t xml:space="preserve">The Credit Bureau for AI Agents - Strategic Differentiation &amp; Market Position</w:t>
      </w:r>
    </w:p>
    <w:p>
      <w:pPr>
        <w:spacing w:after="600"/>
        <w:jc w:val="center"/>
      </w:pPr>
      <w:r>
        <w:rPr>
          <w:color w:val="94A3B8"/>
          <w:sz w:val="20"/>
          <w:szCs w:val="20"/>
        </w:rPr>
        <w:t xml:space="preserve">June 2025</w:t>
      </w:r>
    </w:p>
    <w:p>
      <w:pPr>
        <w:pStyle w:val="Heading1"/>
      </w:pPr>
      <w:r>
        <w:t xml:space="preserve">Executive Summary</w:t>
      </w:r>
    </w:p>
    <w:p>
      <w:pPr>
        <w:spacing w:after="200" w:line="312"/>
      </w:pPr>
      <w:r>
        <w:rPr>
          <w:sz w:val="22"/>
          <w:szCs w:val="22"/>
        </w:rPr>
        <w:t xml:space="preserve">AlliGo occupies a unique and defensible position in the emerging AI agent trust ecosystem. While competitors like Armilla focus on insurance products and Daydreams/ERC-8004 handle identity infrastructure, AlliGo is building the critical missing layer: the actual behavioral and forensic data that makes risk assessment possible. This analysis identifies strategic gaps, differentiation opportunities, and the specific data moats that competitors are overlooking.</w:t>
      </w:r>
    </w:p>
    <w:p>
      <w:pPr>
        <w:pStyle w:val="Heading2"/>
      </w:pPr>
      <w:r>
        <w:t xml:space="preserve">Key Strategic Findings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360"/>
      </w:tblGrid>
      <w:tr>
        <w:trPr>
          <w:tblHeader/>
        </w:trPr>
        <w:tc>
          <w:tcPr>
            <w:tcW w:type="dxa" w:w="3000"/>
            <w:tcBorders>
              <w:top w:val="single" w:color="94A3B8" w:sz="8"/>
              <w:left w:val="none"/>
              <w:bottom w:val="single" w:color="94A3B8" w:sz="8"/>
              <w:right w:val="none"/>
            </w:tcBorders>
            <w:shd w:fill="E2E8F0" w:val="clear"/>
            <w:vAlign w:val="center"/>
          </w:tcPr>
          <w:p>
            <w:pPr>
              <w:jc w:val="center"/>
            </w:pPr>
            <w:r>
              <w:rPr>
                <w:b/>
                <w:bCs/>
                <w:sz w:val="22"/>
                <w:szCs w:val="22"/>
              </w:rPr>
              <w:t xml:space="preserve">Dimension</w:t>
            </w:r>
          </w:p>
        </w:tc>
        <w:tc>
          <w:tcPr>
            <w:tcW w:type="dxa" w:w="6360"/>
            <w:tcBorders>
              <w:top w:val="single" w:color="94A3B8" w:sz="8"/>
              <w:left w:val="none"/>
              <w:bottom w:val="single" w:color="94A3B8" w:sz="8"/>
              <w:right w:val="none"/>
            </w:tcBorders>
            <w:shd w:fill="E2E8F0" w:val="clear"/>
            <w:vAlign w:val="center"/>
          </w:tcPr>
          <w:p>
            <w:pPr>
              <w:jc w:val="center"/>
            </w:pPr>
            <w:r>
              <w:rPr>
                <w:b/>
                <w:bCs/>
                <w:sz w:val="22"/>
                <w:szCs w:val="22"/>
              </w:rPr>
              <w:t xml:space="preserve">Strategic Insight</w:t>
            </w:r>
          </w:p>
        </w:tc>
      </w:tr>
      <w:tr>
        <w:tc>
          <w:tcPr>
            <w:tcW w:type="dxa" w:w="3000"/>
            <w:tcBorders>
              <w:top w:val="single" w:color="94A3B8" w:sz="8"/>
              <w:left w:val="none"/>
              <w:bottom w:val="single" w:color="94A3B8" w:sz="8"/>
              <w:right w:val="none"/>
            </w:tcBorders>
          </w:tcPr>
          <w:p>
            <w:r>
              <w:rPr>
                <w:b/>
                <w:bCs/>
                <w:sz w:val="22"/>
                <w:szCs w:val="22"/>
              </w:rPr>
              <w:t xml:space="preserve">Data Gap</w:t>
            </w:r>
          </w:p>
        </w:tc>
        <w:tc>
          <w:tcPr>
            <w:tcW w:type="dxa" w:w="6360"/>
            <w:tcBorders>
              <w:top w:val="single" w:color="94A3B8" w:sz="8"/>
              <w:left w:val="none"/>
              <w:bottom w:val="single" w:color="94A3B8" w:sz="8"/>
              <w:right w:val="none"/>
            </w:tcBorders>
          </w:tcPr>
          <w:p>
            <w:pPr>
              <w:spacing w:line="312"/>
            </w:pPr>
            <w:r>
              <w:rPr>
                <w:sz w:val="22"/>
                <w:szCs w:val="22"/>
              </w:rPr>
              <w:t xml:space="preserve">No competitor has systematic agent failure data. Everyone tracks identity (ERC-8004) or sells insurance (Armilla), but nobody aggregates the behavioral signals that predict failures.</w:t>
            </w:r>
          </w:p>
        </w:tc>
      </w:tr>
      <w:tr>
        <w:tc>
          <w:tcPr>
            <w:tcW w:type="dxa" w:w="3000"/>
            <w:tcBorders>
              <w:top w:val="single" w:color="94A3B8" w:sz="8"/>
              <w:left w:val="none"/>
              <w:bottom w:val="single" w:color="94A3B8" w:sz="8"/>
              <w:right w:val="none"/>
            </w:tcBorders>
          </w:tcPr>
          <w:p>
            <w:r>
              <w:rPr>
                <w:b/>
                <w:bCs/>
                <w:sz w:val="22"/>
                <w:szCs w:val="22"/>
              </w:rPr>
              <w:t xml:space="preserve">Competitor Blindspot</w:t>
            </w:r>
          </w:p>
        </w:tc>
        <w:tc>
          <w:tcPr>
            <w:tcW w:type="dxa" w:w="6360"/>
            <w:tcBorders>
              <w:top w:val="single" w:color="94A3B8" w:sz="8"/>
              <w:left w:val="none"/>
              <w:bottom w:val="single" w:color="94A3B8" w:sz="8"/>
              <w:right w:val="none"/>
            </w:tcBorders>
          </w:tcPr>
          <w:p>
            <w:pPr>
              <w:spacing w:line="312"/>
            </w:pPr>
            <w:r>
              <w:rPr>
                <w:sz w:val="22"/>
                <w:szCs w:val="22"/>
              </w:rPr>
              <w:t xml:space="preserve">Armilla and insurers need data they don't have. ERC-8004 provides identity but not reputation history. This creates a natural partnership opportunity.</w:t>
            </w:r>
          </w:p>
        </w:tc>
      </w:tr>
      <w:tr>
        <w:tc>
          <w:tcPr>
            <w:tcW w:type="dxa" w:w="3000"/>
            <w:tcBorders>
              <w:top w:val="single" w:color="94A3B8" w:sz="8"/>
              <w:left w:val="none"/>
              <w:bottom w:val="single" w:color="94A3B8" w:sz="8"/>
              <w:right w:val="none"/>
            </w:tcBorders>
          </w:tcPr>
          <w:p>
            <w:r>
              <w:rPr>
                <w:b/>
                <w:bCs/>
                <w:sz w:val="22"/>
                <w:szCs w:val="22"/>
              </w:rPr>
              <w:t xml:space="preserve">Unique Moat</w:t>
            </w:r>
          </w:p>
        </w:tc>
        <w:tc>
          <w:tcPr>
            <w:tcW w:type="dxa" w:w="6360"/>
            <w:tcBorders>
              <w:top w:val="single" w:color="94A3B8" w:sz="8"/>
              <w:left w:val="none"/>
              <w:bottom w:val="single" w:color="94A3B8" w:sz="8"/>
              <w:right w:val="none"/>
            </w:tcBorders>
          </w:tcPr>
          <w:p>
            <w:pPr>
              <w:spacing w:line="312"/>
            </w:pPr>
            <w:r>
              <w:rPr>
                <w:sz w:val="22"/>
                <w:szCs w:val="22"/>
              </w:rPr>
              <w:t xml:space="preserve">Agent behavioral forensics - transaction patterns, failure signatures, exploit mimicry detection, counterparty guilt analysis. This data compound over time.</w:t>
            </w:r>
          </w:p>
        </w:tc>
      </w:tr>
      <w:tr>
        <w:tc>
          <w:tcPr>
            <w:tcW w:type="dxa" w:w="3000"/>
            <w:tcBorders>
              <w:top w:val="single" w:color="94A3B8" w:sz="8"/>
              <w:left w:val="none"/>
              <w:bottom w:val="single" w:color="94A3B8" w:sz="8"/>
              <w:right w:val="none"/>
            </w:tcBorders>
          </w:tcPr>
          <w:p>
            <w:r>
              <w:rPr>
                <w:b/>
                <w:bCs/>
                <w:sz w:val="22"/>
                <w:szCs w:val="22"/>
              </w:rPr>
              <w:t xml:space="preserve">Investor Thesis</w:t>
            </w:r>
          </w:p>
        </w:tc>
        <w:tc>
          <w:tcPr>
            <w:tcW w:type="dxa" w:w="6360"/>
            <w:tcBorders>
              <w:top w:val="single" w:color="94A3B8" w:sz="8"/>
              <w:left w:val="none"/>
              <w:bottom w:val="single" w:color="94A3B8" w:sz="8"/>
              <w:right w:val="none"/>
            </w:tcBorders>
          </w:tcPr>
          <w:p>
            <w:pPr>
              <w:spacing w:line="312"/>
            </w:pPr>
            <w:r>
              <w:rPr>
                <w:sz w:val="22"/>
                <w:szCs w:val="22"/>
              </w:rPr>
              <w:t xml:space="preserve">First-mover in the data layer that enables the entire AI insurance industry. Similar to how credit bureaus became essential infrastructure for lending.</w:t>
            </w:r>
          </w:p>
        </w:tc>
      </w:tr>
    </w:tbl>
    <w:p>
      <w:pPr>
        <w:spacing w:before="200"/>
        <w:jc w:val="center"/>
      </w:pPr>
      <w:r>
        <w:rPr>
          <w:i/>
          <w:iCs/>
          <w:color w:val="64748B"/>
          <w:sz w:val="18"/>
          <w:szCs w:val="18"/>
        </w:rPr>
        <w:t xml:space="preserve">Table 1: Strategic Positioning Summary</w:t>
      </w:r>
    </w:p>
    <w:p>
      <w:pPr>
        <w:pStyle w:val="Heading1"/>
      </w:pPr>
      <w:r>
        <w:t xml:space="preserve">1. Competitive Landscape Analysis</w:t>
      </w:r>
    </w:p>
    <w:p>
      <w:pPr>
        <w:pStyle w:val="Heading2"/>
      </w:pPr>
      <w:r>
        <w:t xml:space="preserve">1.1 Direct and Adjacent Competitors</w:t>
      </w:r>
    </w:p>
    <w:p>
      <w:pPr>
        <w:spacing w:after="200" w:line="312"/>
      </w:pPr>
      <w:r>
        <w:rPr>
          <w:sz w:val="22"/>
          <w:szCs w:val="22"/>
        </w:rPr>
        <w:t xml:space="preserve">The AI agent trust ecosystem has several emerging players, each approaching the problem from different angles. Understanding their positioning reveals significant gaps that AlliGo can exploit:</w:t>
      </w:r>
    </w:p>
    <w:p>
      <w:pPr>
        <w:pStyle w:val="Heading3"/>
      </w:pPr>
      <w:r>
        <w:t xml:space="preserve">Armilla AI - Insurance Provider</w:t>
      </w:r>
    </w:p>
    <w:p>
      <w:pPr>
        <w:pStyle w:val="ListParagraph"/>
        <w:numPr>
          <w:ilvl w:val="0"/>
          <w:numId w:val="2"/>
        </w:numPr>
        <w:spacing w:line="312"/>
      </w:pPr>
      <w:r>
        <w:rPr>
          <w:sz w:val="22"/>
          <w:szCs w:val="22"/>
        </w:rPr>
        <w:t xml:space="preserve">What they do: Armilla is the world's first MGA (Managing General Agent) focused solely on AI insurance. They offer third-party testing, compliance verification, and warranty coverage for AI systems. Their Lloyd's-backed coverage recently expanded to $25M, targeting generative AI and AI agent deployments.</w:t>
      </w:r>
    </w:p>
    <w:p>
      <w:pPr>
        <w:pStyle w:val="ListParagraph"/>
        <w:numPr>
          <w:ilvl w:val="0"/>
          <w:numId w:val="2"/>
        </w:numPr>
        <w:spacing w:line="312"/>
      </w:pPr>
      <w:r>
        <w:rPr>
          <w:sz w:val="22"/>
          <w:szCs w:val="22"/>
        </w:rPr>
        <w:t xml:space="preserve">Their limitation: Armilla verifies AI systems before deployment and provides insurance coverage, but they lack ongoing behavioral data collection. Their underwriting relies on point-in-time assessments rather than continuous agent activity monitoring. This creates a data gap that affects pricing accuracy and risk prediction.</w:t>
      </w:r>
    </w:p>
    <w:p>
      <w:pPr>
        <w:pStyle w:val="ListParagraph"/>
        <w:numPr>
          <w:ilvl w:val="0"/>
          <w:numId w:val="2"/>
        </w:numPr>
        <w:spacing w:line="312"/>
      </w:pPr>
      <w:r>
        <w:rPr>
          <w:sz w:val="22"/>
          <w:szCs w:val="22"/>
        </w:rPr>
        <w:t xml:space="preserve">Why they need AlliGo: Armilla's insurance products require historical loss data, behavioral patterns, and failure rates that don't exist in systematic form. AlliGo's forensic data could dramatically improve their underwriting accuracy and enable real-time risk monitoring products.</w:t>
      </w:r>
    </w:p>
    <w:p>
      <w:pPr>
        <w:pStyle w:val="Heading3"/>
      </w:pPr>
      <w:r>
        <w:t xml:space="preserve">ERC-8004 / Daydreams - Identity Infrastructure</w:t>
      </w:r>
    </w:p>
    <w:p>
      <w:pPr>
        <w:pStyle w:val="ListParagraph"/>
        <w:numPr>
          <w:ilvl w:val="0"/>
          <w:numId w:val="2"/>
        </w:numPr>
        <w:spacing w:line="312"/>
      </w:pPr>
      <w:r>
        <w:rPr>
          <w:sz w:val="22"/>
          <w:szCs w:val="22"/>
        </w:rPr>
        <w:t xml:space="preserve">What they do: ERC-8004 is Ethereum's identity standard for AI agents, providing on-chain registries for identity, reputation, and validation. Daydreams (Lucid Agents) builds commerce SDKs with native support for x402 payments and ERC-8004 identity. They enable agents to discover each other, transact, and build verifiable trust signals.</w:t>
      </w:r>
    </w:p>
    <w:p>
      <w:pPr>
        <w:pStyle w:val="ListParagraph"/>
        <w:numPr>
          <w:ilvl w:val="0"/>
          <w:numId w:val="2"/>
        </w:numPr>
        <w:spacing w:line="312"/>
      </w:pPr>
      <w:r>
        <w:rPr>
          <w:sz w:val="22"/>
          <w:szCs w:val="22"/>
        </w:rPr>
        <w:t xml:space="preserve">Their limitation: ERC-8004 provides the 'ID card' for agents but doesn't track behavioral history. Reputation scores are self-reported or based on limited validation events. They don't capture transaction failures, exploit patterns, or loss history. Identity without behavioral data is insufficient for risk assessment.</w:t>
      </w:r>
    </w:p>
    <w:p>
      <w:pPr>
        <w:pStyle w:val="ListParagraph"/>
        <w:numPr>
          <w:ilvl w:val="0"/>
          <w:numId w:val="2"/>
        </w:numPr>
        <w:spacing w:line="312"/>
      </w:pPr>
      <w:r>
        <w:rPr>
          <w:sz w:val="22"/>
          <w:szCs w:val="22"/>
        </w:rPr>
        <w:t xml:space="preserve">Integration opportunity: AlliGo's forensic scores could become a key reputation signal in ERC-8004 registries. Imagine an agent's on-chain identity showing 'AlliGo Risk Score: 85/100 - 0 claims - 90 days monitored' alongside their other credentials.</w:t>
      </w:r>
    </w:p>
    <w:p>
      <w:pPr>
        <w:pStyle w:val="Heading3"/>
      </w:pPr>
      <w:r>
        <w:t xml:space="preserve">Platform Players - ElizaOS, Virtuals Protocol</w:t>
      </w:r>
    </w:p>
    <w:p>
      <w:pPr>
        <w:pStyle w:val="ListParagraph"/>
        <w:numPr>
          <w:ilvl w:val="0"/>
          <w:numId w:val="2"/>
        </w:numPr>
        <w:spacing w:line="312"/>
      </w:pPr>
      <w:r>
        <w:rPr>
          <w:sz w:val="22"/>
          <w:szCs w:val="22"/>
        </w:rPr>
        <w:t xml:space="preserve">ElizaOS: A modular TypeScript framework for autonomous AI agents that can trade, interact socially, and execute financial strategies. Recent research exposed security vulnerabilities including context manipulation attacks. These agents need trust verification but platforms don't provide it.</w:t>
      </w:r>
    </w:p>
    <w:p>
      <w:pPr>
        <w:pStyle w:val="ListParagraph"/>
        <w:numPr>
          <w:ilvl w:val="0"/>
          <w:numId w:val="2"/>
        </w:numPr>
        <w:spacing w:line="312"/>
      </w:pPr>
      <w:r>
        <w:rPr>
          <w:sz w:val="22"/>
          <w:szCs w:val="22"/>
        </w:rPr>
        <w:t xml:space="preserve">Virtuals Protocol: Tokenizes AI agents as co-owned assets on-chain. A recent incident saw an AI agent steal $500K from the protocol, highlighting the need for behavioral monitoring. Non-verified agents were filtered out afterward - exactly the kind of screening AlliGo could provide proactively.</w:t>
      </w:r>
    </w:p>
    <w:p>
      <w:pPr>
        <w:pStyle w:val="ListParagraph"/>
        <w:numPr>
          <w:ilvl w:val="0"/>
          <w:numId w:val="2"/>
        </w:numPr>
        <w:spacing w:line="312"/>
      </w:pPr>
      <w:r>
        <w:rPr>
          <w:sz w:val="22"/>
          <w:szCs w:val="22"/>
        </w:rPr>
        <w:t xml:space="preserve">The gap: Platforms focus on agent creation and monetization, not trust verification. They need third-party risk scores to protect users, but no provider offers systematic behavioral analysis. This creates a B2B API opportunity for AlliGo.</w:t>
      </w:r>
    </w:p>
    <w:p>
      <w:pPr>
        <w:pStyle w:val="Heading1"/>
      </w:pPr>
      <w:r>
        <w:t xml:space="preserve">2. What We're Missing - Honest Assessment</w:t>
      </w:r>
    </w:p>
    <w:p>
      <w:pPr>
        <w:spacing w:after="200" w:line="312"/>
      </w:pPr>
      <w:r>
        <w:rPr>
          <w:sz w:val="22"/>
          <w:szCs w:val="22"/>
        </w:rPr>
        <w:t xml:space="preserve">While AlliGo has a strong theoretical position, several gaps need immediate attention to capitalize on our competitive advantage:</w:t>
      </w:r>
    </w:p>
    <w:p>
      <w:pPr>
        <w:pStyle w:val="Heading2"/>
      </w:pPr>
      <w:r>
        <w:t xml:space="preserve">2.1 Critical Gaps (Blocks Revenue)</w:t>
      </w:r>
    </w:p>
    <w:p>
      <w:pPr>
        <w:pStyle w:val="ListParagraph"/>
        <w:numPr>
          <w:ilvl w:val="0"/>
          <w:numId w:val="3"/>
        </w:numPr>
        <w:spacing w:line="312"/>
      </w:pPr>
      <w:r>
        <w:rPr>
          <w:sz w:val="22"/>
          <w:szCs w:val="22"/>
        </w:rPr>
        <w:t xml:space="preserve">Payment Processing: While x402 code exists, the Stripe integration for traditional payments is incomplete. Users cannot currently upgrade from free tier, blocking all revenue generation. The 'unlock for $1 USDC' flow needs to clearly explain x402 protocol usage, not redirect to package offers.</w:t>
      </w:r>
    </w:p>
    <w:p>
      <w:pPr>
        <w:pStyle w:val="ListParagraph"/>
        <w:numPr>
          <w:ilvl w:val="0"/>
          <w:numId w:val="3"/>
        </w:numPr>
        <w:spacing w:line="312"/>
      </w:pPr>
      <w:r>
        <w:rPr>
          <w:sz w:val="22"/>
          <w:szCs w:val="22"/>
        </w:rPr>
        <w:t xml:space="preserve">User Authentication: No signup/login system exists. Without user accounts, we cannot track API usage, generate per-user keys, or build customer relationships. Authentication is prerequisite for any subscription model.</w:t>
      </w:r>
    </w:p>
    <w:p>
      <w:pPr>
        <w:pStyle w:val="ListParagraph"/>
        <w:numPr>
          <w:ilvl w:val="0"/>
          <w:numId w:val="3"/>
        </w:numPr>
        <w:spacing w:line="312"/>
      </w:pPr>
      <w:r>
        <w:rPr>
          <w:sz w:val="22"/>
          <w:szCs w:val="22"/>
        </w:rPr>
        <w:t xml:space="preserve">Lead Capture: The landing page lacks email capture mechanisms. Visitors leave without converting, losing potential customers and investors. A waitlist for Pro tier would build demand signals.</w:t>
      </w:r>
    </w:p>
    <w:p>
      <w:pPr>
        <w:pStyle w:val="Heading2"/>
      </w:pPr>
      <w:r>
        <w:t xml:space="preserve">2.2 Strategic Gaps (Blocks Growth)</w:t>
      </w:r>
    </w:p>
    <w:p>
      <w:pPr>
        <w:pStyle w:val="ListParagraph"/>
        <w:numPr>
          <w:ilvl w:val="0"/>
          <w:numId w:val="4"/>
        </w:numPr>
        <w:spacing w:line="312"/>
      </w:pPr>
      <w:r>
        <w:rPr>
          <w:sz w:val="22"/>
          <w:szCs w:val="22"/>
        </w:rPr>
        <w:t xml:space="preserve">Data Volume: Current database has limited claims. The data moat is thin - competitors could catch up if we don't scale ingestion rapidly. Need automated daily ingestion from multiple sources plus user-submitted claims.</w:t>
      </w:r>
    </w:p>
    <w:p>
      <w:pPr>
        <w:pStyle w:val="ListParagraph"/>
        <w:numPr>
          <w:ilvl w:val="0"/>
          <w:numId w:val="4"/>
        </w:numPr>
        <w:spacing w:line="312"/>
      </w:pPr>
      <w:r>
        <w:rPr>
          <w:sz w:val="22"/>
          <w:szCs w:val="22"/>
        </w:rPr>
        <w:t xml:space="preserve">Platform Integrations: None deployed yet. The Eliza plugin exists in code but isn't published. Virtuals integration is planned but not implemented. Platform distribution is critical for growth.</w:t>
      </w:r>
    </w:p>
    <w:p>
      <w:pPr>
        <w:pStyle w:val="ListParagraph"/>
        <w:numPr>
          <w:ilvl w:val="0"/>
          <w:numId w:val="4"/>
        </w:numPr>
        <w:spacing w:line="312"/>
      </w:pPr>
      <w:r>
        <w:rPr>
          <w:sz w:val="22"/>
          <w:szCs w:val="22"/>
        </w:rPr>
        <w:t xml:space="preserve">Insurance Partnerships: No formal partnerships with insurers. This represents $50K-$500K/year per partnership in potential revenue. Cold outreach to Armilla, Nexus Mutual, and DeFi insurance protocols should begin immediately.</w:t>
      </w:r>
    </w:p>
    <w:p>
      <w:pPr>
        <w:pStyle w:val="Heading1"/>
      </w:pPr>
      <w:r>
        <w:t xml:space="preserve">3. Why Investors Would Choose AlliGo</w:t>
      </w:r>
    </w:p>
    <w:p>
      <w:pPr>
        <w:spacing w:after="200" w:line="312"/>
      </w:pPr>
      <w:r>
        <w:rPr>
          <w:sz w:val="22"/>
          <w:szCs w:val="22"/>
        </w:rPr>
        <w:t xml:space="preserve">The investment thesis for AlliGo centers on becoming essential infrastructure for the AI agent economy. Here's why investors would choose us over competitors:</w:t>
      </w:r>
    </w:p>
    <w:p>
      <w:pPr>
        <w:pStyle w:val="Heading2"/>
      </w:pPr>
      <w:r>
        <w:t xml:space="preserve">3.1 Investment Thesis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3430"/>
        <w:gridCol w:w="3430"/>
      </w:tblGrid>
      <w:tr>
        <w:trPr>
          <w:tblHeader/>
        </w:trPr>
        <w:tc>
          <w:tcPr>
            <w:tcW w:type="dxa" w:w="2500"/>
            <w:tcBorders>
              <w:top w:val="single" w:color="94A3B8" w:sz="8"/>
              <w:left w:val="none"/>
              <w:bottom w:val="single" w:color="94A3B8" w:sz="8"/>
              <w:right w:val="none"/>
            </w:tcBorders>
            <w:shd w:fill="E2E8F0" w:val="clear"/>
          </w:tcPr>
          <w:p>
            <w:pPr>
              <w:jc w:val="center"/>
            </w:pPr>
            <w:r>
              <w:rPr>
                <w:b/>
                <w:bCs/>
                <w:sz w:val="22"/>
                <w:szCs w:val="22"/>
              </w:rPr>
              <w:t xml:space="preserve">Factor</w:t>
            </w:r>
          </w:p>
        </w:tc>
        <w:tc>
          <w:tcPr>
            <w:tcW w:type="dxa" w:w="3430"/>
            <w:tcBorders>
              <w:top w:val="single" w:color="94A3B8" w:sz="8"/>
              <w:left w:val="none"/>
              <w:bottom w:val="single" w:color="94A3B8" w:sz="8"/>
              <w:right w:val="none"/>
            </w:tcBorders>
            <w:shd w:fill="E2E8F0" w:val="clear"/>
          </w:tcPr>
          <w:p>
            <w:pPr>
              <w:jc w:val="center"/>
            </w:pPr>
            <w:r>
              <w:rPr>
                <w:b/>
                <w:bCs/>
                <w:sz w:val="22"/>
                <w:szCs w:val="22"/>
              </w:rPr>
              <w:t xml:space="preserve">AlliGo Advantage</w:t>
            </w:r>
          </w:p>
        </w:tc>
        <w:tc>
          <w:tcPr>
            <w:tcW w:type="dxa" w:w="3430"/>
            <w:tcBorders>
              <w:top w:val="single" w:color="94A3B8" w:sz="8"/>
              <w:left w:val="none"/>
              <w:bottom w:val="single" w:color="94A3B8" w:sz="8"/>
              <w:right w:val="none"/>
            </w:tcBorders>
            <w:shd w:fill="E2E8F0" w:val="clear"/>
          </w:tcPr>
          <w:p>
            <w:pPr>
              <w:jc w:val="center"/>
            </w:pPr>
            <w:r>
              <w:rPr>
                <w:b/>
                <w:bCs/>
                <w:sz w:val="22"/>
                <w:szCs w:val="22"/>
              </w:rPr>
              <w:t xml:space="preserve">Competitor Weakness</w:t>
            </w:r>
          </w:p>
        </w:tc>
      </w:tr>
      <w:tr>
        <w:tc>
          <w:tcPr>
            <w:tcW w:type="dxa" w:w="2500"/>
            <w:tcBorders>
              <w:top w:val="single" w:color="94A3B8" w:sz="8"/>
              <w:left w:val="none"/>
              <w:bottom w:val="single" w:color="94A3B8" w:sz="8"/>
              <w:right w:val="none"/>
            </w:tcBorders>
          </w:tcPr>
          <w:p>
            <w:r>
              <w:rPr>
                <w:b/>
                <w:bCs/>
                <w:sz w:val="22"/>
                <w:szCs w:val="22"/>
              </w:rPr>
              <w:t xml:space="preserve">Data Moat</w:t>
            </w:r>
          </w:p>
        </w:tc>
        <w:tc>
          <w:tcPr>
            <w:tcW w:type="dxa" w:w="3430"/>
            <w:tcBorders>
              <w:top w:val="single" w:color="94A3B8" w:sz="8"/>
              <w:left w:val="none"/>
              <w:bottom w:val="single" w:color="94A3B8" w:sz="8"/>
              <w:right w:val="none"/>
            </w:tcBorders>
          </w:tcPr>
          <w:p>
            <w:pPr>
              <w:spacing w:line="312"/>
            </w:pPr>
            <w:r>
              <w:rPr>
                <w:sz w:val="22"/>
                <w:szCs w:val="22"/>
              </w:rPr>
              <w:t xml:space="preserve">Behavioral forensics compound over time; each agent monitored adds to predictive models</w:t>
            </w:r>
          </w:p>
        </w:tc>
        <w:tc>
          <w:tcPr>
            <w:tcW w:type="dxa" w:w="3430"/>
            <w:tcBorders>
              <w:top w:val="single" w:color="94A3B8" w:sz="8"/>
              <w:left w:val="none"/>
              <w:bottom w:val="single" w:color="94A3B8" w:sz="8"/>
              <w:right w:val="none"/>
            </w:tcBorders>
          </w:tcPr>
          <w:p>
            <w:pPr>
              <w:spacing w:line="312"/>
            </w:pPr>
            <w:r>
              <w:rPr>
                <w:sz w:val="22"/>
                <w:szCs w:val="22"/>
              </w:rPr>
              <w:t xml:space="preserve">Armilla has point-in-time assessments; ERC-8004 has identity without history</w:t>
            </w:r>
          </w:p>
        </w:tc>
      </w:tr>
      <w:tr>
        <w:tc>
          <w:tcPr>
            <w:tcW w:type="dxa" w:w="2500"/>
            <w:tcBorders>
              <w:top w:val="single" w:color="94A3B8" w:sz="8"/>
              <w:left w:val="none"/>
              <w:bottom w:val="single" w:color="94A3B8" w:sz="8"/>
              <w:right w:val="none"/>
            </w:tcBorders>
          </w:tcPr>
          <w:p>
            <w:r>
              <w:rPr>
                <w:b/>
                <w:bCs/>
                <w:sz w:val="22"/>
                <w:szCs w:val="22"/>
              </w:rPr>
              <w:t xml:space="preserve">Network Effect</w:t>
            </w:r>
          </w:p>
        </w:tc>
        <w:tc>
          <w:tcPr>
            <w:tcW w:type="dxa" w:w="3430"/>
            <w:tcBorders>
              <w:top w:val="single" w:color="94A3B8" w:sz="8"/>
              <w:left w:val="none"/>
              <w:bottom w:val="single" w:color="94A3B8" w:sz="8"/>
              <w:right w:val="none"/>
            </w:tcBorders>
          </w:tcPr>
          <w:p>
            <w:pPr>
              <w:spacing w:line="312"/>
            </w:pPr>
            <w:r>
              <w:rPr>
                <w:sz w:val="22"/>
                <w:szCs w:val="22"/>
              </w:rPr>
              <w:t xml:space="preserve">More agents scored = better data = more accurate scores = more users</w:t>
            </w:r>
          </w:p>
        </w:tc>
        <w:tc>
          <w:tcPr>
            <w:tcW w:type="dxa" w:w="3430"/>
            <w:tcBorders>
              <w:top w:val="single" w:color="94A3B8" w:sz="8"/>
              <w:left w:val="none"/>
              <w:bottom w:val="single" w:color="94A3B8" w:sz="8"/>
              <w:right w:val="none"/>
            </w:tcBorders>
          </w:tcPr>
          <w:p>
            <w:pPr>
              <w:spacing w:line="312"/>
            </w:pPr>
            <w:r>
              <w:rPr>
                <w:sz w:val="22"/>
                <w:szCs w:val="22"/>
              </w:rPr>
              <w:t xml:space="preserve">Platforms like Virtuals have network effects around creation, not trust</w:t>
            </w:r>
          </w:p>
        </w:tc>
      </w:tr>
      <w:tr>
        <w:tc>
          <w:tcPr>
            <w:tcW w:type="dxa" w:w="2500"/>
            <w:tcBorders>
              <w:top w:val="single" w:color="94A3B8" w:sz="8"/>
              <w:left w:val="none"/>
              <w:bottom w:val="single" w:color="94A3B8" w:sz="8"/>
              <w:right w:val="none"/>
            </w:tcBorders>
          </w:tcPr>
          <w:p>
            <w:r>
              <w:rPr>
                <w:b/>
                <w:bCs/>
                <w:sz w:val="22"/>
                <w:szCs w:val="22"/>
              </w:rPr>
              <w:t xml:space="preserve">Market Timing</w:t>
            </w:r>
          </w:p>
        </w:tc>
        <w:tc>
          <w:tcPr>
            <w:tcW w:type="dxa" w:w="3430"/>
            <w:tcBorders>
              <w:top w:val="single" w:color="94A3B8" w:sz="8"/>
              <w:left w:val="none"/>
              <w:bottom w:val="single" w:color="94A3B8" w:sz="8"/>
              <w:right w:val="none"/>
            </w:tcBorders>
          </w:tcPr>
          <w:p>
            <w:pPr>
              <w:spacing w:line="312"/>
            </w:pPr>
            <w:r>
              <w:rPr>
                <w:sz w:val="22"/>
                <w:szCs w:val="22"/>
              </w:rPr>
              <w:t xml:space="preserve">AI agent economy exploding; losses accelerating; insurers entering market</w:t>
            </w:r>
          </w:p>
        </w:tc>
        <w:tc>
          <w:tcPr>
            <w:tcW w:type="dxa" w:w="3430"/>
            <w:tcBorders>
              <w:top w:val="single" w:color="94A3B8" w:sz="8"/>
              <w:left w:val="none"/>
              <w:bottom w:val="single" w:color="94A3B8" w:sz="8"/>
              <w:right w:val="none"/>
            </w:tcBorders>
          </w:tcPr>
          <w:p>
            <w:pPr>
              <w:spacing w:line="312"/>
            </w:pPr>
            <w:r>
              <w:rPr>
                <w:sz w:val="22"/>
                <w:szCs w:val="22"/>
              </w:rPr>
              <w:t xml:space="preserve">Traditional insurers retreating from AI risk; gaps in coverage</w:t>
            </w:r>
          </w:p>
        </w:tc>
      </w:tr>
      <w:tr>
        <w:tc>
          <w:tcPr>
            <w:tcW w:type="dxa" w:w="2500"/>
            <w:tcBorders>
              <w:top w:val="single" w:color="94A3B8" w:sz="8"/>
              <w:left w:val="none"/>
              <w:bottom w:val="single" w:color="94A3B8" w:sz="8"/>
              <w:right w:val="none"/>
            </w:tcBorders>
          </w:tcPr>
          <w:p>
            <w:r>
              <w:rPr>
                <w:b/>
                <w:bCs/>
                <w:sz w:val="22"/>
                <w:szCs w:val="22"/>
              </w:rPr>
              <w:t xml:space="preserve">Revenue Model</w:t>
            </w:r>
          </w:p>
        </w:tc>
        <w:tc>
          <w:tcPr>
            <w:tcW w:type="dxa" w:w="3430"/>
            <w:tcBorders>
              <w:top w:val="single" w:color="94A3B8" w:sz="8"/>
              <w:left w:val="none"/>
              <w:bottom w:val="single" w:color="94A3B8" w:sz="8"/>
              <w:right w:val="none"/>
            </w:tcBorders>
          </w:tcPr>
          <w:p>
            <w:pPr>
              <w:spacing w:line="312"/>
            </w:pPr>
            <w:r>
              <w:rPr>
                <w:sz w:val="22"/>
                <w:szCs w:val="22"/>
              </w:rPr>
              <w:t xml:space="preserve">Multiple streams: API subscriptions, data licensing, insurance partnerships, certification</w:t>
            </w:r>
          </w:p>
        </w:tc>
        <w:tc>
          <w:tcPr>
            <w:tcW w:type="dxa" w:w="3430"/>
            <w:tcBorders>
              <w:top w:val="single" w:color="94A3B8" w:sz="8"/>
              <w:left w:val="none"/>
              <w:bottom w:val="single" w:color="94A3B8" w:sz="8"/>
              <w:right w:val="none"/>
            </w:tcBorders>
          </w:tcPr>
          <w:p>
            <w:pPr>
              <w:spacing w:line="312"/>
            </w:pPr>
            <w:r>
              <w:rPr>
                <w:sz w:val="22"/>
                <w:szCs w:val="22"/>
              </w:rPr>
              <w:t xml:space="preserve">Competitors have single revenue streams (insurance premiums or platform fees)</w:t>
            </w:r>
          </w:p>
        </w:tc>
      </w:tr>
      <w:tr>
        <w:tc>
          <w:tcPr>
            <w:tcW w:type="dxa" w:w="2500"/>
            <w:tcBorders>
              <w:top w:val="single" w:color="94A3B8" w:sz="8"/>
              <w:left w:val="none"/>
              <w:bottom w:val="single" w:color="94A3B8" w:sz="8"/>
              <w:right w:val="none"/>
            </w:tcBorders>
          </w:tcPr>
          <w:p>
            <w:r>
              <w:rPr>
                <w:b/>
                <w:bCs/>
                <w:sz w:val="22"/>
                <w:szCs w:val="22"/>
              </w:rPr>
              <w:t xml:space="preserve">Acquisition Path</w:t>
            </w:r>
          </w:p>
        </w:tc>
        <w:tc>
          <w:tcPr>
            <w:tcW w:type="dxa" w:w="3430"/>
            <w:tcBorders>
              <w:top w:val="single" w:color="94A3B8" w:sz="8"/>
              <w:left w:val="none"/>
              <w:bottom w:val="single" w:color="94A3B8" w:sz="8"/>
              <w:right w:val="none"/>
            </w:tcBorders>
          </w:tcPr>
          <w:p>
            <w:pPr>
              <w:spacing w:line="312"/>
            </w:pPr>
            <w:r>
              <w:rPr>
                <w:sz w:val="22"/>
                <w:szCs w:val="22"/>
              </w:rPr>
              <w:t xml:space="preserve">Natural acquisition target for insurers needing AI risk data (like Riskified's $4.5B exit to Visa)</w:t>
            </w:r>
          </w:p>
        </w:tc>
        <w:tc>
          <w:tcPr>
            <w:tcW w:type="dxa" w:w="3430"/>
            <w:tcBorders>
              <w:top w:val="single" w:color="94A3B8" w:sz="8"/>
              <w:left w:val="none"/>
              <w:bottom w:val="single" w:color="94A3B8" w:sz="8"/>
              <w:right w:val="none"/>
            </w:tcBorders>
          </w:tcPr>
          <w:p>
            <w:pPr>
              <w:spacing w:line="312"/>
            </w:pPr>
            <w:r>
              <w:rPr>
                <w:sz w:val="22"/>
                <w:szCs w:val="22"/>
              </w:rPr>
              <w:t xml:space="preserve">Armilla could be acquirer; ERC-8004 is a standard, not a company</w:t>
            </w:r>
          </w:p>
        </w:tc>
      </w:tr>
    </w:tbl>
    <w:p>
      <w:pPr>
        <w:spacing w:before="200"/>
        <w:jc w:val="center"/>
      </w:pPr>
      <w:r>
        <w:rPr>
          <w:i/>
          <w:iCs/>
          <w:color w:val="64748B"/>
          <w:sz w:val="18"/>
          <w:szCs w:val="18"/>
        </w:rPr>
        <w:t xml:space="preserve">Table 2: Competitive Advantage Matrix</w:t>
      </w:r>
    </w:p>
    <w:p>
      <w:pPr>
        <w:pStyle w:val="Heading1"/>
      </w:pPr>
      <w:r>
        <w:t xml:space="preserve">4. What Data Competitors Are Passing By</w:t>
      </w:r>
    </w:p>
    <w:p>
      <w:pPr>
        <w:spacing w:after="200" w:line="312"/>
      </w:pPr>
      <w:r>
        <w:rPr>
          <w:sz w:val="22"/>
          <w:szCs w:val="22"/>
        </w:rPr>
        <w:t xml:space="preserve">The most significant competitive gap is the data that no one is systematically collecting. This represents AlliGo's primary opportunity:</w:t>
      </w:r>
    </w:p>
    <w:p>
      <w:pPr>
        <w:pStyle w:val="Heading2"/>
      </w:pPr>
      <w:r>
        <w:t xml:space="preserve">4.1 Behavioral Forensic Data (Untapped)</w:t>
      </w:r>
    </w:p>
    <w:p>
      <w:pPr>
        <w:pStyle w:val="ListParagraph"/>
        <w:numPr>
          <w:ilvl w:val="0"/>
          <w:numId w:val="2"/>
        </w:numPr>
        <w:spacing w:line="312"/>
      </w:pPr>
      <w:r>
        <w:rPr>
          <w:sz w:val="22"/>
          <w:szCs w:val="22"/>
        </w:rPr>
        <w:t xml:space="preserve">Transaction Failure Patterns: When agents execute trades or financial operations, failures leave signatures. Slippage errors, out-of-gas failures, front-running losses, and revert patterns indicate skill levels and risk profiles. No one aggregates these across agents.</w:t>
      </w:r>
    </w:p>
    <w:p>
      <w:pPr>
        <w:pStyle w:val="ListParagraph"/>
        <w:numPr>
          <w:ilvl w:val="0"/>
          <w:numId w:val="2"/>
        </w:numPr>
        <w:spacing w:line="312"/>
      </w:pPr>
      <w:r>
        <w:rPr>
          <w:sz w:val="22"/>
          <w:szCs w:val="22"/>
        </w:rPr>
        <w:t xml:space="preserve">Exploit Mimicry Detection: Malicious agents often copy successful exploit patterns. By analyzing transaction sequences, we can detect when an agent's behavior matches known attack signatures - before losses occur. This is predictive, not reactive.</w:t>
      </w:r>
    </w:p>
    <w:p>
      <w:pPr>
        <w:pStyle w:val="ListParagraph"/>
        <w:numPr>
          <w:ilvl w:val="0"/>
          <w:numId w:val="2"/>
        </w:numPr>
        <w:spacing w:line="312"/>
      </w:pPr>
      <w:r>
        <w:rPr>
          <w:sz w:val="22"/>
          <w:szCs w:val="22"/>
        </w:rPr>
        <w:t xml:space="preserve">Loss Acceleration Patterns: Agents that start losing often increase risk-taking behavior (similar to gambler's fallacy). Tracking loss streaks and response patterns provides early warning signals that traditional metrics miss.</w:t>
      </w:r>
    </w:p>
    <w:p>
      <w:pPr>
        <w:pStyle w:val="ListParagraph"/>
        <w:numPr>
          <w:ilvl w:val="0"/>
          <w:numId w:val="2"/>
        </w:numPr>
        <w:spacing w:line="312"/>
      </w:pPr>
      <w:r>
        <w:rPr>
          <w:sz w:val="22"/>
          <w:szCs w:val="22"/>
        </w:rPr>
        <w:t xml:space="preserve">Counterparty Guilt by Association: When an agent interacts with flagged addresses or exploited protocols, their risk score should reflect this association. Current solutions don't track these indirect connections.</w:t>
      </w:r>
    </w:p>
    <w:p>
      <w:pPr>
        <w:pStyle w:val="Heading2"/>
      </w:pPr>
      <w:r>
        <w:t xml:space="preserve">4.2 On-Chain Activity Data (Underutilized)</w:t>
      </w:r>
    </w:p>
    <w:p>
      <w:pPr>
        <w:pStyle w:val="ListParagraph"/>
        <w:numPr>
          <w:ilvl w:val="0"/>
          <w:numId w:val="2"/>
        </w:numPr>
        <w:spacing w:line="312"/>
      </w:pPr>
      <w:r>
        <w:rPr>
          <w:sz w:val="22"/>
          <w:szCs w:val="22"/>
        </w:rPr>
        <w:t xml:space="preserve">Protocol Risk Exposure: Agents interact with various DeFi protocols with different risk profiles. Tracking which protocols an agent uses, their exposure levels, and how quickly they respond to protocol issues provides risk signals.</w:t>
      </w:r>
    </w:p>
    <w:p>
      <w:pPr>
        <w:pStyle w:val="ListParagraph"/>
        <w:numPr>
          <w:ilvl w:val="0"/>
          <w:numId w:val="2"/>
        </w:numPr>
        <w:spacing w:line="312"/>
      </w:pPr>
      <w:r>
        <w:rPr>
          <w:sz w:val="22"/>
          <w:szCs w:val="22"/>
        </w:rPr>
        <w:t xml:space="preserve">Leverage Spike Detection: Sudden increases in leverage ratio often precede liquidation events. Monitoring leverage changes across time provides early warning. Current identity solutions don't track this.</w:t>
      </w:r>
    </w:p>
    <w:p>
      <w:pPr>
        <w:pStyle w:val="ListParagraph"/>
        <w:numPr>
          <w:ilvl w:val="0"/>
          <w:numId w:val="2"/>
        </w:numPr>
        <w:spacing w:line="312"/>
      </w:pPr>
      <w:r>
        <w:rPr>
          <w:sz w:val="22"/>
          <w:szCs w:val="22"/>
        </w:rPr>
        <w:t xml:space="preserve">Abandonment Signals: Agents that reduce activity, withdraw funds, or change behavior patterns may be preparing to exit or have been compromised. These signals are invisible to point-in-time assessments.</w:t>
      </w:r>
    </w:p>
    <w:p>
      <w:pPr>
        <w:pStyle w:val="Heading2"/>
      </w:pPr>
      <w:r>
        <w:t xml:space="preserve">4.3 Platform-Specific Data (Ignored)</w:t>
      </w:r>
    </w:p>
    <w:p>
      <w:pPr>
        <w:pStyle w:val="ListParagraph"/>
        <w:numPr>
          <w:ilvl w:val="0"/>
          <w:numId w:val="2"/>
        </w:numPr>
        <w:spacing w:line="312"/>
      </w:pPr>
      <w:r>
        <w:rPr>
          <w:sz w:val="22"/>
          <w:szCs w:val="22"/>
        </w:rPr>
        <w:t xml:space="preserve">ElizaOS Security Events: The framework has known vulnerabilities (context manipulation attacks, prompt injection). Agents built on ElizaOS have specific risk profiles that should be tracked. No one is doing this systematically.</w:t>
      </w:r>
    </w:p>
    <w:p>
      <w:pPr>
        <w:pStyle w:val="ListParagraph"/>
        <w:numPr>
          <w:ilvl w:val="0"/>
          <w:numId w:val="2"/>
        </w:numPr>
        <w:spacing w:line="312"/>
      </w:pPr>
      <w:r>
        <w:rPr>
          <w:sz w:val="22"/>
          <w:szCs w:val="22"/>
        </w:rPr>
        <w:t xml:space="preserve">Virtuals Token Performance: Each agent on Virtuals has a token with price history. Token performance correlates with agent reliability. This data is public but not aggregated into trust scores.</w:t>
      </w:r>
    </w:p>
    <w:p>
      <w:pPr>
        <w:pStyle w:val="ListParagraph"/>
        <w:numPr>
          <w:ilvl w:val="0"/>
          <w:numId w:val="2"/>
        </w:numPr>
        <w:spacing w:line="312"/>
      </w:pPr>
      <w:r>
        <w:rPr>
          <w:sz w:val="22"/>
          <w:szCs w:val="22"/>
        </w:rPr>
        <w:t xml:space="preserve">Cross-Platform Identity Resolution: The same agent may operate across multiple platforms under different identities. Linking these identities provides a more complete risk picture. ERC-8004 provides identity but doesn't track cross-platform behavior.</w:t>
      </w:r>
    </w:p>
    <w:p>
      <w:pPr>
        <w:pStyle w:val="Heading1"/>
      </w:pPr>
      <w:r>
        <w:t xml:space="preserve">5. Strategic Differentiation - Focus Areas</w:t>
      </w:r>
    </w:p>
    <w:p>
      <w:pPr>
        <w:spacing w:after="200" w:line="312"/>
      </w:pPr>
      <w:r>
        <w:rPr>
          <w:sz w:val="22"/>
          <w:szCs w:val="22"/>
        </w:rPr>
        <w:t xml:space="preserve">Based on competitive analysis, AlliGo should focus on these areas where competitors have blindspots:</w:t>
      </w:r>
    </w:p>
    <w:p>
      <w:pPr>
        <w:pStyle w:val="Heading2"/>
      </w:pPr>
      <w:r>
        <w:t xml:space="preserve">5.1 Agentic Data vs. User/Wallet Data</w:t>
      </w:r>
    </w:p>
    <w:p>
      <w:pPr>
        <w:spacing w:after="200" w:line="312"/>
      </w:pPr>
      <w:r>
        <w:rPr>
          <w:sz w:val="22"/>
          <w:szCs w:val="22"/>
        </w:rPr>
        <w:t xml:space="preserve">Current solutions focus on either user identity (KYC) or wallet analysis (blockchain forensics). Neither captures the unique characteristics of AI agents:</w:t>
      </w:r>
    </w:p>
    <w:p>
      <w:pPr>
        <w:pStyle w:val="ListParagraph"/>
        <w:numPr>
          <w:ilvl w:val="0"/>
          <w:numId w:val="5"/>
        </w:numPr>
        <w:spacing w:line="312"/>
      </w:pPr>
      <w:r>
        <w:rPr>
          <w:sz w:val="22"/>
          <w:szCs w:val="22"/>
        </w:rPr>
        <w:t xml:space="preserve">Agent Behavioral Archetypes: Unlike humans, agents have predictable behavioral patterns that can be classified. 'Exploit Mimicry', 'Loss Acceleration', 'Profit Harvesting', 'Rookie Mistake' - these archetypes have specific signatures. AlliGo's pattern engine detects these.</w:t>
      </w:r>
    </w:p>
    <w:p>
      <w:pPr>
        <w:pStyle w:val="ListParagraph"/>
        <w:numPr>
          <w:ilvl w:val="0"/>
          <w:numId w:val="5"/>
        </w:numPr>
        <w:spacing w:line="312"/>
      </w:pPr>
      <w:r>
        <w:rPr>
          <w:sz w:val="22"/>
          <w:szCs w:val="22"/>
        </w:rPr>
        <w:t xml:space="preserve">Autonomous Decision Patterns: Agents make decisions without human oversight, often following programmed strategies. When these strategies fail or behave unexpectedly, it reveals information about the agent's design quality and risk exposure.</w:t>
      </w:r>
    </w:p>
    <w:p>
      <w:pPr>
        <w:pStyle w:val="ListParagraph"/>
        <w:numPr>
          <w:ilvl w:val="0"/>
          <w:numId w:val="5"/>
        </w:numPr>
        <w:spacing w:line="312"/>
      </w:pPr>
      <w:r>
        <w:rPr>
          <w:sz w:val="22"/>
          <w:szCs w:val="22"/>
        </w:rPr>
        <w:t xml:space="preserve">Agent-to-Agent Interactions: The emerging agent economy involves agents transacting with other agents. These interaction patterns reveal trust networks and risk propagation pathways that human-focused analysis misses.</w:t>
      </w:r>
    </w:p>
    <w:p>
      <w:pPr>
        <w:pStyle w:val="Heading2"/>
      </w:pPr>
      <w:r>
        <w:t xml:space="preserve">5.2 Predictive vs. Reactive Risk Assessment</w:t>
      </w:r>
    </w:p>
    <w:p>
      <w:pPr>
        <w:spacing w:after="200" w:line="312"/>
      </w:pPr>
      <w:r>
        <w:rPr>
          <w:sz w:val="22"/>
          <w:szCs w:val="22"/>
        </w:rPr>
        <w:t xml:space="preserve">Armilla verifies before deployment; insurers pay after losses. AlliGo provides continuous monitoring with predictive alerts:</w:t>
      </w:r>
    </w:p>
    <w:p>
      <w:pPr>
        <w:pStyle w:val="ListParagraph"/>
        <w:numPr>
          <w:ilvl w:val="0"/>
          <w:numId w:val="6"/>
        </w:numPr>
        <w:spacing w:line="312"/>
      </w:pPr>
      <w:r>
        <w:rPr>
          <w:sz w:val="22"/>
          <w:szCs w:val="22"/>
        </w:rPr>
        <w:t xml:space="preserve">Real-Time Risk Scores: As agents transact, their risk scores update. A sudden drop can trigger alerts to insurers, platforms, or users before major losses occur.</w:t>
      </w:r>
    </w:p>
    <w:p>
      <w:pPr>
        <w:pStyle w:val="ListParagraph"/>
        <w:numPr>
          <w:ilvl w:val="0"/>
          <w:numId w:val="6"/>
        </w:numPr>
        <w:spacing w:line="312"/>
      </w:pPr>
      <w:r>
        <w:rPr>
          <w:sz w:val="22"/>
          <w:szCs w:val="22"/>
        </w:rPr>
        <w:t xml:space="preserve">Recurrence Forecasting: Based on detected patterns, AlliGo can predict the likelihood of future failures. 'This agent has 73% probability of significant loss within 30 days based on loss acceleration pattern.'</w:t>
      </w:r>
    </w:p>
    <w:p>
      <w:pPr>
        <w:pStyle w:val="ListParagraph"/>
        <w:numPr>
          <w:ilvl w:val="0"/>
          <w:numId w:val="6"/>
        </w:numPr>
        <w:spacing w:line="312"/>
      </w:pPr>
      <w:r>
        <w:rPr>
          <w:sz w:val="22"/>
          <w:szCs w:val="22"/>
        </w:rPr>
        <w:t xml:space="preserve">Dynamic Premium Pricing: Insurance partners can adjust coverage pricing based on real-time risk signals, creating a responsive market for AI risk.</w:t>
      </w:r>
    </w:p>
    <w:p>
      <w:pPr>
        <w:pStyle w:val="Heading2"/>
      </w:pPr>
      <w:r>
        <w:t xml:space="preserve">5.3 Open Data Layer vs. Closed Platforms</w:t>
      </w:r>
    </w:p>
    <w:p>
      <w:pPr>
        <w:spacing w:after="200" w:line="312"/>
      </w:pPr>
      <w:r>
        <w:rPr>
          <w:sz w:val="22"/>
          <w:szCs w:val="22"/>
        </w:rPr>
        <w:t xml:space="preserve">AlliGo's positioning as the 'data layer' for AI agent trust creates network effects that closed platforms cannot match:</w:t>
      </w:r>
    </w:p>
    <w:p>
      <w:pPr>
        <w:pStyle w:val="ListParagraph"/>
        <w:numPr>
          <w:ilvl w:val="0"/>
          <w:numId w:val="7"/>
        </w:numPr>
        <w:spacing w:line="312"/>
      </w:pPr>
      <w:r>
        <w:rPr>
          <w:sz w:val="22"/>
          <w:szCs w:val="22"/>
        </w:rPr>
        <w:t xml:space="preserve">API-First Approach: Any platform can integrate AlliGo scores. ElizaOS, Virtuals, custom agent deployments - all benefit from standardized risk assessment.</w:t>
      </w:r>
    </w:p>
    <w:p>
      <w:pPr>
        <w:pStyle w:val="ListParagraph"/>
        <w:numPr>
          <w:ilvl w:val="0"/>
          <w:numId w:val="7"/>
        </w:numPr>
        <w:spacing w:line="312"/>
      </w:pPr>
      <w:r>
        <w:rPr>
          <w:sz w:val="22"/>
          <w:szCs w:val="22"/>
        </w:rPr>
        <w:t xml:space="preserve">Neutral Data Provider: Unlike platforms with vested interests, AlliGo is neutral. We aggregate and score; we don't compete with agent creators or platforms.</w:t>
      </w:r>
    </w:p>
    <w:p>
      <w:pPr>
        <w:pStyle w:val="ListParagraph"/>
        <w:numPr>
          <w:ilvl w:val="0"/>
          <w:numId w:val="7"/>
        </w:numPr>
        <w:spacing w:line="312"/>
      </w:pPr>
      <w:r>
        <w:rPr>
          <w:sz w:val="22"/>
          <w:szCs w:val="22"/>
        </w:rPr>
        <w:t xml:space="preserve">Community-Verified Claims: Open submission of agent failures with evidence creates a crowdsourced verification system that improves data quality over time.</w:t>
      </w:r>
    </w:p>
    <w:p>
      <w:pPr>
        <w:pStyle w:val="Heading1"/>
      </w:pPr>
      <w:r>
        <w:t xml:space="preserve">6. Immediate Action Items</w:t>
      </w:r>
    </w:p>
    <w:p>
      <w:pPr>
        <w:spacing w:after="200" w:line="312"/>
      </w:pPr>
      <w:r>
        <w:rPr>
          <w:sz w:val="22"/>
          <w:szCs w:val="22"/>
        </w:rPr>
        <w:t xml:space="preserve">To capitalize on these competitive advantages, immediate focus should be 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00"/>
        <w:gridCol w:w="4000"/>
        <w:gridCol w:w="2000"/>
        <w:gridCol w:w="1860"/>
      </w:tblGrid>
      <w:tr>
        <w:trPr>
          <w:tblHeader/>
        </w:trPr>
        <w:tc>
          <w:tcPr>
            <w:tcW w:type="dxa" w:w="1500"/>
            <w:tcBorders>
              <w:top w:val="single" w:color="94A3B8" w:sz="8"/>
              <w:left w:val="none"/>
              <w:bottom w:val="single" w:color="94A3B8" w:sz="8"/>
              <w:right w:val="none"/>
            </w:tcBorders>
            <w:shd w:fill="E2E8F0" w:val="clear"/>
          </w:tcPr>
          <w:p>
            <w:pPr>
              <w:jc w:val="center"/>
            </w:pPr>
            <w:r>
              <w:rPr>
                <w:b/>
                <w:bCs/>
                <w:sz w:val="22"/>
                <w:szCs w:val="22"/>
              </w:rPr>
              <w:t xml:space="preserve">Priority</w:t>
            </w:r>
          </w:p>
        </w:tc>
        <w:tc>
          <w:tcPr>
            <w:tcW w:type="dxa" w:w="4000"/>
            <w:tcBorders>
              <w:top w:val="single" w:color="94A3B8" w:sz="8"/>
              <w:left w:val="none"/>
              <w:bottom w:val="single" w:color="94A3B8" w:sz="8"/>
              <w:right w:val="none"/>
            </w:tcBorders>
            <w:shd w:fill="E2E8F0" w:val="clear"/>
          </w:tcPr>
          <w:p>
            <w:pPr>
              <w:jc w:val="center"/>
            </w:pPr>
            <w:r>
              <w:rPr>
                <w:b/>
                <w:bCs/>
                <w:sz w:val="22"/>
                <w:szCs w:val="22"/>
              </w:rPr>
              <w:t xml:space="preserve">Action</w:t>
            </w:r>
          </w:p>
        </w:tc>
        <w:tc>
          <w:tcPr>
            <w:tcW w:type="dxa" w:w="2000"/>
            <w:tcBorders>
              <w:top w:val="single" w:color="94A3B8" w:sz="8"/>
              <w:left w:val="none"/>
              <w:bottom w:val="single" w:color="94A3B8" w:sz="8"/>
              <w:right w:val="none"/>
            </w:tcBorders>
            <w:shd w:fill="E2E8F0" w:val="clear"/>
          </w:tcPr>
          <w:p>
            <w:pPr>
              <w:jc w:val="center"/>
            </w:pPr>
            <w:r>
              <w:rPr>
                <w:b/>
                <w:bCs/>
                <w:sz w:val="22"/>
                <w:szCs w:val="22"/>
              </w:rPr>
              <w:t xml:space="preserve">Impact</w:t>
            </w:r>
          </w:p>
        </w:tc>
        <w:tc>
          <w:tcPr>
            <w:tcW w:type="dxa" w:w="1860"/>
            <w:tcBorders>
              <w:top w:val="single" w:color="94A3B8" w:sz="8"/>
              <w:left w:val="none"/>
              <w:bottom w:val="single" w:color="94A3B8" w:sz="8"/>
              <w:right w:val="none"/>
            </w:tcBorders>
            <w:shd w:fill="E2E8F0" w:val="clear"/>
          </w:tcPr>
          <w:p>
            <w:pPr>
              <w:jc w:val="center"/>
            </w:pPr>
            <w:r>
              <w:rPr>
                <w:b/>
                <w:bCs/>
                <w:sz w:val="22"/>
                <w:szCs w:val="22"/>
              </w:rPr>
              <w:t xml:space="preserve">Timeline</w:t>
            </w:r>
          </w:p>
        </w:tc>
      </w:tr>
      <w:tr>
        <w:tc>
          <w:tcPr>
            <w:tcW w:type="dxa" w:w="1500"/>
            <w:tcBorders>
              <w:top w:val="single" w:color="94A3B8" w:sz="8"/>
              <w:left w:val="none"/>
              <w:bottom w:val="single" w:color="94A3B8" w:sz="8"/>
              <w:right w:val="none"/>
            </w:tcBorders>
          </w:tcPr>
          <w:p>
            <w:pPr>
              <w:jc w:val="center"/>
            </w:pPr>
            <w:r>
              <w:rPr>
                <w:b/>
                <w:bCs/>
                <w:color w:val="DC2626"/>
                <w:sz w:val="22"/>
                <w:szCs w:val="22"/>
              </w:rPr>
              <w:t xml:space="preserve">P0</w:t>
            </w:r>
          </w:p>
        </w:tc>
        <w:tc>
          <w:tcPr>
            <w:tcW w:type="dxa" w:w="4000"/>
            <w:tcBorders>
              <w:top w:val="single" w:color="94A3B8" w:sz="8"/>
              <w:left w:val="none"/>
              <w:bottom w:val="single" w:color="94A3B8" w:sz="8"/>
              <w:right w:val="none"/>
            </w:tcBorders>
          </w:tcPr>
          <w:p>
            <w:pPr>
              <w:spacing w:line="312"/>
            </w:pPr>
            <w:r>
              <w:rPr>
                <w:sz w:val="22"/>
                <w:szCs w:val="22"/>
              </w:rPr>
              <w:t xml:space="preserve">Fix 'Unlock for $1' flow to show x402 instructions</w:t>
            </w:r>
          </w:p>
        </w:tc>
        <w:tc>
          <w:tcPr>
            <w:tcW w:type="dxa" w:w="2000"/>
            <w:tcBorders>
              <w:top w:val="single" w:color="94A3B8" w:sz="8"/>
              <w:left w:val="none"/>
              <w:bottom w:val="single" w:color="94A3B8" w:sz="8"/>
              <w:right w:val="none"/>
            </w:tcBorders>
          </w:tcPr>
          <w:p>
            <w:pPr>
              <w:jc w:val="center"/>
            </w:pPr>
            <w:r>
              <w:rPr>
                <w:sz w:val="22"/>
                <w:szCs w:val="22"/>
              </w:rPr>
              <w:t xml:space="preserve">Unlocks Revenue</w:t>
            </w:r>
          </w:p>
        </w:tc>
        <w:tc>
          <w:tcPr>
            <w:tcW w:type="dxa" w:w="1860"/>
            <w:tcBorders>
              <w:top w:val="single" w:color="94A3B8" w:sz="8"/>
              <w:left w:val="none"/>
              <w:bottom w:val="single" w:color="94A3B8" w:sz="8"/>
              <w:right w:val="none"/>
            </w:tcBorders>
          </w:tcPr>
          <w:p>
            <w:pPr>
              <w:jc w:val="center"/>
            </w:pPr>
            <w:r>
              <w:rPr>
                <w:sz w:val="22"/>
                <w:szCs w:val="22"/>
              </w:rPr>
              <w:t xml:space="preserve">1 day</w:t>
            </w:r>
          </w:p>
        </w:tc>
      </w:tr>
      <w:tr>
        <w:tc>
          <w:tcPr>
            <w:tcW w:type="dxa" w:w="1500"/>
            <w:tcBorders>
              <w:top w:val="single" w:color="94A3B8" w:sz="8"/>
              <w:left w:val="none"/>
              <w:bottom w:val="single" w:color="94A3B8" w:sz="8"/>
              <w:right w:val="none"/>
            </w:tcBorders>
          </w:tcPr>
          <w:p>
            <w:pPr>
              <w:jc w:val="center"/>
            </w:pPr>
            <w:r>
              <w:rPr>
                <w:b/>
                <w:bCs/>
                <w:color w:val="DC2626"/>
                <w:sz w:val="22"/>
                <w:szCs w:val="22"/>
              </w:rPr>
              <w:t xml:space="preserve">P0</w:t>
            </w:r>
          </w:p>
        </w:tc>
        <w:tc>
          <w:tcPr>
            <w:tcW w:type="dxa" w:w="4000"/>
            <w:tcBorders>
              <w:top w:val="single" w:color="94A3B8" w:sz="8"/>
              <w:left w:val="none"/>
              <w:bottom w:val="single" w:color="94A3B8" w:sz="8"/>
              <w:right w:val="none"/>
            </w:tcBorders>
          </w:tcPr>
          <w:p>
            <w:pPr>
              <w:spacing w:line="312"/>
            </w:pPr>
            <w:r>
              <w:rPr>
                <w:sz w:val="22"/>
                <w:szCs w:val="22"/>
              </w:rPr>
              <w:t xml:space="preserve">Add user authentication and API key management</w:t>
            </w:r>
          </w:p>
        </w:tc>
        <w:tc>
          <w:tcPr>
            <w:tcW w:type="dxa" w:w="2000"/>
            <w:tcBorders>
              <w:top w:val="single" w:color="94A3B8" w:sz="8"/>
              <w:left w:val="none"/>
              <w:bottom w:val="single" w:color="94A3B8" w:sz="8"/>
              <w:right w:val="none"/>
            </w:tcBorders>
          </w:tcPr>
          <w:p>
            <w:pPr>
              <w:jc w:val="center"/>
            </w:pPr>
            <w:r>
              <w:rPr>
                <w:sz w:val="22"/>
                <w:szCs w:val="22"/>
              </w:rPr>
              <w:t xml:space="preserve">Enables Billing</w:t>
            </w:r>
          </w:p>
        </w:tc>
        <w:tc>
          <w:tcPr>
            <w:tcW w:type="dxa" w:w="1860"/>
            <w:tcBorders>
              <w:top w:val="single" w:color="94A3B8" w:sz="8"/>
              <w:left w:val="none"/>
              <w:bottom w:val="single" w:color="94A3B8" w:sz="8"/>
              <w:right w:val="none"/>
            </w:tcBorders>
          </w:tcPr>
          <w:p>
            <w:pPr>
              <w:jc w:val="center"/>
            </w:pPr>
            <w:r>
              <w:rPr>
                <w:sz w:val="22"/>
                <w:szCs w:val="22"/>
              </w:rPr>
              <w:t xml:space="preserve">2-3 days</w:t>
            </w:r>
          </w:p>
        </w:tc>
      </w:tr>
      <w:tr>
        <w:tc>
          <w:tcPr>
            <w:tcW w:type="dxa" w:w="1500"/>
            <w:tcBorders>
              <w:top w:val="single" w:color="94A3B8" w:sz="8"/>
              <w:left w:val="none"/>
              <w:bottom w:val="single" w:color="94A3B8" w:sz="8"/>
              <w:right w:val="none"/>
            </w:tcBorders>
          </w:tcPr>
          <w:p>
            <w:pPr>
              <w:jc w:val="center"/>
            </w:pPr>
            <w:r>
              <w:rPr>
                <w:b/>
                <w:bCs/>
                <w:color w:val="EA580C"/>
                <w:sz w:val="22"/>
                <w:szCs w:val="22"/>
              </w:rPr>
              <w:t xml:space="preserve">P1</w:t>
            </w:r>
          </w:p>
        </w:tc>
        <w:tc>
          <w:tcPr>
            <w:tcW w:type="dxa" w:w="4000"/>
            <w:tcBorders>
              <w:top w:val="single" w:color="94A3B8" w:sz="8"/>
              <w:left w:val="none"/>
              <w:bottom w:val="single" w:color="94A3B8" w:sz="8"/>
              <w:right w:val="none"/>
            </w:tcBorders>
          </w:tcPr>
          <w:p>
            <w:pPr>
              <w:spacing w:line="312"/>
            </w:pPr>
            <w:r>
              <w:rPr>
                <w:sz w:val="22"/>
                <w:szCs w:val="22"/>
              </w:rPr>
              <w:t xml:space="preserve">Scale data ingestion from agentic platforms</w:t>
            </w:r>
          </w:p>
        </w:tc>
        <w:tc>
          <w:tcPr>
            <w:tcW w:type="dxa" w:w="2000"/>
            <w:tcBorders>
              <w:top w:val="single" w:color="94A3B8" w:sz="8"/>
              <w:left w:val="none"/>
              <w:bottom w:val="single" w:color="94A3B8" w:sz="8"/>
              <w:right w:val="none"/>
            </w:tcBorders>
          </w:tcPr>
          <w:p>
            <w:pPr>
              <w:jc w:val="center"/>
            </w:pPr>
            <w:r>
              <w:rPr>
                <w:sz w:val="22"/>
                <w:szCs w:val="22"/>
              </w:rPr>
              <w:t xml:space="preserve">Data Moat</w:t>
            </w:r>
          </w:p>
        </w:tc>
        <w:tc>
          <w:tcPr>
            <w:tcW w:type="dxa" w:w="1860"/>
            <w:tcBorders>
              <w:top w:val="single" w:color="94A3B8" w:sz="8"/>
              <w:left w:val="none"/>
              <w:bottom w:val="single" w:color="94A3B8" w:sz="8"/>
              <w:right w:val="none"/>
            </w:tcBorders>
          </w:tcPr>
          <w:p>
            <w:pPr>
              <w:jc w:val="center"/>
            </w:pPr>
            <w:r>
              <w:rPr>
                <w:sz w:val="22"/>
                <w:szCs w:val="22"/>
              </w:rPr>
              <w:t xml:space="preserve">1 week</w:t>
            </w:r>
          </w:p>
        </w:tc>
      </w:tr>
      <w:tr>
        <w:tc>
          <w:tcPr>
            <w:tcW w:type="dxa" w:w="1500"/>
            <w:tcBorders>
              <w:top w:val="single" w:color="94A3B8" w:sz="8"/>
              <w:left w:val="none"/>
              <w:bottom w:val="single" w:color="94A3B8" w:sz="8"/>
              <w:right w:val="none"/>
            </w:tcBorders>
          </w:tcPr>
          <w:p>
            <w:pPr>
              <w:jc w:val="center"/>
            </w:pPr>
            <w:r>
              <w:rPr>
                <w:b/>
                <w:bCs/>
                <w:color w:val="EA580C"/>
                <w:sz w:val="22"/>
                <w:szCs w:val="22"/>
              </w:rPr>
              <w:t xml:space="preserve">P1</w:t>
            </w:r>
          </w:p>
        </w:tc>
        <w:tc>
          <w:tcPr>
            <w:tcW w:type="dxa" w:w="4000"/>
            <w:tcBorders>
              <w:top w:val="single" w:color="94A3B8" w:sz="8"/>
              <w:left w:val="none"/>
              <w:bottom w:val="single" w:color="94A3B8" w:sz="8"/>
              <w:right w:val="none"/>
            </w:tcBorders>
          </w:tcPr>
          <w:p>
            <w:pPr>
              <w:spacing w:line="312"/>
            </w:pPr>
            <w:r>
              <w:rPr>
                <w:sz w:val="22"/>
                <w:szCs w:val="22"/>
              </w:rPr>
              <w:t xml:space="preserve">Publish ElizaOS plugin to npm</w:t>
            </w:r>
          </w:p>
        </w:tc>
        <w:tc>
          <w:tcPr>
            <w:tcW w:type="dxa" w:w="2000"/>
            <w:tcBorders>
              <w:top w:val="single" w:color="94A3B8" w:sz="8"/>
              <w:left w:val="none"/>
              <w:bottom w:val="single" w:color="94A3B8" w:sz="8"/>
              <w:right w:val="none"/>
            </w:tcBorders>
          </w:tcPr>
          <w:p>
            <w:pPr>
              <w:jc w:val="center"/>
            </w:pPr>
            <w:r>
              <w:rPr>
                <w:sz w:val="22"/>
                <w:szCs w:val="22"/>
              </w:rPr>
              <w:t xml:space="preserve">Distribution</w:t>
            </w:r>
          </w:p>
        </w:tc>
        <w:tc>
          <w:tcPr>
            <w:tcW w:type="dxa" w:w="1860"/>
            <w:tcBorders>
              <w:top w:val="single" w:color="94A3B8" w:sz="8"/>
              <w:left w:val="none"/>
              <w:bottom w:val="single" w:color="94A3B8" w:sz="8"/>
              <w:right w:val="none"/>
            </w:tcBorders>
          </w:tcPr>
          <w:p>
            <w:pPr>
              <w:jc w:val="center"/>
            </w:pPr>
            <w:r>
              <w:rPr>
                <w:sz w:val="22"/>
                <w:szCs w:val="22"/>
              </w:rPr>
              <w:t xml:space="preserve">1 day</w:t>
            </w:r>
          </w:p>
        </w:tc>
      </w:tr>
      <w:tr>
        <w:tc>
          <w:tcPr>
            <w:tcW w:type="dxa" w:w="1500"/>
            <w:tcBorders>
              <w:top w:val="single" w:color="94A3B8" w:sz="8"/>
              <w:left w:val="none"/>
              <w:bottom w:val="single" w:color="94A3B8" w:sz="8"/>
              <w:right w:val="none"/>
            </w:tcBorders>
          </w:tcPr>
          <w:p>
            <w:pPr>
              <w:jc w:val="center"/>
            </w:pPr>
            <w:r>
              <w:rPr>
                <w:b/>
                <w:bCs/>
                <w:color w:val="EA580C"/>
                <w:sz w:val="22"/>
                <w:szCs w:val="22"/>
              </w:rPr>
              <w:t xml:space="preserve">P1</w:t>
            </w:r>
          </w:p>
        </w:tc>
        <w:tc>
          <w:tcPr>
            <w:tcW w:type="dxa" w:w="4000"/>
            <w:tcBorders>
              <w:top w:val="single" w:color="94A3B8" w:sz="8"/>
              <w:left w:val="none"/>
              <w:bottom w:val="single" w:color="94A3B8" w:sz="8"/>
              <w:right w:val="none"/>
            </w:tcBorders>
          </w:tcPr>
          <w:p>
            <w:pPr>
              <w:spacing w:line="312"/>
            </w:pPr>
            <w:r>
              <w:rPr>
                <w:sz w:val="22"/>
                <w:szCs w:val="22"/>
              </w:rPr>
              <w:t xml:space="preserve">Outreach to Armilla for partnership discussion</w:t>
            </w:r>
          </w:p>
        </w:tc>
        <w:tc>
          <w:tcPr>
            <w:tcW w:type="dxa" w:w="2000"/>
            <w:tcBorders>
              <w:top w:val="single" w:color="94A3B8" w:sz="8"/>
              <w:left w:val="none"/>
              <w:bottom w:val="single" w:color="94A3B8" w:sz="8"/>
              <w:right w:val="none"/>
            </w:tcBorders>
          </w:tcPr>
          <w:p>
            <w:pPr>
              <w:jc w:val="center"/>
            </w:pPr>
            <w:r>
              <w:rPr>
                <w:sz w:val="22"/>
                <w:szCs w:val="22"/>
              </w:rPr>
              <w:t xml:space="preserve">Revenue Path</w:t>
            </w:r>
          </w:p>
        </w:tc>
        <w:tc>
          <w:tcPr>
            <w:tcW w:type="dxa" w:w="1860"/>
            <w:tcBorders>
              <w:top w:val="single" w:color="94A3B8" w:sz="8"/>
              <w:left w:val="none"/>
              <w:bottom w:val="single" w:color="94A3B8" w:sz="8"/>
              <w:right w:val="none"/>
            </w:tcBorders>
          </w:tcPr>
          <w:p>
            <w:pPr>
              <w:jc w:val="center"/>
            </w:pPr>
            <w:r>
              <w:rPr>
                <w:sz w:val="22"/>
                <w:szCs w:val="22"/>
              </w:rPr>
              <w:t xml:space="preserve">Ongoing</w:t>
            </w:r>
          </w:p>
        </w:tc>
      </w:tr>
      <w:tr>
        <w:tc>
          <w:tcPr>
            <w:tcW w:type="dxa" w:w="1500"/>
            <w:tcBorders>
              <w:top w:val="single" w:color="94A3B8" w:sz="8"/>
              <w:left w:val="none"/>
              <w:bottom w:val="single" w:color="94A3B8" w:sz="8"/>
              <w:right w:val="none"/>
            </w:tcBorders>
          </w:tcPr>
          <w:p>
            <w:pPr>
              <w:jc w:val="center"/>
            </w:pPr>
            <w:r>
              <w:rPr>
                <w:b/>
                <w:bCs/>
                <w:color w:val="CA8A04"/>
                <w:sz w:val="22"/>
                <w:szCs w:val="22"/>
              </w:rPr>
              <w:t xml:space="preserve">P2</w:t>
            </w:r>
          </w:p>
        </w:tc>
        <w:tc>
          <w:tcPr>
            <w:tcW w:type="dxa" w:w="4000"/>
            <w:tcBorders>
              <w:top w:val="single" w:color="94A3B8" w:sz="8"/>
              <w:left w:val="none"/>
              <w:bottom w:val="single" w:color="94A3B8" w:sz="8"/>
              <w:right w:val="none"/>
            </w:tcBorders>
          </w:tcPr>
          <w:p>
            <w:pPr>
              <w:spacing w:line="312"/>
            </w:pPr>
            <w:r>
              <w:rPr>
                <w:sz w:val="22"/>
                <w:szCs w:val="22"/>
              </w:rPr>
              <w:t xml:space="preserve">ERC-8004 reputation signal integration</w:t>
            </w:r>
          </w:p>
        </w:tc>
        <w:tc>
          <w:tcPr>
            <w:tcW w:type="dxa" w:w="2000"/>
            <w:tcBorders>
              <w:top w:val="single" w:color="94A3B8" w:sz="8"/>
              <w:left w:val="none"/>
              <w:bottom w:val="single" w:color="94A3B8" w:sz="8"/>
              <w:right w:val="none"/>
            </w:tcBorders>
          </w:tcPr>
          <w:p>
            <w:pPr>
              <w:jc w:val="center"/>
            </w:pPr>
            <w:r>
              <w:rPr>
                <w:sz w:val="22"/>
                <w:szCs w:val="22"/>
              </w:rPr>
              <w:t xml:space="preserve">Ecosystem</w:t>
            </w:r>
          </w:p>
        </w:tc>
        <w:tc>
          <w:tcPr>
            <w:tcW w:type="dxa" w:w="1860"/>
            <w:tcBorders>
              <w:top w:val="single" w:color="94A3B8" w:sz="8"/>
              <w:left w:val="none"/>
              <w:bottom w:val="single" w:color="94A3B8" w:sz="8"/>
              <w:right w:val="none"/>
            </w:tcBorders>
          </w:tcPr>
          <w:p>
            <w:pPr>
              <w:jc w:val="center"/>
            </w:pPr>
            <w:r>
              <w:rPr>
                <w:sz w:val="22"/>
                <w:szCs w:val="22"/>
              </w:rPr>
              <w:t xml:space="preserve">2 weeks</w:t>
            </w:r>
          </w:p>
        </w:tc>
      </w:tr>
    </w:tbl>
    <w:p>
      <w:pPr>
        <w:spacing w:before="200"/>
        <w:jc w:val="center"/>
      </w:pPr>
      <w:r>
        <w:rPr>
          <w:i/>
          <w:iCs/>
          <w:color w:val="64748B"/>
          <w:sz w:val="18"/>
          <w:szCs w:val="18"/>
        </w:rPr>
        <w:t xml:space="preserve">Table 3: Action Priority Matrix</w:t>
      </w:r>
    </w:p>
    <w:p>
      <w:pPr>
        <w:pStyle w:val="Heading1"/>
      </w:pPr>
      <w:r>
        <w:t xml:space="preserve">7. Conclusion</w:t>
      </w:r>
    </w:p>
    <w:p>
      <w:pPr>
        <w:spacing w:after="200" w:line="312"/>
      </w:pPr>
      <w:r>
        <w:rPr>
          <w:sz w:val="22"/>
          <w:szCs w:val="22"/>
        </w:rPr>
        <w:t xml:space="preserve">AlliGo's competitive position is stronger than it appears. While Armilla has insurance distribution and ERC-8004 has identity infrastructure, neither has the behavioral data layer that makes risk assessment possible. The question isn't whether AlliGo can compete - it's whether we can execute fast enough to establish the data moat before competitors recognize the gap.</w:t>
      </w:r>
    </w:p>
    <w:p>
      <w:pPr>
        <w:spacing w:after="200" w:line="312"/>
      </w:pPr>
      <w:r>
        <w:rPr>
          <w:sz w:val="22"/>
          <w:szCs w:val="22"/>
        </w:rPr>
        <w:t xml:space="preserve">The key insight is that we're not competing with Armilla or Daydreams - we're building the layer they both need. Armilla needs our data for better underwriting; ERC-8004 needs our scores for meaningful reputation signals. Our strategy should be partnership-first, positioning AlliGo as essential infrastructure for the entire AI agent trust ecosystem.</w:t>
      </w:r>
    </w:p>
    <w:p>
      <w:pPr>
        <w:spacing w:after="200" w:line="312"/>
      </w:pPr>
      <w:r>
        <w:rPr>
          <w:sz w:val="22"/>
          <w:szCs w:val="22"/>
        </w:rPr>
        <w:t xml:space="preserve">Immediate focus: Fix revenue blockers, scale data ingestion, and begin partnership conversations. The window to establish the data moat is open now.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AlliGo Competitive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2026-03-15T15:35:41.546Z</dcterms:created>
  <dcterms:modified xsi:type="dcterms:W3CDTF">2026-03-15T15:35:41.546Z</dcterms:modified>
</cp:coreProperties>
</file>

<file path=docProps/custom.xml><?xml version="1.0" encoding="utf-8"?>
<Properties xmlns="http://schemas.openxmlformats.org/officeDocument/2006/custom-properties" xmlns:vt="http://schemas.openxmlformats.org/officeDocument/2006/docPropsVTypes"/>
</file>