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Chapter: Technology and Education Inequality</w:t>
      </w:r>
    </w:p>
    <w:p w:rsidR="00000000" w:rsidDel="00000000" w:rsidP="00000000" w:rsidRDefault="00000000" w:rsidRPr="00000000" w14:paraId="00000002">
      <w:pPr>
        <w:rPr/>
      </w:pPr>
      <w:r w:rsidDel="00000000" w:rsidR="00000000" w:rsidRPr="00000000">
        <w:rPr>
          <w:rtl w:val="0"/>
        </w:rPr>
        <w:t xml:space="preserve">    - Impact on learning opportunities</w:t>
      </w:r>
    </w:p>
    <w:p w:rsidR="00000000" w:rsidDel="00000000" w:rsidP="00000000" w:rsidRDefault="00000000" w:rsidRPr="00000000" w14:paraId="00000003">
      <w:pPr>
        <w:rPr/>
      </w:pPr>
      <w:r w:rsidDel="00000000" w:rsidR="00000000" w:rsidRPr="00000000">
        <w:rPr>
          <w:rtl w:val="0"/>
        </w:rPr>
        <w:t xml:space="preserve">    - Challenges of the digital divide</w:t>
      </w:r>
    </w:p>
    <w:p w:rsidR="00000000" w:rsidDel="00000000" w:rsidP="00000000" w:rsidRDefault="00000000" w:rsidRPr="00000000" w14:paraId="00000004">
      <w:pPr>
        <w:rPr/>
      </w:pPr>
      <w:r w:rsidDel="00000000" w:rsidR="00000000" w:rsidRPr="00000000">
        <w:rPr>
          <w:rtl w:val="0"/>
        </w:rPr>
        <w:t xml:space="preserve">    - Strategies for bridging the gap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oqyntj75fmej" w:id="0"/>
      <w:bookmarkEnd w:id="0"/>
      <w:r w:rsidDel="00000000" w:rsidR="00000000" w:rsidRPr="00000000">
        <w:rPr>
          <w:rtl w:val="0"/>
        </w:rPr>
        <w:t xml:space="preserve">Chapter 11: </w:t>
      </w:r>
    </w:p>
    <w:p w:rsidR="00000000" w:rsidDel="00000000" w:rsidP="00000000" w:rsidRDefault="00000000" w:rsidRPr="00000000" w14:paraId="00000007">
      <w:pPr>
        <w:pStyle w:val="Heading2"/>
        <w:rPr/>
      </w:pPr>
      <w:bookmarkStart w:colFirst="0" w:colLast="0" w:name="_n4q73qqlhac0" w:id="1"/>
      <w:bookmarkEnd w:id="1"/>
      <w:r w:rsidDel="00000000" w:rsidR="00000000" w:rsidRPr="00000000">
        <w:rPr>
          <w:rtl w:val="0"/>
        </w:rPr>
        <w:t xml:space="preserve">Technology and Education Inequality: Bridging the Digital Divide</w:t>
      </w:r>
      <w:r w:rsidDel="00000000" w:rsidR="00000000" w:rsidRPr="00000000">
        <w:drawing>
          <wp:anchor allowOverlap="1" behindDoc="0" distB="228600" distT="228600" distL="228600" distR="228600" hidden="0" layoutInCell="1" locked="0" relativeHeight="0" simplePos="0">
            <wp:simplePos x="0" y="0"/>
            <wp:positionH relativeFrom="column">
              <wp:posOffset>2724150</wp:posOffset>
            </wp:positionH>
            <wp:positionV relativeFrom="paragraph">
              <wp:posOffset>810080</wp:posOffset>
            </wp:positionV>
            <wp:extent cx="3200400" cy="3200400"/>
            <wp:effectExtent b="0" l="0" r="0" t="0"/>
            <wp:wrapSquare wrapText="bothSides" distB="228600" distT="228600" distL="228600" distR="2286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00400" cy="320040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"Education is the most powerful weapon which you can use to change the world."</w:t>
      </w:r>
      <w:r w:rsidDel="00000000" w:rsidR="00000000" w:rsidRPr="00000000">
        <w:rPr>
          <w:rtl w:val="0"/>
        </w:rPr>
        <w:t xml:space="preserve"> </w:t>
      </w:r>
    </w:p>
    <w:p w:rsidR="00000000" w:rsidDel="00000000" w:rsidP="00000000" w:rsidRDefault="00000000" w:rsidRPr="00000000" w14:paraId="0000000A">
      <w:pPr>
        <w:ind w:left="1440" w:hanging="360"/>
        <w:rPr/>
      </w:pPr>
      <w:r w:rsidDel="00000000" w:rsidR="00000000" w:rsidRPr="00000000">
        <w:rPr>
          <w:rtl w:val="0"/>
        </w:rPr>
        <w:t xml:space="preserve">– Nelson Mandela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Technology has the potential to revolutionize education by making learning more accessible, personalized, and engaging. However, the digital divide—disparities in access to technology and digital resources—poses significant challenges in achieving educational equity. This chapter explores the impact of technology on education inequality, the challenges it presents, and strategies for bridging the digital divide to ensure that all students have equal opportunities to succeed.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ftgpiejok40p" w:id="2"/>
      <w:bookmarkEnd w:id="2"/>
      <w:r w:rsidDel="00000000" w:rsidR="00000000" w:rsidRPr="00000000">
        <w:rPr>
          <w:rtl w:val="0"/>
        </w:rPr>
        <w:t xml:space="preserve">Understanding the Digital Divide</w:t>
      </w:r>
    </w:p>
    <w:p w:rsidR="00000000" w:rsidDel="00000000" w:rsidP="00000000" w:rsidRDefault="00000000" w:rsidRPr="00000000" w14:paraId="0000000F">
      <w:pPr>
        <w:pStyle w:val="Heading4"/>
        <w:rPr/>
      </w:pPr>
      <w:bookmarkStart w:colFirst="0" w:colLast="0" w:name="_adx43r133xwy" w:id="3"/>
      <w:bookmarkEnd w:id="3"/>
      <w:r w:rsidDel="00000000" w:rsidR="00000000" w:rsidRPr="00000000">
        <w:rPr>
          <w:rtl w:val="0"/>
        </w:rPr>
        <w:t xml:space="preserve">Definition and Dimensions</w:t>
      </w:r>
    </w:p>
    <w:p w:rsidR="00000000" w:rsidDel="00000000" w:rsidP="00000000" w:rsidRDefault="00000000" w:rsidRPr="00000000" w14:paraId="00000010">
      <w:pPr>
        <w:rPr/>
      </w:pPr>
      <w:r w:rsidDel="00000000" w:rsidR="00000000" w:rsidRPr="00000000">
        <w:rPr>
          <w:rtl w:val="0"/>
        </w:rPr>
        <w:t xml:space="preserve">The digital divide refers to the gap between individuals and communities that have access to modern information and communication technology (ICT) and those that do not. This divide can be measured in terms of access to hardware (e.g., computers, tablets), connectivity (e.g., high-speed internet), and digital literacy (e.g., skills to effectively use technology). Factors such as socioeconomic status, geographic location, and infrastructure play significant roles in creating and perpetuating this divide.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iywjimjteqzw" w:id="4"/>
      <w:bookmarkEnd w:id="4"/>
      <w:r w:rsidDel="00000000" w:rsidR="00000000" w:rsidRPr="00000000">
        <w:rPr>
          <w:rtl w:val="0"/>
        </w:rPr>
        <w:t xml:space="preserve">Impact on Education</w:t>
      </w:r>
    </w:p>
    <w:p w:rsidR="00000000" w:rsidDel="00000000" w:rsidP="00000000" w:rsidRDefault="00000000" w:rsidRPr="00000000" w14:paraId="00000013">
      <w:pPr>
        <w:pStyle w:val="Heading4"/>
        <w:rPr/>
      </w:pPr>
      <w:bookmarkStart w:colFirst="0" w:colLast="0" w:name="_79421jkhu7k9" w:id="5"/>
      <w:bookmarkEnd w:id="5"/>
      <w:r w:rsidDel="00000000" w:rsidR="00000000" w:rsidRPr="00000000">
        <w:rPr>
          <w:rtl w:val="0"/>
        </w:rPr>
        <w:t xml:space="preserve">Access to Resources</w:t>
      </w:r>
    </w:p>
    <w:p w:rsidR="00000000" w:rsidDel="00000000" w:rsidP="00000000" w:rsidRDefault="00000000" w:rsidRPr="00000000" w14:paraId="00000014">
      <w:pPr>
        <w:rPr/>
      </w:pPr>
      <w:r w:rsidDel="00000000" w:rsidR="00000000" w:rsidRPr="00000000">
        <w:rPr>
          <w:rtl w:val="0"/>
        </w:rPr>
        <w:t xml:space="preserve">Students with limited access to technology and the internet are at a disadvantage in terms of accessing educational resources. Online learning platforms, digital textbooks, and educational software are often out of reach for these students, hindering their ability to keep up with their peers and participate fully in modern educational experiences.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pPr>
      <w:bookmarkStart w:colFirst="0" w:colLast="0" w:name="_mmwtybgew5fg" w:id="6"/>
      <w:bookmarkEnd w:id="6"/>
      <w:r w:rsidDel="00000000" w:rsidR="00000000" w:rsidRPr="00000000">
        <w:rPr>
          <w:rtl w:val="0"/>
        </w:rPr>
        <w:t xml:space="preserve">Learning Outcomes</w:t>
      </w:r>
    </w:p>
    <w:p w:rsidR="00000000" w:rsidDel="00000000" w:rsidP="00000000" w:rsidRDefault="00000000" w:rsidRPr="00000000" w14:paraId="00000017">
      <w:pPr>
        <w:rPr/>
      </w:pPr>
      <w:r w:rsidDel="00000000" w:rsidR="00000000" w:rsidRPr="00000000">
        <w:rPr>
          <w:rtl w:val="0"/>
        </w:rPr>
        <w:t xml:space="preserve">The digital divide can exacerbate existing educational inequalities, leading to significant disparities in learning outcomes. Students without access to technology may struggle to complete assignments, engage in interactive learning activities, and develop essential digital skills. This can result in lower academic performance, reduced motivation, and a lack of preparedness for higher education and the workforce.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pPr>
      <w:bookmarkStart w:colFirst="0" w:colLast="0" w:name="_ltavmyg19z6p" w:id="7"/>
      <w:bookmarkEnd w:id="7"/>
      <w:r w:rsidDel="00000000" w:rsidR="00000000" w:rsidRPr="00000000">
        <w:rPr>
          <w:rtl w:val="0"/>
        </w:rPr>
        <w:t xml:space="preserve">Teacher Support and Professional Development</w:t>
      </w:r>
    </w:p>
    <w:p w:rsidR="00000000" w:rsidDel="00000000" w:rsidP="00000000" w:rsidRDefault="00000000" w:rsidRPr="00000000" w14:paraId="0000001A">
      <w:pPr>
        <w:rPr/>
      </w:pPr>
      <w:r w:rsidDel="00000000" w:rsidR="00000000" w:rsidRPr="00000000">
        <w:rPr>
          <w:rtl w:val="0"/>
        </w:rPr>
        <w:t xml:space="preserve">Educators in underserved areas may also face challenges in integrating technology into their teaching due to a lack of resources and professional development opportunities. This can affect their ability to deliver effective and innovative instruction, further widening the gap between advantaged and disadvantaged students.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kse4uqcqt21" w:id="8"/>
      <w:bookmarkEnd w:id="8"/>
      <w:r w:rsidDel="00000000" w:rsidR="00000000" w:rsidRPr="00000000">
        <w:rPr>
          <w:rtl w:val="0"/>
        </w:rPr>
        <w:t xml:space="preserve">Strategies for Bridging the Digital Divide</w:t>
      </w:r>
    </w:p>
    <w:p w:rsidR="00000000" w:rsidDel="00000000" w:rsidP="00000000" w:rsidRDefault="00000000" w:rsidRPr="00000000" w14:paraId="0000001D">
      <w:pPr>
        <w:pStyle w:val="Heading4"/>
        <w:rPr/>
      </w:pPr>
      <w:bookmarkStart w:colFirst="0" w:colLast="0" w:name="_1olsa7sy1s0r" w:id="9"/>
      <w:bookmarkEnd w:id="9"/>
      <w:r w:rsidDel="00000000" w:rsidR="00000000" w:rsidRPr="00000000">
        <w:rPr>
          <w:rtl w:val="0"/>
        </w:rPr>
        <w:t xml:space="preserve">Infrastructure Investment</w:t>
      </w:r>
    </w:p>
    <w:p w:rsidR="00000000" w:rsidDel="00000000" w:rsidP="00000000" w:rsidRDefault="00000000" w:rsidRPr="00000000" w14:paraId="0000001E">
      <w:pPr>
        <w:rPr/>
      </w:pPr>
      <w:r w:rsidDel="00000000" w:rsidR="00000000" w:rsidRPr="00000000">
        <w:rPr>
          <w:rtl w:val="0"/>
        </w:rPr>
        <w:t xml:space="preserve">Investing in the infrastructure necessary to provide high-speed internet access to all communities is a critical step in bridging the digital divide. Governments, private companies, and non-profit organizations can collaborate to expand broadband access to rural and underserved areas. Public-private partnerships can leverage resources and expertise to ensure that every student has access to reliable internet connectivity.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rPr/>
      </w:pPr>
      <w:bookmarkStart w:colFirst="0" w:colLast="0" w:name="_1d0l2g5qoh8a" w:id="10"/>
      <w:bookmarkEnd w:id="10"/>
      <w:r w:rsidDel="00000000" w:rsidR="00000000" w:rsidRPr="00000000">
        <w:rPr>
          <w:rtl w:val="0"/>
        </w:rPr>
        <w:t xml:space="preserve">Affordable Technology</w:t>
      </w:r>
    </w:p>
    <w:p w:rsidR="00000000" w:rsidDel="00000000" w:rsidP="00000000" w:rsidRDefault="00000000" w:rsidRPr="00000000" w14:paraId="00000021">
      <w:pPr>
        <w:rPr/>
      </w:pPr>
      <w:r w:rsidDel="00000000" w:rsidR="00000000" w:rsidRPr="00000000">
        <w:rPr>
          <w:rtl w:val="0"/>
        </w:rPr>
        <w:t xml:space="preserve">Making technology affordable and accessible is essential for reducing educational inequality. Initiatives such as providing subsidized or free devices to low-income students, implementing device-sharing programs, and establishing community technology centers can help ensure that all students have the tools they need to succeed. Bulk purchasing and donation programs can also help schools and communities acquire necessary technology at lower costs.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rPr/>
      </w:pPr>
      <w:bookmarkStart w:colFirst="0" w:colLast="0" w:name="_o7nyylbl1cab" w:id="11"/>
      <w:bookmarkEnd w:id="11"/>
      <w:r w:rsidDel="00000000" w:rsidR="00000000" w:rsidRPr="00000000">
        <w:rPr>
          <w:rtl w:val="0"/>
        </w:rPr>
        <w:t xml:space="preserve">Digital Literacy Programs</w:t>
      </w:r>
    </w:p>
    <w:p w:rsidR="00000000" w:rsidDel="00000000" w:rsidP="00000000" w:rsidRDefault="00000000" w:rsidRPr="00000000" w14:paraId="00000024">
      <w:pPr>
        <w:rPr/>
      </w:pPr>
      <w:r w:rsidDel="00000000" w:rsidR="00000000" w:rsidRPr="00000000">
        <w:rPr>
          <w:rtl w:val="0"/>
        </w:rPr>
        <w:t xml:space="preserve">Digital literacy is crucial for effectively utilizing technology in education. Schools and community organizations should offer programs to teach students, parents, and teachers how to use technology safely and effectively. These programs can include training on basic computer skills, internet safety, and the use of educational software and online resources. Providing ongoing support and resources can help individuals build and maintain their digital skills.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isder7p513hd" w:id="12"/>
      <w:bookmarkEnd w:id="12"/>
      <w:r w:rsidDel="00000000" w:rsidR="00000000" w:rsidRPr="00000000">
        <w:rPr>
          <w:rtl w:val="0"/>
        </w:rPr>
        <w:t xml:space="preserve">Teacher Training and Support</w:t>
      </w:r>
    </w:p>
    <w:p w:rsidR="00000000" w:rsidDel="00000000" w:rsidP="00000000" w:rsidRDefault="00000000" w:rsidRPr="00000000" w14:paraId="00000027">
      <w:pPr>
        <w:rPr/>
      </w:pPr>
      <w:r w:rsidDel="00000000" w:rsidR="00000000" w:rsidRPr="00000000">
        <w:rPr>
          <w:rtl w:val="0"/>
        </w:rPr>
        <w:t xml:space="preserve">Professional development for educators is vital for integrating technology into the classroom effectively. Schools should provide training and resources to help teachers develop digital teaching skills and incorporate technology into their lesson plans. Peer mentoring, workshops, and online courses can offer valuable support for teachers as they adapt to new technologies. Creating a collaborative environment where teachers can share best practices and resources can further enhance their ability to use technology effectively.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rPr/>
      </w:pPr>
      <w:bookmarkStart w:colFirst="0" w:colLast="0" w:name="_8eb3k9q34os6" w:id="13"/>
      <w:bookmarkEnd w:id="13"/>
      <w:r w:rsidDel="00000000" w:rsidR="00000000" w:rsidRPr="00000000">
        <w:rPr>
          <w:rtl w:val="0"/>
        </w:rPr>
        <w:t xml:space="preserve">Inclusive Educational Policies</w:t>
      </w:r>
    </w:p>
    <w:p w:rsidR="00000000" w:rsidDel="00000000" w:rsidP="00000000" w:rsidRDefault="00000000" w:rsidRPr="00000000" w14:paraId="0000002A">
      <w:pPr>
        <w:rPr/>
      </w:pPr>
      <w:r w:rsidDel="00000000" w:rsidR="00000000" w:rsidRPr="00000000">
        <w:rPr>
          <w:rtl w:val="0"/>
        </w:rPr>
        <w:t xml:space="preserve">Educational policies should prioritize equity and inclusion in the use of technology. Governments and educational institutions can implement policies that ensure all students have equal access to digital resources and support. This includes funding for technology initiatives, grants for schools in underserved areas, and policies that promote the integration of technology in a way that benefits all students. Regular assessment and evaluation of these policies can help identify gaps and areas for improvement.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pPr>
      <w:bookmarkStart w:colFirst="0" w:colLast="0" w:name="_k487aj8b0fhb" w:id="14"/>
      <w:bookmarkEnd w:id="14"/>
      <w:r w:rsidDel="00000000" w:rsidR="00000000" w:rsidRPr="00000000">
        <w:rPr>
          <w:rtl w:val="0"/>
        </w:rPr>
        <w:t xml:space="preserve">Community and Family Engagement</w:t>
      </w:r>
    </w:p>
    <w:p w:rsidR="00000000" w:rsidDel="00000000" w:rsidP="00000000" w:rsidRDefault="00000000" w:rsidRPr="00000000" w14:paraId="0000002D">
      <w:pPr>
        <w:rPr/>
      </w:pPr>
      <w:r w:rsidDel="00000000" w:rsidR="00000000" w:rsidRPr="00000000">
        <w:rPr>
          <w:rtl w:val="0"/>
        </w:rPr>
        <w:t xml:space="preserve">Engaging communities and families in efforts to bridge the digital divide can enhance the effectiveness of these initiatives. Schools and community organizations can work together to provide technology access and support for families, creating a collaborative approach to education. Programs that involve parents in their children's digital learning can help reinforce the importance of technology and provide additional support for students at home.</w:t>
      </w:r>
    </w:p>
    <w:p w:rsidR="00000000" w:rsidDel="00000000" w:rsidP="00000000" w:rsidRDefault="00000000" w:rsidRPr="00000000" w14:paraId="0000002E">
      <w:pPr>
        <w:pStyle w:val="Heading3"/>
        <w:rPr/>
      </w:pPr>
      <w:bookmarkStart w:colFirst="0" w:colLast="0" w:name="_bwc85h1ndq2p" w:id="15"/>
      <w:bookmarkEnd w:id="15"/>
      <w:r w:rsidDel="00000000" w:rsidR="00000000" w:rsidRPr="00000000">
        <w:rPr>
          <w:rtl w:val="0"/>
        </w:rPr>
        <w:t xml:space="preserve">Conclusion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digital divide poses significant challenges to achieving educational equity, but with concerted efforts and strategic initiatives, it is possible to bridge this gap. Investing in infrastructure, making technology affordable, promoting digital literacy, supporting educators, implementing inclusive policies, and engaging communities are key strategies for ensuring that all students have equal opportunities to succeed in the digital age. By addressing the digital divide, we can create a more inclusive and equitable education system that leverages the power of technology to enhance learning and prepare students for the future. As we move forward, it is essential to continue advocating for and implementing solutions that promote digital inclusion and educational equity for all.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