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Title"/>
        <w:jc w:val="left"/>
      </w:pPr>
      <w:r>
        <w:t>Digital Government Services</w:t>
        <w:br/>
        <w:t>for a Greek Municipality</w:t>
      </w:r>
    </w:p>
    <w:p>
      <w:pPr>
        <w:pStyle w:val="Subtitle"/>
        <w:spacing w:after="560"/>
      </w:pPr>
      <w:r>
        <w:t>Service prioritisation, target architecture, governance, security, privacy and implementation roadmap</w:t>
      </w:r>
    </w:p>
    <w:p>
      <w:pPr>
        <w:spacing w:after="600"/>
      </w:pPr>
      <w:r>
        <w:rPr>
          <w:b/>
        </w:rPr>
        <w:t>Portfolio case study</w:t>
        <w:br/>
      </w:r>
      <w:r>
        <w:t>Public English edition</w:t>
        <w:br/>
      </w:r>
      <w:r>
        <w:t>Spiros Grouztidis</w:t>
        <w:br/>
      </w:r>
      <w:r>
        <w:t>October 2026</w:t>
      </w:r>
    </w:p>
    <w:p>
      <w:pPr>
        <w:spacing w:after="140" w:line="259" w:lineRule="auto"/>
      </w:pPr>
      <w:r>
        <w:t>This report develops a practical design for five citizen-facing digital services in a hypothetical medium-sized Greek municipality. It is an educational portfolio artifact and does not use municipal, citizen, or production data.</w:t>
      </w:r>
    </w:p>
    <w:p>
      <w:pPr>
        <w:spacing w:after="140" w:line="259" w:lineRule="auto"/>
      </w:pPr>
      <w:r>
        <w:t>The public edition removes student identifiers and does not distribute the original university submission.</w:t>
      </w:r>
    </w:p>
    <w:p>
      <w:r>
        <w:br w:type="page"/>
      </w:r>
    </w:p>
    <w:p>
      <w:pPr>
        <w:pStyle w:val="Heading1"/>
        <w:keepNext/>
      </w:pPr>
      <w:r>
        <w:t>Executive summary</w:t>
      </w:r>
    </w:p>
    <w:p>
      <w:pPr>
        <w:spacing w:after="140" w:line="259" w:lineRule="auto"/>
      </w:pPr>
      <w:r>
        <w:t>The recommended programme begins with infrastructure issue reporting and facility booking because both can demonstrate visible resident value without depending on the most sensitive identity, payment, and registry integrations. Digital certificate issuance and municipal debt payments follow after the municipality has tested its architecture, recovery, access control, reconciliation, and operating model. A participation platform forms a later expansion once governance and adoption capacity are established.</w:t>
      </w:r>
    </w:p>
    <w:p>
      <w:pPr>
        <w:spacing w:after="140" w:line="259" w:lineRule="auto"/>
      </w:pPr>
      <w:r>
        <w:t>The 2025 Digital Decade report describes continued Greek progress in digital public services while identifying gaps in online service coverage and digital skills. It also reports that 78% of Greek respondents believe digitalisation of public and private services makes their lives easier. This creates a strong case for local digital services, but it also makes inclusion, assisted access, and service quality central design requirements (European Commission, 2025).</w:t>
      </w:r>
    </w:p>
    <w:p>
      <w:pPr>
        <w:pStyle w:val="Heading2"/>
        <w:keepNext/>
      </w:pPr>
      <w:r>
        <w:t>Recommended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6324F"/>
            <w:tcMar>
              <w:top w:w="100" w:type="dxa"/>
              <w:start w:w="110" w:type="dxa"/>
              <w:bottom w:w="100" w:type="dxa"/>
              <w:end w:w="110" w:type="dxa"/>
            </w:tcMar>
            <w:vAlign w:val="center"/>
          </w:tcPr>
          <w:p>
            <w:pPr>
              <w:jc w:val="center"/>
            </w:pPr>
            <w:r>
              <w:rPr>
                <w:rFonts w:ascii="Aptos" w:hAnsi="Aptos"/>
                <w:b/>
                <w:color w:val="FFFFFF"/>
                <w:sz w:val="18"/>
              </w:rPr>
              <w:t>Wave</w:t>
            </w:r>
          </w:p>
        </w:tc>
        <w:tc>
          <w:tcPr>
            <w:tcW w:type="dxa" w:w="2880"/>
            <w:shd w:fill="16324F"/>
            <w:tcMar>
              <w:top w:w="100" w:type="dxa"/>
              <w:start w:w="110" w:type="dxa"/>
              <w:bottom w:w="100" w:type="dxa"/>
              <w:end w:w="110" w:type="dxa"/>
            </w:tcMar>
            <w:vAlign w:val="center"/>
          </w:tcPr>
          <w:p>
            <w:pPr>
              <w:jc w:val="center"/>
            </w:pPr>
            <w:r>
              <w:rPr>
                <w:rFonts w:ascii="Aptos" w:hAnsi="Aptos"/>
                <w:b/>
                <w:color w:val="FFFFFF"/>
                <w:sz w:val="18"/>
              </w:rPr>
              <w:t>Services</w:t>
            </w:r>
          </w:p>
        </w:tc>
        <w:tc>
          <w:tcPr>
            <w:tcW w:type="dxa" w:w="5760"/>
            <w:shd w:fill="16324F"/>
            <w:tcMar>
              <w:top w:w="100" w:type="dxa"/>
              <w:start w:w="110" w:type="dxa"/>
              <w:bottom w:w="100" w:type="dxa"/>
              <w:end w:w="110" w:type="dxa"/>
            </w:tcMar>
            <w:vAlign w:val="center"/>
          </w:tcPr>
          <w:p>
            <w:pPr>
              <w:jc w:val="center"/>
            </w:pPr>
            <w:r>
              <w:rPr>
                <w:rFonts w:ascii="Aptos" w:hAnsi="Aptos"/>
                <w:b/>
                <w:color w:val="FFFFFF"/>
                <w:sz w:val="18"/>
              </w:rPr>
              <w:t>Decision rationale</w:t>
            </w:r>
          </w:p>
        </w:tc>
      </w:tr>
      <w:tr>
        <w:tc>
          <w:tcPr>
            <w:tcW w:type="dxa" w:w="1152"/>
            <w:tcMar>
              <w:top w:w="100" w:type="dxa"/>
              <w:start w:w="110" w:type="dxa"/>
              <w:bottom w:w="100" w:type="dxa"/>
              <w:end w:w="110" w:type="dxa"/>
            </w:tcMar>
            <w:vAlign w:val="center"/>
          </w:tcPr>
          <w:p>
            <w:r>
              <w:rPr>
                <w:rFonts w:ascii="Aptos" w:hAnsi="Aptos"/>
                <w:color w:val="192026"/>
                <w:sz w:val="18"/>
              </w:rPr>
              <w:t>Pilot</w:t>
            </w:r>
          </w:p>
        </w:tc>
        <w:tc>
          <w:tcPr>
            <w:tcW w:type="dxa" w:w="2880"/>
            <w:tcMar>
              <w:top w:w="100" w:type="dxa"/>
              <w:start w:w="110" w:type="dxa"/>
              <w:bottom w:w="100" w:type="dxa"/>
              <w:end w:w="110" w:type="dxa"/>
            </w:tcMar>
            <w:vAlign w:val="center"/>
          </w:tcPr>
          <w:p>
            <w:r>
              <w:rPr>
                <w:rFonts w:ascii="Aptos" w:hAnsi="Aptos"/>
                <w:color w:val="192026"/>
                <w:sz w:val="18"/>
              </w:rPr>
              <w:t>Issue reporting; facility booking</w:t>
            </w:r>
          </w:p>
        </w:tc>
        <w:tc>
          <w:tcPr>
            <w:tcW w:type="dxa" w:w="5760"/>
            <w:tcMar>
              <w:top w:w="100" w:type="dxa"/>
              <w:start w:w="110" w:type="dxa"/>
              <w:bottom w:w="100" w:type="dxa"/>
              <w:end w:w="110" w:type="dxa"/>
            </w:tcMar>
            <w:vAlign w:val="center"/>
          </w:tcPr>
          <w:p>
            <w:r>
              <w:rPr>
                <w:rFonts w:ascii="Aptos" w:hAnsi="Aptos"/>
                <w:color w:val="192026"/>
                <w:sz w:val="18"/>
              </w:rPr>
              <w:t>High visible value with manageable integration and compliance dependencies</w:t>
            </w:r>
          </w:p>
        </w:tc>
      </w:tr>
      <w:tr>
        <w:tc>
          <w:tcPr>
            <w:tcW w:type="dxa" w:w="1152"/>
            <w:shd w:fill="EEF4F7"/>
            <w:tcMar>
              <w:top w:w="100" w:type="dxa"/>
              <w:start w:w="110" w:type="dxa"/>
              <w:bottom w:w="100" w:type="dxa"/>
              <w:end w:w="110" w:type="dxa"/>
            </w:tcMar>
            <w:vAlign w:val="center"/>
          </w:tcPr>
          <w:p>
            <w:r>
              <w:rPr>
                <w:rFonts w:ascii="Aptos" w:hAnsi="Aptos"/>
                <w:color w:val="192026"/>
                <w:sz w:val="18"/>
              </w:rPr>
              <w:t>Integrate</w:t>
            </w:r>
          </w:p>
        </w:tc>
        <w:tc>
          <w:tcPr>
            <w:tcW w:type="dxa" w:w="2880"/>
            <w:shd w:fill="EEF4F7"/>
            <w:tcMar>
              <w:top w:w="100" w:type="dxa"/>
              <w:start w:w="110" w:type="dxa"/>
              <w:bottom w:w="100" w:type="dxa"/>
              <w:end w:w="110" w:type="dxa"/>
            </w:tcMar>
            <w:vAlign w:val="center"/>
          </w:tcPr>
          <w:p>
            <w:r>
              <w:rPr>
                <w:rFonts w:ascii="Aptos" w:hAnsi="Aptos"/>
                <w:color w:val="192026"/>
                <w:sz w:val="18"/>
              </w:rPr>
              <w:t>Certificates; municipal payments</w:t>
            </w:r>
          </w:p>
        </w:tc>
        <w:tc>
          <w:tcPr>
            <w:tcW w:type="dxa" w:w="5760"/>
            <w:shd w:fill="EEF4F7"/>
            <w:tcMar>
              <w:top w:w="100" w:type="dxa"/>
              <w:start w:w="110" w:type="dxa"/>
              <w:bottom w:w="100" w:type="dxa"/>
              <w:end w:w="110" w:type="dxa"/>
            </w:tcMar>
            <w:vAlign w:val="center"/>
          </w:tcPr>
          <w:p>
            <w:r>
              <w:rPr>
                <w:rFonts w:ascii="Aptos" w:hAnsi="Aptos"/>
                <w:color w:val="192026"/>
                <w:sz w:val="18"/>
              </w:rPr>
              <w:t>High value, but dependent on trusted identity, records, payment and reconciliation controls</w:t>
            </w:r>
          </w:p>
        </w:tc>
      </w:tr>
      <w:tr>
        <w:tc>
          <w:tcPr>
            <w:tcW w:type="dxa" w:w="1152"/>
            <w:tcMar>
              <w:top w:w="100" w:type="dxa"/>
              <w:start w:w="110" w:type="dxa"/>
              <w:bottom w:w="100" w:type="dxa"/>
              <w:end w:w="110" w:type="dxa"/>
            </w:tcMar>
            <w:vAlign w:val="center"/>
          </w:tcPr>
          <w:p>
            <w:r>
              <w:rPr>
                <w:rFonts w:ascii="Aptos" w:hAnsi="Aptos"/>
                <w:color w:val="192026"/>
                <w:sz w:val="18"/>
              </w:rPr>
              <w:t>Expand</w:t>
            </w:r>
          </w:p>
        </w:tc>
        <w:tc>
          <w:tcPr>
            <w:tcW w:type="dxa" w:w="2880"/>
            <w:tcMar>
              <w:top w:w="100" w:type="dxa"/>
              <w:start w:w="110" w:type="dxa"/>
              <w:bottom w:w="100" w:type="dxa"/>
              <w:end w:w="110" w:type="dxa"/>
            </w:tcMar>
            <w:vAlign w:val="center"/>
          </w:tcPr>
          <w:p>
            <w:r>
              <w:rPr>
                <w:rFonts w:ascii="Aptos" w:hAnsi="Aptos"/>
                <w:color w:val="192026"/>
                <w:sz w:val="18"/>
              </w:rPr>
              <w:t>Digital participation</w:t>
            </w:r>
          </w:p>
        </w:tc>
        <w:tc>
          <w:tcPr>
            <w:tcW w:type="dxa" w:w="5760"/>
            <w:tcMar>
              <w:top w:w="100" w:type="dxa"/>
              <w:start w:w="110" w:type="dxa"/>
              <w:bottom w:w="100" w:type="dxa"/>
              <w:end w:w="110" w:type="dxa"/>
            </w:tcMar>
            <w:vAlign w:val="center"/>
          </w:tcPr>
          <w:p>
            <w:r>
              <w:rPr>
                <w:rFonts w:ascii="Aptos" w:hAnsi="Aptos"/>
                <w:color w:val="192026"/>
                <w:sz w:val="18"/>
              </w:rPr>
              <w:t>Outcome depends on governance, moderation, adoption and policy follow-through</w:t>
            </w:r>
          </w:p>
        </w:tc>
      </w:tr>
    </w:tbl>
    <w:p>
      <w:pPr>
        <w:spacing w:after="0"/>
      </w:pPr>
    </w:p>
    <w:p>
      <w:pPr>
        <w:pStyle w:val="Heading2"/>
        <w:keepNext/>
      </w:pPr>
      <w:r>
        <w:t>Decision conditions</w:t>
      </w:r>
    </w:p>
    <w:p>
      <w:pPr>
        <w:pStyle w:val="ListBullet"/>
        <w:spacing w:after="80" w:line="245" w:lineRule="auto"/>
      </w:pPr>
      <w:r>
        <w:t>Redesign each process before moving it online.</w:t>
      </w:r>
    </w:p>
    <w:p>
      <w:pPr>
        <w:pStyle w:val="ListBullet"/>
        <w:spacing w:after="80" w:line="245" w:lineRule="auto"/>
      </w:pPr>
      <w:r>
        <w:t>Treat accessibility and assisted service as acceptance criteria.</w:t>
      </w:r>
    </w:p>
    <w:p>
      <w:pPr>
        <w:pStyle w:val="ListBullet"/>
        <w:spacing w:after="80" w:line="245" w:lineRule="auto"/>
      </w:pPr>
      <w:r>
        <w:t>Assign a permanent service owner and fund operations after launch.</w:t>
      </w:r>
    </w:p>
    <w:p>
      <w:pPr>
        <w:pStyle w:val="ListBullet"/>
        <w:spacing w:after="80" w:line="245" w:lineRule="auto"/>
      </w:pPr>
      <w:r>
        <w:t>Require evidence for privacy, security, recovery, supplier exit and benefits.</w:t>
      </w:r>
    </w:p>
    <w:p>
      <w:r>
        <w:br w:type="page"/>
      </w:r>
    </w:p>
    <w:p>
      <w:pPr>
        <w:pStyle w:val="Heading1"/>
        <w:keepNext/>
      </w:pPr>
      <w:r>
        <w:t>Context and case definition</w:t>
      </w:r>
    </w:p>
    <w:p>
      <w:pPr>
        <w:spacing w:after="140" w:line="259" w:lineRule="auto"/>
      </w:pPr>
      <w:r>
        <w:t>Greek public administration has expanded national digital services through gov.gr and related infrastructure. Local authorities still face uneven maturity, fragmented legacy systems, constrained technical capacity, procurement dependency, and residents with different levels of digital confidence. The national Digital Transformation Bible places citizen-centred digital municipal services, smart-city capabilities, responsible data use, security and confidentiality within the transformation agenda.</w:t>
      </w:r>
    </w:p>
    <w:p>
      <w:pPr>
        <w:pStyle w:val="Heading2"/>
        <w:keepNext/>
      </w:pPr>
      <w:r>
        <w:t>Case scope</w:t>
      </w:r>
    </w:p>
    <w:p>
      <w:pPr>
        <w:spacing w:after="140" w:line="259" w:lineRule="auto"/>
      </w:pPr>
      <w:r>
        <w:t>The case concerns a hypothetical municipality of medium size. It examines five resident-facing services and the shared capabilities needed to deliver them. It does not select products, estimate a procurement budget, or claim measured outcomes from a live deployment.</w:t>
      </w:r>
    </w:p>
    <w:p>
      <w:pPr>
        <w:pStyle w:val="Heading2"/>
        <w:keepNext/>
      </w:pPr>
      <w:r>
        <w:t>Design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6324F"/>
            <w:tcMar>
              <w:top w:w="100" w:type="dxa"/>
              <w:start w:w="110" w:type="dxa"/>
              <w:bottom w:w="100" w:type="dxa"/>
              <w:end w:w="110" w:type="dxa"/>
            </w:tcMar>
            <w:vAlign w:val="center"/>
          </w:tcPr>
          <w:p>
            <w:pPr>
              <w:jc w:val="center"/>
            </w:pPr>
            <w:r>
              <w:rPr>
                <w:rFonts w:ascii="Aptos" w:hAnsi="Aptos"/>
                <w:b/>
                <w:color w:val="FFFFFF"/>
                <w:sz w:val="18"/>
              </w:rPr>
              <w:t>Principle</w:t>
            </w:r>
          </w:p>
        </w:tc>
        <w:tc>
          <w:tcPr>
            <w:tcW w:type="dxa" w:w="7560"/>
            <w:shd w:fill="16324F"/>
            <w:tcMar>
              <w:top w:w="100" w:type="dxa"/>
              <w:start w:w="110" w:type="dxa"/>
              <w:bottom w:w="100" w:type="dxa"/>
              <w:end w:w="110" w:type="dxa"/>
            </w:tcMar>
            <w:vAlign w:val="center"/>
          </w:tcPr>
          <w:p>
            <w:pPr>
              <w:jc w:val="center"/>
            </w:pPr>
            <w:r>
              <w:rPr>
                <w:rFonts w:ascii="Aptos" w:hAnsi="Aptos"/>
                <w:b/>
                <w:color w:val="FFFFFF"/>
                <w:sz w:val="18"/>
              </w:rPr>
              <w:t>Application in the case study</w:t>
            </w:r>
          </w:p>
        </w:tc>
      </w:tr>
      <w:tr>
        <w:tc>
          <w:tcPr>
            <w:tcW w:type="dxa" w:w="2232"/>
            <w:tcMar>
              <w:top w:w="100" w:type="dxa"/>
              <w:start w:w="110" w:type="dxa"/>
              <w:bottom w:w="100" w:type="dxa"/>
              <w:end w:w="110" w:type="dxa"/>
            </w:tcMar>
            <w:vAlign w:val="center"/>
          </w:tcPr>
          <w:p>
            <w:r>
              <w:rPr>
                <w:rFonts w:ascii="Aptos" w:hAnsi="Aptos"/>
                <w:color w:val="192026"/>
                <w:sz w:val="18"/>
              </w:rPr>
              <w:t>User-centred</w:t>
            </w:r>
          </w:p>
        </w:tc>
        <w:tc>
          <w:tcPr>
            <w:tcW w:type="dxa" w:w="7560"/>
            <w:tcMar>
              <w:top w:w="100" w:type="dxa"/>
              <w:start w:w="110" w:type="dxa"/>
              <w:bottom w:w="100" w:type="dxa"/>
              <w:end w:w="110" w:type="dxa"/>
            </w:tcMar>
            <w:vAlign w:val="center"/>
          </w:tcPr>
          <w:p>
            <w:r>
              <w:rPr>
                <w:rFonts w:ascii="Aptos" w:hAnsi="Aptos"/>
                <w:color w:val="192026"/>
                <w:sz w:val="18"/>
              </w:rPr>
              <w:t>Design around resident tasks, evidence and exceptions rather than existing organisational boundaries</w:t>
            </w:r>
          </w:p>
        </w:tc>
      </w:tr>
      <w:tr>
        <w:tc>
          <w:tcPr>
            <w:tcW w:type="dxa" w:w="2232"/>
            <w:shd w:fill="EEF4F7"/>
            <w:tcMar>
              <w:top w:w="100" w:type="dxa"/>
              <w:start w:w="110" w:type="dxa"/>
              <w:bottom w:w="100" w:type="dxa"/>
              <w:end w:w="110" w:type="dxa"/>
            </w:tcMar>
            <w:vAlign w:val="center"/>
          </w:tcPr>
          <w:p>
            <w:r>
              <w:rPr>
                <w:rFonts w:ascii="Aptos" w:hAnsi="Aptos"/>
                <w:color w:val="192026"/>
                <w:sz w:val="18"/>
              </w:rPr>
              <w:t>Digital and assisted</w:t>
            </w:r>
          </w:p>
        </w:tc>
        <w:tc>
          <w:tcPr>
            <w:tcW w:type="dxa" w:w="7560"/>
            <w:shd w:fill="EEF4F7"/>
            <w:tcMar>
              <w:top w:w="100" w:type="dxa"/>
              <w:start w:w="110" w:type="dxa"/>
              <w:bottom w:w="100" w:type="dxa"/>
              <w:end w:w="110" w:type="dxa"/>
            </w:tcMar>
            <w:vAlign w:val="center"/>
          </w:tcPr>
          <w:p>
            <w:r>
              <w:rPr>
                <w:rFonts w:ascii="Aptos" w:hAnsi="Aptos"/>
                <w:color w:val="192026"/>
                <w:sz w:val="18"/>
              </w:rPr>
              <w:t>Provide self-service while preserving practical support for residents who need another channel</w:t>
            </w:r>
          </w:p>
        </w:tc>
      </w:tr>
      <w:tr>
        <w:tc>
          <w:tcPr>
            <w:tcW w:type="dxa" w:w="2232"/>
            <w:tcMar>
              <w:top w:w="100" w:type="dxa"/>
              <w:start w:w="110" w:type="dxa"/>
              <w:bottom w:w="100" w:type="dxa"/>
              <w:end w:w="110" w:type="dxa"/>
            </w:tcMar>
            <w:vAlign w:val="center"/>
          </w:tcPr>
          <w:p>
            <w:r>
              <w:rPr>
                <w:rFonts w:ascii="Aptos" w:hAnsi="Aptos"/>
                <w:color w:val="192026"/>
                <w:sz w:val="18"/>
              </w:rPr>
              <w:t>Once-only where lawful</w:t>
            </w:r>
          </w:p>
        </w:tc>
        <w:tc>
          <w:tcPr>
            <w:tcW w:type="dxa" w:w="7560"/>
            <w:tcMar>
              <w:top w:w="100" w:type="dxa"/>
              <w:start w:w="110" w:type="dxa"/>
              <w:bottom w:w="100" w:type="dxa"/>
              <w:end w:w="110" w:type="dxa"/>
            </w:tcMar>
            <w:vAlign w:val="center"/>
          </w:tcPr>
          <w:p>
            <w:r>
              <w:rPr>
                <w:rFonts w:ascii="Aptos" w:hAnsi="Aptos"/>
                <w:color w:val="192026"/>
                <w:sz w:val="18"/>
              </w:rPr>
              <w:t>Reuse verified data through governed interoperability instead of requesting the same evidence repeatedly</w:t>
            </w:r>
          </w:p>
        </w:tc>
      </w:tr>
      <w:tr>
        <w:tc>
          <w:tcPr>
            <w:tcW w:type="dxa" w:w="2232"/>
            <w:shd w:fill="EEF4F7"/>
            <w:tcMar>
              <w:top w:w="100" w:type="dxa"/>
              <w:start w:w="110" w:type="dxa"/>
              <w:bottom w:w="100" w:type="dxa"/>
              <w:end w:w="110" w:type="dxa"/>
            </w:tcMar>
            <w:vAlign w:val="center"/>
          </w:tcPr>
          <w:p>
            <w:r>
              <w:rPr>
                <w:rFonts w:ascii="Aptos" w:hAnsi="Aptos"/>
                <w:color w:val="192026"/>
                <w:sz w:val="18"/>
              </w:rPr>
              <w:t>Privacy and security by design</w:t>
            </w:r>
          </w:p>
        </w:tc>
        <w:tc>
          <w:tcPr>
            <w:tcW w:type="dxa" w:w="7560"/>
            <w:shd w:fill="EEF4F7"/>
            <w:tcMar>
              <w:top w:w="100" w:type="dxa"/>
              <w:start w:w="110" w:type="dxa"/>
              <w:bottom w:w="100" w:type="dxa"/>
              <w:end w:w="110" w:type="dxa"/>
            </w:tcMar>
            <w:vAlign w:val="center"/>
          </w:tcPr>
          <w:p>
            <w:r>
              <w:rPr>
                <w:rFonts w:ascii="Aptos" w:hAnsi="Aptos"/>
                <w:color w:val="192026"/>
                <w:sz w:val="18"/>
              </w:rPr>
              <w:t>Define data, access, logging, retention, recovery and incident requirements before delivery</w:t>
            </w:r>
          </w:p>
        </w:tc>
      </w:tr>
      <w:tr>
        <w:tc>
          <w:tcPr>
            <w:tcW w:type="dxa" w:w="2232"/>
            <w:tcMar>
              <w:top w:w="100" w:type="dxa"/>
              <w:start w:w="110" w:type="dxa"/>
              <w:bottom w:w="100" w:type="dxa"/>
              <w:end w:w="110" w:type="dxa"/>
            </w:tcMar>
            <w:vAlign w:val="center"/>
          </w:tcPr>
          <w:p>
            <w:r>
              <w:rPr>
                <w:rFonts w:ascii="Aptos" w:hAnsi="Aptos"/>
                <w:color w:val="192026"/>
                <w:sz w:val="18"/>
              </w:rPr>
              <w:t>Open and maintainable</w:t>
            </w:r>
          </w:p>
        </w:tc>
        <w:tc>
          <w:tcPr>
            <w:tcW w:type="dxa" w:w="7560"/>
            <w:tcMar>
              <w:top w:w="100" w:type="dxa"/>
              <w:start w:w="110" w:type="dxa"/>
              <w:bottom w:w="100" w:type="dxa"/>
              <w:end w:w="110" w:type="dxa"/>
            </w:tcMar>
            <w:vAlign w:val="center"/>
          </w:tcPr>
          <w:p>
            <w:r>
              <w:rPr>
                <w:rFonts w:ascii="Aptos" w:hAnsi="Aptos"/>
                <w:color w:val="192026"/>
                <w:sz w:val="18"/>
              </w:rPr>
              <w:t>Prefer documented interfaces, portable data and exit arrangements that reduce supplier dependency</w:t>
            </w:r>
          </w:p>
        </w:tc>
      </w:tr>
      <w:tr>
        <w:tc>
          <w:tcPr>
            <w:tcW w:type="dxa" w:w="2232"/>
            <w:shd w:fill="EEF4F7"/>
            <w:tcMar>
              <w:top w:w="100" w:type="dxa"/>
              <w:start w:w="110" w:type="dxa"/>
              <w:bottom w:w="100" w:type="dxa"/>
              <w:end w:w="110" w:type="dxa"/>
            </w:tcMar>
            <w:vAlign w:val="center"/>
          </w:tcPr>
          <w:p>
            <w:r>
              <w:rPr>
                <w:rFonts w:ascii="Aptos" w:hAnsi="Aptos"/>
                <w:color w:val="192026"/>
                <w:sz w:val="18"/>
              </w:rPr>
              <w:t>Measurable</w:t>
            </w:r>
          </w:p>
        </w:tc>
        <w:tc>
          <w:tcPr>
            <w:tcW w:type="dxa" w:w="7560"/>
            <w:shd w:fill="EEF4F7"/>
            <w:tcMar>
              <w:top w:w="100" w:type="dxa"/>
              <w:start w:w="110" w:type="dxa"/>
              <w:bottom w:w="100" w:type="dxa"/>
              <w:end w:w="110" w:type="dxa"/>
            </w:tcMar>
            <w:vAlign w:val="center"/>
          </w:tcPr>
          <w:p>
            <w:r>
              <w:rPr>
                <w:rFonts w:ascii="Aptos" w:hAnsi="Aptos"/>
                <w:color w:val="192026"/>
                <w:sz w:val="18"/>
              </w:rPr>
              <w:t>Baseline the current service and track completion, delay, failure, adoption and support demand</w:t>
            </w:r>
          </w:p>
        </w:tc>
      </w:tr>
    </w:tbl>
    <w:p>
      <w:pPr>
        <w:spacing w:after="0"/>
      </w:pPr>
    </w:p>
    <w:p>
      <w:pPr>
        <w:spacing w:after="140" w:line="259" w:lineRule="auto"/>
      </w:pPr>
      <w:r>
        <w:t>EU interoperability, digital identity, data protection and accessibility instruments provide a common direction. Their application to a specific municipality or service must be confirmed against Greek law and the actual processing and procurement model.</w:t>
      </w:r>
    </w:p>
    <w:p>
      <w:r>
        <w:br w:type="page"/>
      </w:r>
    </w:p>
    <w:p>
      <w:pPr>
        <w:pStyle w:val="Heading1"/>
        <w:keepNext/>
      </w:pPr>
      <w:r>
        <w:t>Method and service prioritisation</w:t>
      </w:r>
    </w:p>
    <w:p>
      <w:pPr>
        <w:spacing w:after="140" w:line="259" w:lineRule="auto"/>
      </w:pPr>
      <w:r>
        <w:t>The analysis combines academic e-government maturity models with official digital-government, legal, accessibility and cybersecurity sources. It uses service scenarios, a weighted comparison, a capability-based architecture, governance mapping and a qualitative risk register. No interviews, survey responses, production data or supplier quotations were available.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6324F"/>
            <w:tcMar>
              <w:top w:w="100" w:type="dxa"/>
              <w:start w:w="110" w:type="dxa"/>
              <w:bottom w:w="100" w:type="dxa"/>
              <w:end w:w="110" w:type="dxa"/>
            </w:tcMar>
            <w:vAlign w:val="center"/>
          </w:tcPr>
          <w:p>
            <w:pPr>
              <w:jc w:val="center"/>
            </w:pPr>
            <w:r>
              <w:rPr>
                <w:rFonts w:ascii="Aptos" w:hAnsi="Aptos"/>
                <w:b/>
                <w:color w:val="FFFFFF"/>
                <w:sz w:val="18"/>
              </w:rPr>
              <w:t>Criterion</w:t>
            </w:r>
          </w:p>
        </w:tc>
        <w:tc>
          <w:tcPr>
            <w:tcW w:type="dxa" w:w="1080"/>
            <w:shd w:fill="16324F"/>
            <w:tcMar>
              <w:top w:w="100" w:type="dxa"/>
              <w:start w:w="110" w:type="dxa"/>
              <w:bottom w:w="100" w:type="dxa"/>
              <w:end w:w="110" w:type="dxa"/>
            </w:tcMar>
            <w:vAlign w:val="center"/>
          </w:tcPr>
          <w:p>
            <w:pPr>
              <w:jc w:val="center"/>
            </w:pPr>
            <w:r>
              <w:rPr>
                <w:rFonts w:ascii="Aptos" w:hAnsi="Aptos"/>
                <w:b/>
                <w:color w:val="FFFFFF"/>
                <w:sz w:val="18"/>
              </w:rPr>
              <w:t>Weight</w:t>
            </w:r>
          </w:p>
        </w:tc>
        <w:tc>
          <w:tcPr>
            <w:tcW w:type="dxa" w:w="6552"/>
            <w:shd w:fill="16324F"/>
            <w:tcMar>
              <w:top w:w="100" w:type="dxa"/>
              <w:start w:w="110" w:type="dxa"/>
              <w:bottom w:w="100" w:type="dxa"/>
              <w:end w:w="110" w:type="dxa"/>
            </w:tcMar>
            <w:vAlign w:val="center"/>
          </w:tcPr>
          <w:p>
            <w:pPr>
              <w:jc w:val="center"/>
            </w:pPr>
            <w:r>
              <w:rPr>
                <w:rFonts w:ascii="Aptos" w:hAnsi="Aptos"/>
                <w:b/>
                <w:color w:val="FFFFFF"/>
                <w:sz w:val="18"/>
              </w:rPr>
              <w:t>Question</w:t>
            </w:r>
          </w:p>
        </w:tc>
      </w:tr>
      <w:tr>
        <w:tc>
          <w:tcPr>
            <w:tcW w:type="dxa" w:w="2160"/>
            <w:tcMar>
              <w:top w:w="100" w:type="dxa"/>
              <w:start w:w="110" w:type="dxa"/>
              <w:bottom w:w="100" w:type="dxa"/>
              <w:end w:w="110" w:type="dxa"/>
            </w:tcMar>
            <w:vAlign w:val="center"/>
          </w:tcPr>
          <w:p>
            <w:r>
              <w:rPr>
                <w:rFonts w:ascii="Aptos" w:hAnsi="Aptos"/>
                <w:color w:val="192026"/>
                <w:sz w:val="18"/>
              </w:rPr>
              <w:t>Citizen value</w:t>
            </w:r>
          </w:p>
        </w:tc>
        <w:tc>
          <w:tcPr>
            <w:tcW w:type="dxa" w:w="1080"/>
            <w:tcMar>
              <w:top w:w="100" w:type="dxa"/>
              <w:start w:w="110" w:type="dxa"/>
              <w:bottom w:w="100" w:type="dxa"/>
              <w:end w:w="110" w:type="dxa"/>
            </w:tcMar>
            <w:vAlign w:val="center"/>
          </w:tcPr>
          <w:p>
            <w:r>
              <w:rPr>
                <w:rFonts w:ascii="Aptos" w:hAnsi="Aptos"/>
                <w:color w:val="192026"/>
                <w:sz w:val="18"/>
              </w:rPr>
              <w:t>30%</w:t>
            </w:r>
          </w:p>
        </w:tc>
        <w:tc>
          <w:tcPr>
            <w:tcW w:type="dxa" w:w="6552"/>
            <w:tcMar>
              <w:top w:w="100" w:type="dxa"/>
              <w:start w:w="110" w:type="dxa"/>
              <w:bottom w:w="100" w:type="dxa"/>
              <w:end w:w="110" w:type="dxa"/>
            </w:tcMar>
            <w:vAlign w:val="center"/>
          </w:tcPr>
          <w:p>
            <w:r>
              <w:rPr>
                <w:rFonts w:ascii="Aptos" w:hAnsi="Aptos"/>
                <w:color w:val="192026"/>
                <w:sz w:val="18"/>
              </w:rPr>
              <w:t>How much resident effort, delay or uncertainty could the service remove?</w:t>
            </w:r>
          </w:p>
        </w:tc>
      </w:tr>
      <w:tr>
        <w:tc>
          <w:tcPr>
            <w:tcW w:type="dxa" w:w="2160"/>
            <w:shd w:fill="EEF4F7"/>
            <w:tcMar>
              <w:top w:w="100" w:type="dxa"/>
              <w:start w:w="110" w:type="dxa"/>
              <w:bottom w:w="100" w:type="dxa"/>
              <w:end w:w="110" w:type="dxa"/>
            </w:tcMar>
            <w:vAlign w:val="center"/>
          </w:tcPr>
          <w:p>
            <w:r>
              <w:rPr>
                <w:rFonts w:ascii="Aptos" w:hAnsi="Aptos"/>
                <w:color w:val="192026"/>
                <w:sz w:val="18"/>
              </w:rPr>
              <w:t>Operational benefit</w:t>
            </w:r>
          </w:p>
        </w:tc>
        <w:tc>
          <w:tcPr>
            <w:tcW w:type="dxa" w:w="1080"/>
            <w:shd w:fill="EEF4F7"/>
            <w:tcMar>
              <w:top w:w="100" w:type="dxa"/>
              <w:start w:w="110" w:type="dxa"/>
              <w:bottom w:w="100" w:type="dxa"/>
              <w:end w:w="110" w:type="dxa"/>
            </w:tcMar>
            <w:vAlign w:val="center"/>
          </w:tcPr>
          <w:p>
            <w:r>
              <w:rPr>
                <w:rFonts w:ascii="Aptos" w:hAnsi="Aptos"/>
                <w:color w:val="192026"/>
                <w:sz w:val="18"/>
              </w:rPr>
              <w:t>25%</w:t>
            </w:r>
          </w:p>
        </w:tc>
        <w:tc>
          <w:tcPr>
            <w:tcW w:type="dxa" w:w="6552"/>
            <w:shd w:fill="EEF4F7"/>
            <w:tcMar>
              <w:top w:w="100" w:type="dxa"/>
              <w:start w:w="110" w:type="dxa"/>
              <w:bottom w:w="100" w:type="dxa"/>
              <w:end w:w="110" w:type="dxa"/>
            </w:tcMar>
            <w:vAlign w:val="center"/>
          </w:tcPr>
          <w:p>
            <w:r>
              <w:rPr>
                <w:rFonts w:ascii="Aptos" w:hAnsi="Aptos"/>
                <w:color w:val="192026"/>
                <w:sz w:val="18"/>
              </w:rPr>
              <w:t>How much repetitive work, error or queue pressure could it reduce?</w:t>
            </w:r>
          </w:p>
        </w:tc>
      </w:tr>
      <w:tr>
        <w:tc>
          <w:tcPr>
            <w:tcW w:type="dxa" w:w="2160"/>
            <w:tcMar>
              <w:top w:w="100" w:type="dxa"/>
              <w:start w:w="110" w:type="dxa"/>
              <w:bottom w:w="100" w:type="dxa"/>
              <w:end w:w="110" w:type="dxa"/>
            </w:tcMar>
            <w:vAlign w:val="center"/>
          </w:tcPr>
          <w:p>
            <w:r>
              <w:rPr>
                <w:rFonts w:ascii="Aptos" w:hAnsi="Aptos"/>
                <w:color w:val="192026"/>
                <w:sz w:val="18"/>
              </w:rPr>
              <w:t>Feasibility</w:t>
            </w:r>
          </w:p>
        </w:tc>
        <w:tc>
          <w:tcPr>
            <w:tcW w:type="dxa" w:w="1080"/>
            <w:tcMar>
              <w:top w:w="100" w:type="dxa"/>
              <w:start w:w="110" w:type="dxa"/>
              <w:bottom w:w="100" w:type="dxa"/>
              <w:end w:w="110" w:type="dxa"/>
            </w:tcMar>
            <w:vAlign w:val="center"/>
          </w:tcPr>
          <w:p>
            <w:r>
              <w:rPr>
                <w:rFonts w:ascii="Aptos" w:hAnsi="Aptos"/>
                <w:color w:val="192026"/>
                <w:sz w:val="18"/>
              </w:rPr>
              <w:t>20%</w:t>
            </w:r>
          </w:p>
        </w:tc>
        <w:tc>
          <w:tcPr>
            <w:tcW w:type="dxa" w:w="6552"/>
            <w:tcMar>
              <w:top w:w="100" w:type="dxa"/>
              <w:start w:w="110" w:type="dxa"/>
              <w:bottom w:w="100" w:type="dxa"/>
              <w:end w:w="110" w:type="dxa"/>
            </w:tcMar>
            <w:vAlign w:val="center"/>
          </w:tcPr>
          <w:p>
            <w:r>
              <w:rPr>
                <w:rFonts w:ascii="Aptos" w:hAnsi="Aptos"/>
                <w:color w:val="192026"/>
                <w:sz w:val="18"/>
              </w:rPr>
              <w:t>Are the technology and dependencies manageable?</w:t>
            </w:r>
          </w:p>
        </w:tc>
      </w:tr>
      <w:tr>
        <w:tc>
          <w:tcPr>
            <w:tcW w:type="dxa" w:w="2160"/>
            <w:shd w:fill="EEF4F7"/>
            <w:tcMar>
              <w:top w:w="100" w:type="dxa"/>
              <w:start w:w="110" w:type="dxa"/>
              <w:bottom w:w="100" w:type="dxa"/>
              <w:end w:w="110" w:type="dxa"/>
            </w:tcMar>
            <w:vAlign w:val="center"/>
          </w:tcPr>
          <w:p>
            <w:r>
              <w:rPr>
                <w:rFonts w:ascii="Aptos" w:hAnsi="Aptos"/>
                <w:color w:val="192026"/>
                <w:sz w:val="18"/>
              </w:rPr>
              <w:t>Compliance simplicity</w:t>
            </w:r>
          </w:p>
        </w:tc>
        <w:tc>
          <w:tcPr>
            <w:tcW w:type="dxa" w:w="1080"/>
            <w:shd w:fill="EEF4F7"/>
            <w:tcMar>
              <w:top w:w="100" w:type="dxa"/>
              <w:start w:w="110" w:type="dxa"/>
              <w:bottom w:w="100" w:type="dxa"/>
              <w:end w:w="110" w:type="dxa"/>
            </w:tcMar>
            <w:vAlign w:val="center"/>
          </w:tcPr>
          <w:p>
            <w:r>
              <w:rPr>
                <w:rFonts w:ascii="Aptos" w:hAnsi="Aptos"/>
                <w:color w:val="192026"/>
                <w:sz w:val="18"/>
              </w:rPr>
              <w:t>10%</w:t>
            </w:r>
          </w:p>
        </w:tc>
        <w:tc>
          <w:tcPr>
            <w:tcW w:type="dxa" w:w="6552"/>
            <w:shd w:fill="EEF4F7"/>
            <w:tcMar>
              <w:top w:w="100" w:type="dxa"/>
              <w:start w:w="110" w:type="dxa"/>
              <w:bottom w:w="100" w:type="dxa"/>
              <w:end w:w="110" w:type="dxa"/>
            </w:tcMar>
            <w:vAlign w:val="center"/>
          </w:tcPr>
          <w:p>
            <w:r>
              <w:rPr>
                <w:rFonts w:ascii="Aptos" w:hAnsi="Aptos"/>
                <w:color w:val="192026"/>
                <w:sz w:val="18"/>
              </w:rPr>
              <w:t>How difficult are the privacy, legal and audit obligations?</w:t>
            </w:r>
          </w:p>
        </w:tc>
      </w:tr>
      <w:tr>
        <w:tc>
          <w:tcPr>
            <w:tcW w:type="dxa" w:w="2160"/>
            <w:tcMar>
              <w:top w:w="100" w:type="dxa"/>
              <w:start w:w="110" w:type="dxa"/>
              <w:bottom w:w="100" w:type="dxa"/>
              <w:end w:w="110" w:type="dxa"/>
            </w:tcMar>
            <w:vAlign w:val="center"/>
          </w:tcPr>
          <w:p>
            <w:r>
              <w:rPr>
                <w:rFonts w:ascii="Aptos" w:hAnsi="Aptos"/>
                <w:color w:val="192026"/>
                <w:sz w:val="18"/>
              </w:rPr>
              <w:t>Delivery simplicity</w:t>
            </w:r>
          </w:p>
        </w:tc>
        <w:tc>
          <w:tcPr>
            <w:tcW w:type="dxa" w:w="1080"/>
            <w:tcMar>
              <w:top w:w="100" w:type="dxa"/>
              <w:start w:w="110" w:type="dxa"/>
              <w:bottom w:w="100" w:type="dxa"/>
              <w:end w:w="110" w:type="dxa"/>
            </w:tcMar>
            <w:vAlign w:val="center"/>
          </w:tcPr>
          <w:p>
            <w:r>
              <w:rPr>
                <w:rFonts w:ascii="Aptos" w:hAnsi="Aptos"/>
                <w:color w:val="192026"/>
                <w:sz w:val="18"/>
              </w:rPr>
              <w:t>15%</w:t>
            </w:r>
          </w:p>
        </w:tc>
        <w:tc>
          <w:tcPr>
            <w:tcW w:type="dxa" w:w="6552"/>
            <w:tcMar>
              <w:top w:w="100" w:type="dxa"/>
              <w:start w:w="110" w:type="dxa"/>
              <w:bottom w:w="100" w:type="dxa"/>
              <w:end w:w="110" w:type="dxa"/>
            </w:tcMar>
            <w:vAlign w:val="center"/>
          </w:tcPr>
          <w:p>
            <w:r>
              <w:rPr>
                <w:rFonts w:ascii="Aptos" w:hAnsi="Aptos"/>
                <w:color w:val="192026"/>
                <w:sz w:val="18"/>
              </w:rPr>
              <w:t>How manageable are integration, procurement, rollout and support?</w:t>
            </w:r>
          </w:p>
        </w:tc>
      </w:tr>
    </w:tbl>
    <w:p>
      <w:pPr>
        <w:spacing w:after="0"/>
      </w:pPr>
    </w:p>
    <w:p>
      <w:pPr>
        <w:pStyle w:val="Heading2"/>
        <w:keepNext/>
      </w:pPr>
      <w:r>
        <w:t>Weighted result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6324F"/>
            <w:tcMar>
              <w:top w:w="100" w:type="dxa"/>
              <w:start w:w="110" w:type="dxa"/>
              <w:bottom w:w="100" w:type="dxa"/>
              <w:end w:w="110" w:type="dxa"/>
            </w:tcMar>
            <w:vAlign w:val="center"/>
          </w:tcPr>
          <w:p>
            <w:pPr>
              <w:jc w:val="center"/>
            </w:pPr>
            <w:r>
              <w:rPr>
                <w:rFonts w:ascii="Aptos" w:hAnsi="Aptos"/>
                <w:b/>
                <w:color w:val="FFFFFF"/>
                <w:sz w:val="18"/>
              </w:rPr>
              <w:t>Rank</w:t>
            </w:r>
          </w:p>
        </w:tc>
        <w:tc>
          <w:tcPr>
            <w:tcW w:type="dxa" w:w="5832"/>
            <w:shd w:fill="16324F"/>
            <w:tcMar>
              <w:top w:w="100" w:type="dxa"/>
              <w:start w:w="110" w:type="dxa"/>
              <w:bottom w:w="100" w:type="dxa"/>
              <w:end w:w="110" w:type="dxa"/>
            </w:tcMar>
            <w:vAlign w:val="center"/>
          </w:tcPr>
          <w:p>
            <w:pPr>
              <w:jc w:val="center"/>
            </w:pPr>
            <w:r>
              <w:rPr>
                <w:rFonts w:ascii="Aptos" w:hAnsi="Aptos"/>
                <w:b/>
                <w:color w:val="FFFFFF"/>
                <w:sz w:val="18"/>
              </w:rPr>
              <w:t>Service</w:t>
            </w:r>
          </w:p>
        </w:tc>
        <w:tc>
          <w:tcPr>
            <w:tcW w:type="dxa" w:w="1080"/>
            <w:shd w:fill="16324F"/>
            <w:tcMar>
              <w:top w:w="100" w:type="dxa"/>
              <w:start w:w="110" w:type="dxa"/>
              <w:bottom w:w="100" w:type="dxa"/>
              <w:end w:w="110" w:type="dxa"/>
            </w:tcMar>
            <w:vAlign w:val="center"/>
          </w:tcPr>
          <w:p>
            <w:pPr>
              <w:jc w:val="center"/>
            </w:pPr>
            <w:r>
              <w:rPr>
                <w:rFonts w:ascii="Aptos" w:hAnsi="Aptos"/>
                <w:b/>
                <w:color w:val="FFFFFF"/>
                <w:sz w:val="18"/>
              </w:rPr>
              <w:t>Score</w:t>
            </w:r>
          </w:p>
        </w:tc>
        <w:tc>
          <w:tcPr>
            <w:tcW w:type="dxa" w:w="1944"/>
            <w:shd w:fill="16324F"/>
            <w:tcMar>
              <w:top w:w="100" w:type="dxa"/>
              <w:start w:w="110" w:type="dxa"/>
              <w:bottom w:w="100" w:type="dxa"/>
              <w:end w:w="110" w:type="dxa"/>
            </w:tcMar>
            <w:vAlign w:val="center"/>
          </w:tcPr>
          <w:p>
            <w:pPr>
              <w:jc w:val="center"/>
            </w:pPr>
            <w:r>
              <w:rPr>
                <w:rFonts w:ascii="Aptos" w:hAnsi="Aptos"/>
                <w:b/>
                <w:color w:val="FFFFFF"/>
                <w:sz w:val="18"/>
              </w:rPr>
              <w:t>Wave</w:t>
            </w:r>
          </w:p>
        </w:tc>
      </w:tr>
      <w:tr>
        <w:tc>
          <w:tcPr>
            <w:tcW w:type="dxa" w:w="792"/>
            <w:tcMar>
              <w:top w:w="100" w:type="dxa"/>
              <w:start w:w="110" w:type="dxa"/>
              <w:bottom w:w="100" w:type="dxa"/>
              <w:end w:w="110" w:type="dxa"/>
            </w:tcMar>
            <w:vAlign w:val="center"/>
          </w:tcPr>
          <w:p>
            <w:r>
              <w:rPr>
                <w:rFonts w:ascii="Aptos" w:hAnsi="Aptos"/>
                <w:color w:val="192026"/>
                <w:sz w:val="18"/>
              </w:rPr>
              <w:t>1</w:t>
            </w:r>
          </w:p>
        </w:tc>
        <w:tc>
          <w:tcPr>
            <w:tcW w:type="dxa" w:w="5832"/>
            <w:tcMar>
              <w:top w:w="100" w:type="dxa"/>
              <w:start w:w="110" w:type="dxa"/>
              <w:bottom w:w="100" w:type="dxa"/>
              <w:end w:w="110" w:type="dxa"/>
            </w:tcMar>
            <w:vAlign w:val="center"/>
          </w:tcPr>
          <w:p>
            <w:r>
              <w:rPr>
                <w:rFonts w:ascii="Aptos" w:hAnsi="Aptos"/>
                <w:color w:val="192026"/>
                <w:sz w:val="18"/>
              </w:rPr>
              <w:t>Infrastructure issue reporting</w:t>
            </w:r>
          </w:p>
        </w:tc>
        <w:tc>
          <w:tcPr>
            <w:tcW w:type="dxa" w:w="1080"/>
            <w:tcMar>
              <w:top w:w="100" w:type="dxa"/>
              <w:start w:w="110" w:type="dxa"/>
              <w:bottom w:w="100" w:type="dxa"/>
              <w:end w:w="110" w:type="dxa"/>
            </w:tcMar>
            <w:vAlign w:val="center"/>
          </w:tcPr>
          <w:p>
            <w:r>
              <w:rPr>
                <w:rFonts w:ascii="Aptos" w:hAnsi="Aptos"/>
                <w:color w:val="192026"/>
                <w:sz w:val="18"/>
              </w:rPr>
              <w:t>4.28</w:t>
            </w:r>
          </w:p>
        </w:tc>
        <w:tc>
          <w:tcPr>
            <w:tcW w:type="dxa" w:w="1944"/>
            <w:tcMar>
              <w:top w:w="100" w:type="dxa"/>
              <w:start w:w="110" w:type="dxa"/>
              <w:bottom w:w="100" w:type="dxa"/>
              <w:end w:w="110" w:type="dxa"/>
            </w:tcMar>
            <w:vAlign w:val="center"/>
          </w:tcPr>
          <w:p>
            <w:r>
              <w:rPr>
                <w:rFonts w:ascii="Aptos" w:hAnsi="Aptos"/>
                <w:color w:val="192026"/>
                <w:sz w:val="18"/>
              </w:rPr>
              <w:t>Pilot</w:t>
            </w:r>
          </w:p>
        </w:tc>
      </w:tr>
      <w:tr>
        <w:tc>
          <w:tcPr>
            <w:tcW w:type="dxa" w:w="792"/>
            <w:shd w:fill="EEF4F7"/>
            <w:tcMar>
              <w:top w:w="100" w:type="dxa"/>
              <w:start w:w="110" w:type="dxa"/>
              <w:bottom w:w="100" w:type="dxa"/>
              <w:end w:w="110" w:type="dxa"/>
            </w:tcMar>
            <w:vAlign w:val="center"/>
          </w:tcPr>
          <w:p>
            <w:r>
              <w:rPr>
                <w:rFonts w:ascii="Aptos" w:hAnsi="Aptos"/>
                <w:color w:val="192026"/>
                <w:sz w:val="18"/>
              </w:rPr>
              <w:t>2</w:t>
            </w:r>
          </w:p>
        </w:tc>
        <w:tc>
          <w:tcPr>
            <w:tcW w:type="dxa" w:w="5832"/>
            <w:shd w:fill="EEF4F7"/>
            <w:tcMar>
              <w:top w:w="100" w:type="dxa"/>
              <w:start w:w="110" w:type="dxa"/>
              <w:bottom w:w="100" w:type="dxa"/>
              <w:end w:w="110" w:type="dxa"/>
            </w:tcMar>
            <w:vAlign w:val="center"/>
          </w:tcPr>
          <w:p>
            <w:r>
              <w:rPr>
                <w:rFonts w:ascii="Aptos" w:hAnsi="Aptos"/>
                <w:color w:val="192026"/>
                <w:sz w:val="18"/>
              </w:rPr>
              <w:t>Facility booking and appointments</w:t>
            </w:r>
          </w:p>
        </w:tc>
        <w:tc>
          <w:tcPr>
            <w:tcW w:type="dxa" w:w="1080"/>
            <w:shd w:fill="EEF4F7"/>
            <w:tcMar>
              <w:top w:w="100" w:type="dxa"/>
              <w:start w:w="110" w:type="dxa"/>
              <w:bottom w:w="100" w:type="dxa"/>
              <w:end w:w="110" w:type="dxa"/>
            </w:tcMar>
            <w:vAlign w:val="center"/>
          </w:tcPr>
          <w:p>
            <w:r>
              <w:rPr>
                <w:rFonts w:ascii="Aptos" w:hAnsi="Aptos"/>
                <w:color w:val="192026"/>
                <w:sz w:val="18"/>
              </w:rPr>
              <w:t>4.10</w:t>
            </w:r>
          </w:p>
        </w:tc>
        <w:tc>
          <w:tcPr>
            <w:tcW w:type="dxa" w:w="1944"/>
            <w:shd w:fill="EEF4F7"/>
            <w:tcMar>
              <w:top w:w="100" w:type="dxa"/>
              <w:start w:w="110" w:type="dxa"/>
              <w:bottom w:w="100" w:type="dxa"/>
              <w:end w:w="110" w:type="dxa"/>
            </w:tcMar>
            <w:vAlign w:val="center"/>
          </w:tcPr>
          <w:p>
            <w:r>
              <w:rPr>
                <w:rFonts w:ascii="Aptos" w:hAnsi="Aptos"/>
                <w:color w:val="192026"/>
                <w:sz w:val="18"/>
              </w:rPr>
              <w:t>Pilot</w:t>
            </w:r>
          </w:p>
        </w:tc>
      </w:tr>
      <w:tr>
        <w:tc>
          <w:tcPr>
            <w:tcW w:type="dxa" w:w="792"/>
            <w:tcMar>
              <w:top w:w="100" w:type="dxa"/>
              <w:start w:w="110" w:type="dxa"/>
              <w:bottom w:w="100" w:type="dxa"/>
              <w:end w:w="110" w:type="dxa"/>
            </w:tcMar>
            <w:vAlign w:val="center"/>
          </w:tcPr>
          <w:p>
            <w:r>
              <w:rPr>
                <w:rFonts w:ascii="Aptos" w:hAnsi="Aptos"/>
                <w:color w:val="192026"/>
                <w:sz w:val="18"/>
              </w:rPr>
              <w:t>3</w:t>
            </w:r>
          </w:p>
        </w:tc>
        <w:tc>
          <w:tcPr>
            <w:tcW w:type="dxa" w:w="5832"/>
            <w:tcMar>
              <w:top w:w="100" w:type="dxa"/>
              <w:start w:w="110" w:type="dxa"/>
              <w:bottom w:w="100" w:type="dxa"/>
              <w:end w:w="110" w:type="dxa"/>
            </w:tcMar>
            <w:vAlign w:val="center"/>
          </w:tcPr>
          <w:p>
            <w:r>
              <w:rPr>
                <w:rFonts w:ascii="Aptos" w:hAnsi="Aptos"/>
                <w:color w:val="192026"/>
                <w:sz w:val="18"/>
              </w:rPr>
              <w:t>Digital certificate issuance</w:t>
            </w:r>
          </w:p>
        </w:tc>
        <w:tc>
          <w:tcPr>
            <w:tcW w:type="dxa" w:w="1080"/>
            <w:tcMar>
              <w:top w:w="100" w:type="dxa"/>
              <w:start w:w="110" w:type="dxa"/>
              <w:bottom w:w="100" w:type="dxa"/>
              <w:end w:w="110" w:type="dxa"/>
            </w:tcMar>
            <w:vAlign w:val="center"/>
          </w:tcPr>
          <w:p>
            <w:r>
              <w:rPr>
                <w:rFonts w:ascii="Aptos" w:hAnsi="Aptos"/>
                <w:color w:val="192026"/>
                <w:sz w:val="18"/>
              </w:rPr>
              <w:t>3.95</w:t>
            </w:r>
          </w:p>
        </w:tc>
        <w:tc>
          <w:tcPr>
            <w:tcW w:type="dxa" w:w="1944"/>
            <w:tcMar>
              <w:top w:w="100" w:type="dxa"/>
              <w:start w:w="110" w:type="dxa"/>
              <w:bottom w:w="100" w:type="dxa"/>
              <w:end w:w="110" w:type="dxa"/>
            </w:tcMar>
            <w:vAlign w:val="center"/>
          </w:tcPr>
          <w:p>
            <w:r>
              <w:rPr>
                <w:rFonts w:ascii="Aptos" w:hAnsi="Aptos"/>
                <w:color w:val="192026"/>
                <w:sz w:val="18"/>
              </w:rPr>
              <w:t>Integrate</w:t>
            </w:r>
          </w:p>
        </w:tc>
      </w:tr>
      <w:tr>
        <w:tc>
          <w:tcPr>
            <w:tcW w:type="dxa" w:w="792"/>
            <w:shd w:fill="EEF4F7"/>
            <w:tcMar>
              <w:top w:w="100" w:type="dxa"/>
              <w:start w:w="110" w:type="dxa"/>
              <w:bottom w:w="100" w:type="dxa"/>
              <w:end w:w="110" w:type="dxa"/>
            </w:tcMar>
            <w:vAlign w:val="center"/>
          </w:tcPr>
          <w:p>
            <w:r>
              <w:rPr>
                <w:rFonts w:ascii="Aptos" w:hAnsi="Aptos"/>
                <w:color w:val="192026"/>
                <w:sz w:val="18"/>
              </w:rPr>
              <w:t>4</w:t>
            </w:r>
          </w:p>
        </w:tc>
        <w:tc>
          <w:tcPr>
            <w:tcW w:type="dxa" w:w="5832"/>
            <w:shd w:fill="EEF4F7"/>
            <w:tcMar>
              <w:top w:w="100" w:type="dxa"/>
              <w:start w:w="110" w:type="dxa"/>
              <w:bottom w:w="100" w:type="dxa"/>
              <w:end w:w="110" w:type="dxa"/>
            </w:tcMar>
            <w:vAlign w:val="center"/>
          </w:tcPr>
          <w:p>
            <w:r>
              <w:rPr>
                <w:rFonts w:ascii="Aptos" w:hAnsi="Aptos"/>
                <w:color w:val="192026"/>
                <w:sz w:val="18"/>
              </w:rPr>
              <w:t>Municipal debt payments</w:t>
            </w:r>
          </w:p>
        </w:tc>
        <w:tc>
          <w:tcPr>
            <w:tcW w:type="dxa" w:w="1080"/>
            <w:shd w:fill="EEF4F7"/>
            <w:tcMar>
              <w:top w:w="100" w:type="dxa"/>
              <w:start w:w="110" w:type="dxa"/>
              <w:bottom w:w="100" w:type="dxa"/>
              <w:end w:w="110" w:type="dxa"/>
            </w:tcMar>
            <w:vAlign w:val="center"/>
          </w:tcPr>
          <w:p>
            <w:r>
              <w:rPr>
                <w:rFonts w:ascii="Aptos" w:hAnsi="Aptos"/>
                <w:color w:val="192026"/>
                <w:sz w:val="18"/>
              </w:rPr>
              <w:t>3.85</w:t>
            </w:r>
          </w:p>
        </w:tc>
        <w:tc>
          <w:tcPr>
            <w:tcW w:type="dxa" w:w="1944"/>
            <w:shd w:fill="EEF4F7"/>
            <w:tcMar>
              <w:top w:w="100" w:type="dxa"/>
              <w:start w:w="110" w:type="dxa"/>
              <w:bottom w:w="100" w:type="dxa"/>
              <w:end w:w="110" w:type="dxa"/>
            </w:tcMar>
            <w:vAlign w:val="center"/>
          </w:tcPr>
          <w:p>
            <w:r>
              <w:rPr>
                <w:rFonts w:ascii="Aptos" w:hAnsi="Aptos"/>
                <w:color w:val="192026"/>
                <w:sz w:val="18"/>
              </w:rPr>
              <w:t>Integrate</w:t>
            </w:r>
          </w:p>
        </w:tc>
      </w:tr>
      <w:tr>
        <w:tc>
          <w:tcPr>
            <w:tcW w:type="dxa" w:w="792"/>
            <w:tcMar>
              <w:top w:w="100" w:type="dxa"/>
              <w:start w:w="110" w:type="dxa"/>
              <w:bottom w:w="100" w:type="dxa"/>
              <w:end w:w="110" w:type="dxa"/>
            </w:tcMar>
            <w:vAlign w:val="center"/>
          </w:tcPr>
          <w:p>
            <w:r>
              <w:rPr>
                <w:rFonts w:ascii="Aptos" w:hAnsi="Aptos"/>
                <w:color w:val="192026"/>
                <w:sz w:val="18"/>
              </w:rPr>
              <w:t>5</w:t>
            </w:r>
          </w:p>
        </w:tc>
        <w:tc>
          <w:tcPr>
            <w:tcW w:type="dxa" w:w="5832"/>
            <w:tcMar>
              <w:top w:w="100" w:type="dxa"/>
              <w:start w:w="110" w:type="dxa"/>
              <w:bottom w:w="100" w:type="dxa"/>
              <w:end w:w="110" w:type="dxa"/>
            </w:tcMar>
            <w:vAlign w:val="center"/>
          </w:tcPr>
          <w:p>
            <w:r>
              <w:rPr>
                <w:rFonts w:ascii="Aptos" w:hAnsi="Aptos"/>
                <w:color w:val="192026"/>
                <w:sz w:val="18"/>
              </w:rPr>
              <w:t>Digital participation platform</w:t>
            </w:r>
          </w:p>
        </w:tc>
        <w:tc>
          <w:tcPr>
            <w:tcW w:type="dxa" w:w="1080"/>
            <w:tcMar>
              <w:top w:w="100" w:type="dxa"/>
              <w:start w:w="110" w:type="dxa"/>
              <w:bottom w:w="100" w:type="dxa"/>
              <w:end w:w="110" w:type="dxa"/>
            </w:tcMar>
            <w:vAlign w:val="center"/>
          </w:tcPr>
          <w:p>
            <w:r>
              <w:rPr>
                <w:rFonts w:ascii="Aptos" w:hAnsi="Aptos"/>
                <w:color w:val="192026"/>
                <w:sz w:val="18"/>
              </w:rPr>
              <w:t>3.35</w:t>
            </w:r>
          </w:p>
        </w:tc>
        <w:tc>
          <w:tcPr>
            <w:tcW w:type="dxa" w:w="1944"/>
            <w:tcMar>
              <w:top w:w="100" w:type="dxa"/>
              <w:start w:w="110" w:type="dxa"/>
              <w:bottom w:w="100" w:type="dxa"/>
              <w:end w:w="110" w:type="dxa"/>
            </w:tcMar>
            <w:vAlign w:val="center"/>
          </w:tcPr>
          <w:p>
            <w:r>
              <w:rPr>
                <w:rFonts w:ascii="Aptos" w:hAnsi="Aptos"/>
                <w:color w:val="192026"/>
                <w:sz w:val="18"/>
              </w:rPr>
              <w:t>Expand</w:t>
            </w:r>
          </w:p>
        </w:tc>
      </w:tr>
    </w:tbl>
    <w:p>
      <w:pPr>
        <w:spacing w:after="0"/>
      </w:pPr>
    </w:p>
    <w:p>
      <w:pPr>
        <w:spacing w:after="140" w:line="259" w:lineRule="auto"/>
      </w:pPr>
      <w:r>
        <w:t>The scores are transparent design judgements on a five-point scale. They provide a testable starting hypothesis rather than a universal municipal ranking.</w:t>
      </w:r>
    </w:p>
    <w:p>
      <w:r>
        <w:br w:type="page"/>
      </w:r>
    </w:p>
    <w:p>
      <w:pPr>
        <w:pStyle w:val="Heading1"/>
        <w:keepNext/>
      </w:pPr>
      <w:r>
        <w:t>Five service concepts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6324F"/>
            <w:tcMar>
              <w:top w:w="100" w:type="dxa"/>
              <w:start w:w="110" w:type="dxa"/>
              <w:bottom w:w="100" w:type="dxa"/>
              <w:end w:w="110" w:type="dxa"/>
            </w:tcMar>
            <w:vAlign w:val="center"/>
          </w:tcPr>
          <w:p>
            <w:pPr>
              <w:jc w:val="center"/>
            </w:pPr>
            <w:r>
              <w:rPr>
                <w:rFonts w:ascii="Aptos" w:hAnsi="Aptos"/>
                <w:b/>
                <w:color w:val="FFFFFF"/>
                <w:sz w:val="16"/>
              </w:rPr>
              <w:t>Service</w:t>
            </w:r>
          </w:p>
        </w:tc>
        <w:tc>
          <w:tcPr>
            <w:tcW w:type="dxa" w:w="2952"/>
            <w:shd w:fill="16324F"/>
            <w:tcMar>
              <w:top w:w="100" w:type="dxa"/>
              <w:start w:w="110" w:type="dxa"/>
              <w:bottom w:w="100" w:type="dxa"/>
              <w:end w:w="110" w:type="dxa"/>
            </w:tcMar>
            <w:vAlign w:val="center"/>
          </w:tcPr>
          <w:p>
            <w:pPr>
              <w:jc w:val="center"/>
            </w:pPr>
            <w:r>
              <w:rPr>
                <w:rFonts w:ascii="Aptos" w:hAnsi="Aptos"/>
                <w:b/>
                <w:color w:val="FFFFFF"/>
                <w:sz w:val="16"/>
              </w:rPr>
              <w:t>Resident outcome</w:t>
            </w:r>
          </w:p>
        </w:tc>
        <w:tc>
          <w:tcPr>
            <w:tcW w:type="dxa" w:w="2448"/>
            <w:shd w:fill="16324F"/>
            <w:tcMar>
              <w:top w:w="100" w:type="dxa"/>
              <w:start w:w="110" w:type="dxa"/>
              <w:bottom w:w="100" w:type="dxa"/>
              <w:end w:w="110" w:type="dxa"/>
            </w:tcMar>
            <w:vAlign w:val="center"/>
          </w:tcPr>
          <w:p>
            <w:pPr>
              <w:jc w:val="center"/>
            </w:pPr>
            <w:r>
              <w:rPr>
                <w:rFonts w:ascii="Aptos" w:hAnsi="Aptos"/>
                <w:b/>
                <w:color w:val="FFFFFF"/>
                <w:sz w:val="16"/>
              </w:rPr>
              <w:t>Key dependency</w:t>
            </w:r>
          </w:p>
        </w:tc>
        <w:tc>
          <w:tcPr>
            <w:tcW w:type="dxa" w:w="2160"/>
            <w:shd w:fill="16324F"/>
            <w:tcMar>
              <w:top w:w="100" w:type="dxa"/>
              <w:start w:w="110" w:type="dxa"/>
              <w:bottom w:w="100" w:type="dxa"/>
              <w:end w:w="110" w:type="dxa"/>
            </w:tcMar>
            <w:vAlign w:val="center"/>
          </w:tcPr>
          <w:p>
            <w:pPr>
              <w:jc w:val="center"/>
            </w:pPr>
            <w:r>
              <w:rPr>
                <w:rFonts w:ascii="Aptos" w:hAnsi="Aptos"/>
                <w:b/>
                <w:color w:val="FFFFFF"/>
                <w:sz w:val="16"/>
              </w:rPr>
              <w:t>Primary control</w:t>
            </w:r>
          </w:p>
        </w:tc>
      </w:tr>
      <w:tr>
        <w:tc>
          <w:tcPr>
            <w:tcW w:type="dxa" w:w="2232"/>
            <w:tcMar>
              <w:top w:w="100" w:type="dxa"/>
              <w:start w:w="110" w:type="dxa"/>
              <w:bottom w:w="100" w:type="dxa"/>
              <w:end w:w="110" w:type="dxa"/>
            </w:tcMar>
            <w:vAlign w:val="center"/>
          </w:tcPr>
          <w:p>
            <w:r>
              <w:rPr>
                <w:rFonts w:ascii="Aptos" w:hAnsi="Aptos"/>
                <w:color w:val="192026"/>
                <w:sz w:val="16"/>
              </w:rPr>
              <w:t>Infrastructure issue reporting</w:t>
            </w:r>
          </w:p>
        </w:tc>
        <w:tc>
          <w:tcPr>
            <w:tcW w:type="dxa" w:w="2952"/>
            <w:tcMar>
              <w:top w:w="100" w:type="dxa"/>
              <w:start w:w="110" w:type="dxa"/>
              <w:bottom w:w="100" w:type="dxa"/>
              <w:end w:w="110" w:type="dxa"/>
            </w:tcMar>
            <w:vAlign w:val="center"/>
          </w:tcPr>
          <w:p>
            <w:r>
              <w:rPr>
                <w:rFonts w:ascii="Aptos" w:hAnsi="Aptos"/>
                <w:color w:val="192026"/>
                <w:sz w:val="16"/>
              </w:rPr>
              <w:t>Submit a geolocated issue, receive a case number and track status</w:t>
            </w:r>
          </w:p>
        </w:tc>
        <w:tc>
          <w:tcPr>
            <w:tcW w:type="dxa" w:w="2448"/>
            <w:tcMar>
              <w:top w:w="100" w:type="dxa"/>
              <w:start w:w="110" w:type="dxa"/>
              <w:bottom w:w="100" w:type="dxa"/>
              <w:end w:w="110" w:type="dxa"/>
            </w:tcMar>
            <w:vAlign w:val="center"/>
          </w:tcPr>
          <w:p>
            <w:r>
              <w:rPr>
                <w:rFonts w:ascii="Aptos" w:hAnsi="Aptos"/>
                <w:color w:val="192026"/>
                <w:sz w:val="16"/>
              </w:rPr>
              <w:t>Workflow and field-service ownership</w:t>
            </w:r>
          </w:p>
        </w:tc>
        <w:tc>
          <w:tcPr>
            <w:tcW w:type="dxa" w:w="2160"/>
            <w:tcMar>
              <w:top w:w="100" w:type="dxa"/>
              <w:start w:w="110" w:type="dxa"/>
              <w:bottom w:w="100" w:type="dxa"/>
              <w:end w:w="110" w:type="dxa"/>
            </w:tcMar>
            <w:vAlign w:val="center"/>
          </w:tcPr>
          <w:p>
            <w:r>
              <w:rPr>
                <w:rFonts w:ascii="Aptos" w:hAnsi="Aptos"/>
                <w:color w:val="192026"/>
                <w:sz w:val="16"/>
              </w:rPr>
              <w:t>Location and image minimisation; status audit trail</w:t>
            </w:r>
          </w:p>
        </w:tc>
      </w:tr>
      <w:tr>
        <w:tc>
          <w:tcPr>
            <w:tcW w:type="dxa" w:w="2232"/>
            <w:shd w:fill="EEF4F7"/>
            <w:tcMar>
              <w:top w:w="100" w:type="dxa"/>
              <w:start w:w="110" w:type="dxa"/>
              <w:bottom w:w="100" w:type="dxa"/>
              <w:end w:w="110" w:type="dxa"/>
            </w:tcMar>
            <w:vAlign w:val="center"/>
          </w:tcPr>
          <w:p>
            <w:r>
              <w:rPr>
                <w:rFonts w:ascii="Aptos" w:hAnsi="Aptos"/>
                <w:color w:val="192026"/>
                <w:sz w:val="16"/>
              </w:rPr>
              <w:t>Facility booking and appointments</w:t>
            </w:r>
          </w:p>
        </w:tc>
        <w:tc>
          <w:tcPr>
            <w:tcW w:type="dxa" w:w="2952"/>
            <w:shd w:fill="EEF4F7"/>
            <w:tcMar>
              <w:top w:w="100" w:type="dxa"/>
              <w:start w:w="110" w:type="dxa"/>
              <w:bottom w:w="100" w:type="dxa"/>
              <w:end w:w="110" w:type="dxa"/>
            </w:tcMar>
            <w:vAlign w:val="center"/>
          </w:tcPr>
          <w:p>
            <w:r>
              <w:rPr>
                <w:rFonts w:ascii="Aptos" w:hAnsi="Aptos"/>
                <w:color w:val="192026"/>
                <w:sz w:val="16"/>
              </w:rPr>
              <w:t>See availability, reserve a slot and receive confirmation</w:t>
            </w:r>
          </w:p>
        </w:tc>
        <w:tc>
          <w:tcPr>
            <w:tcW w:type="dxa" w:w="2448"/>
            <w:shd w:fill="EEF4F7"/>
            <w:tcMar>
              <w:top w:w="100" w:type="dxa"/>
              <w:start w:w="110" w:type="dxa"/>
              <w:bottom w:w="100" w:type="dxa"/>
              <w:end w:w="110" w:type="dxa"/>
            </w:tcMar>
            <w:vAlign w:val="center"/>
          </w:tcPr>
          <w:p>
            <w:r>
              <w:rPr>
                <w:rFonts w:ascii="Aptos" w:hAnsi="Aptos"/>
                <w:color w:val="192026"/>
                <w:sz w:val="16"/>
              </w:rPr>
              <w:t>Calendar and resource ownership</w:t>
            </w:r>
          </w:p>
        </w:tc>
        <w:tc>
          <w:tcPr>
            <w:tcW w:type="dxa" w:w="2160"/>
            <w:shd w:fill="EEF4F7"/>
            <w:tcMar>
              <w:top w:w="100" w:type="dxa"/>
              <w:start w:w="110" w:type="dxa"/>
              <w:bottom w:w="100" w:type="dxa"/>
              <w:end w:w="110" w:type="dxa"/>
            </w:tcMar>
            <w:vAlign w:val="center"/>
          </w:tcPr>
          <w:p>
            <w:r>
              <w:rPr>
                <w:rFonts w:ascii="Aptos" w:hAnsi="Aptos"/>
                <w:color w:val="192026"/>
                <w:sz w:val="16"/>
              </w:rPr>
              <w:t>Capacity rules; accessible alternatives; cancellation controls</w:t>
            </w:r>
          </w:p>
        </w:tc>
      </w:tr>
      <w:tr>
        <w:tc>
          <w:tcPr>
            <w:tcW w:type="dxa" w:w="2232"/>
            <w:tcMar>
              <w:top w:w="100" w:type="dxa"/>
              <w:start w:w="110" w:type="dxa"/>
              <w:bottom w:w="100" w:type="dxa"/>
              <w:end w:w="110" w:type="dxa"/>
            </w:tcMar>
            <w:vAlign w:val="center"/>
          </w:tcPr>
          <w:p>
            <w:r>
              <w:rPr>
                <w:rFonts w:ascii="Aptos" w:hAnsi="Aptos"/>
                <w:color w:val="192026"/>
                <w:sz w:val="16"/>
              </w:rPr>
              <w:t>Digital certificate issuance</w:t>
            </w:r>
          </w:p>
        </w:tc>
        <w:tc>
          <w:tcPr>
            <w:tcW w:type="dxa" w:w="2952"/>
            <w:tcMar>
              <w:top w:w="100" w:type="dxa"/>
              <w:start w:w="110" w:type="dxa"/>
              <w:bottom w:w="100" w:type="dxa"/>
              <w:end w:w="110" w:type="dxa"/>
            </w:tcMar>
            <w:vAlign w:val="center"/>
          </w:tcPr>
          <w:p>
            <w:r>
              <w:rPr>
                <w:rFonts w:ascii="Aptos" w:hAnsi="Aptos"/>
                <w:color w:val="192026"/>
                <w:sz w:val="16"/>
              </w:rPr>
              <w:t>Request and receive a verifiable document without unnecessary visits</w:t>
            </w:r>
          </w:p>
        </w:tc>
        <w:tc>
          <w:tcPr>
            <w:tcW w:type="dxa" w:w="2448"/>
            <w:tcMar>
              <w:top w:w="100" w:type="dxa"/>
              <w:start w:w="110" w:type="dxa"/>
              <w:bottom w:w="100" w:type="dxa"/>
              <w:end w:w="110" w:type="dxa"/>
            </w:tcMar>
            <w:vAlign w:val="center"/>
          </w:tcPr>
          <w:p>
            <w:r>
              <w:rPr>
                <w:rFonts w:ascii="Aptos" w:hAnsi="Aptos"/>
                <w:color w:val="192026"/>
                <w:sz w:val="16"/>
              </w:rPr>
              <w:t>Trusted identity, registry and signing</w:t>
            </w:r>
          </w:p>
        </w:tc>
        <w:tc>
          <w:tcPr>
            <w:tcW w:type="dxa" w:w="2160"/>
            <w:tcMar>
              <w:top w:w="100" w:type="dxa"/>
              <w:start w:w="110" w:type="dxa"/>
              <w:bottom w:w="100" w:type="dxa"/>
              <w:end w:w="110" w:type="dxa"/>
            </w:tcMar>
            <w:vAlign w:val="center"/>
          </w:tcPr>
          <w:p>
            <w:r>
              <w:rPr>
                <w:rFonts w:ascii="Aptos" w:hAnsi="Aptos"/>
                <w:color w:val="192026"/>
                <w:sz w:val="16"/>
              </w:rPr>
              <w:t>Strong identity; document integrity; access logging</w:t>
            </w:r>
          </w:p>
        </w:tc>
      </w:tr>
      <w:tr>
        <w:tc>
          <w:tcPr>
            <w:tcW w:type="dxa" w:w="2232"/>
            <w:shd w:fill="EEF4F7"/>
            <w:tcMar>
              <w:top w:w="100" w:type="dxa"/>
              <w:start w:w="110" w:type="dxa"/>
              <w:bottom w:w="100" w:type="dxa"/>
              <w:end w:w="110" w:type="dxa"/>
            </w:tcMar>
            <w:vAlign w:val="center"/>
          </w:tcPr>
          <w:p>
            <w:r>
              <w:rPr>
                <w:rFonts w:ascii="Aptos" w:hAnsi="Aptos"/>
                <w:color w:val="192026"/>
                <w:sz w:val="16"/>
              </w:rPr>
              <w:t>Municipal debt payments</w:t>
            </w:r>
          </w:p>
        </w:tc>
        <w:tc>
          <w:tcPr>
            <w:tcW w:type="dxa" w:w="2952"/>
            <w:shd w:fill="EEF4F7"/>
            <w:tcMar>
              <w:top w:w="100" w:type="dxa"/>
              <w:start w:w="110" w:type="dxa"/>
              <w:bottom w:w="100" w:type="dxa"/>
              <w:end w:w="110" w:type="dxa"/>
            </w:tcMar>
            <w:vAlign w:val="center"/>
          </w:tcPr>
          <w:p>
            <w:r>
              <w:rPr>
                <w:rFonts w:ascii="Aptos" w:hAnsi="Aptos"/>
                <w:color w:val="192026"/>
                <w:sz w:val="16"/>
              </w:rPr>
              <w:t>View an obligation, pay through a trusted provider and receive confirmation</w:t>
            </w:r>
          </w:p>
        </w:tc>
        <w:tc>
          <w:tcPr>
            <w:tcW w:type="dxa" w:w="2448"/>
            <w:shd w:fill="EEF4F7"/>
            <w:tcMar>
              <w:top w:w="100" w:type="dxa"/>
              <w:start w:w="110" w:type="dxa"/>
              <w:bottom w:w="100" w:type="dxa"/>
              <w:end w:w="110" w:type="dxa"/>
            </w:tcMar>
            <w:vAlign w:val="center"/>
          </w:tcPr>
          <w:p>
            <w:r>
              <w:rPr>
                <w:rFonts w:ascii="Aptos" w:hAnsi="Aptos"/>
                <w:color w:val="192026"/>
                <w:sz w:val="16"/>
              </w:rPr>
              <w:t>ERP, payment provider and reconciliation</w:t>
            </w:r>
          </w:p>
        </w:tc>
        <w:tc>
          <w:tcPr>
            <w:tcW w:type="dxa" w:w="2160"/>
            <w:shd w:fill="EEF4F7"/>
            <w:tcMar>
              <w:top w:w="100" w:type="dxa"/>
              <w:start w:w="110" w:type="dxa"/>
              <w:bottom w:w="100" w:type="dxa"/>
              <w:end w:w="110" w:type="dxa"/>
            </w:tcMar>
            <w:vAlign w:val="center"/>
          </w:tcPr>
          <w:p>
            <w:r>
              <w:rPr>
                <w:rFonts w:ascii="Aptos" w:hAnsi="Aptos"/>
                <w:color w:val="192026"/>
                <w:sz w:val="16"/>
              </w:rPr>
              <w:t>Hosted payment; idempotency; segregation of duties</w:t>
            </w:r>
          </w:p>
        </w:tc>
      </w:tr>
      <w:tr>
        <w:tc>
          <w:tcPr>
            <w:tcW w:type="dxa" w:w="2232"/>
            <w:tcMar>
              <w:top w:w="100" w:type="dxa"/>
              <w:start w:w="110" w:type="dxa"/>
              <w:bottom w:w="100" w:type="dxa"/>
              <w:end w:w="110" w:type="dxa"/>
            </w:tcMar>
            <w:vAlign w:val="center"/>
          </w:tcPr>
          <w:p>
            <w:r>
              <w:rPr>
                <w:rFonts w:ascii="Aptos" w:hAnsi="Aptos"/>
                <w:color w:val="192026"/>
                <w:sz w:val="16"/>
              </w:rPr>
              <w:t>Digital participation</w:t>
            </w:r>
          </w:p>
        </w:tc>
        <w:tc>
          <w:tcPr>
            <w:tcW w:type="dxa" w:w="2952"/>
            <w:tcMar>
              <w:top w:w="100" w:type="dxa"/>
              <w:start w:w="110" w:type="dxa"/>
              <w:bottom w:w="100" w:type="dxa"/>
              <w:end w:w="110" w:type="dxa"/>
            </w:tcMar>
            <w:vAlign w:val="center"/>
          </w:tcPr>
          <w:p>
            <w:r>
              <w:rPr>
                <w:rFonts w:ascii="Aptos" w:hAnsi="Aptos"/>
                <w:color w:val="192026"/>
                <w:sz w:val="16"/>
              </w:rPr>
              <w:t>Review proposals, submit input and see how the authority responded</w:t>
            </w:r>
          </w:p>
        </w:tc>
        <w:tc>
          <w:tcPr>
            <w:tcW w:type="dxa" w:w="2448"/>
            <w:tcMar>
              <w:top w:w="100" w:type="dxa"/>
              <w:start w:w="110" w:type="dxa"/>
              <w:bottom w:w="100" w:type="dxa"/>
              <w:end w:w="110" w:type="dxa"/>
            </w:tcMar>
            <w:vAlign w:val="center"/>
          </w:tcPr>
          <w:p>
            <w:r>
              <w:rPr>
                <w:rFonts w:ascii="Aptos" w:hAnsi="Aptos"/>
                <w:color w:val="192026"/>
                <w:sz w:val="16"/>
              </w:rPr>
              <w:t>Moderation and policy ownership</w:t>
            </w:r>
          </w:p>
        </w:tc>
        <w:tc>
          <w:tcPr>
            <w:tcW w:type="dxa" w:w="2160"/>
            <w:tcMar>
              <w:top w:w="100" w:type="dxa"/>
              <w:start w:w="110" w:type="dxa"/>
              <w:bottom w:w="100" w:type="dxa"/>
              <w:end w:w="110" w:type="dxa"/>
            </w:tcMar>
            <w:vAlign w:val="center"/>
          </w:tcPr>
          <w:p>
            <w:r>
              <w:rPr>
                <w:rFonts w:ascii="Aptos" w:hAnsi="Aptos"/>
                <w:color w:val="192026"/>
                <w:sz w:val="16"/>
              </w:rPr>
              <w:t>Transparent rules; privacy controls; public decision trail</w:t>
            </w:r>
          </w:p>
        </w:tc>
      </w:tr>
    </w:tbl>
    <w:p>
      <w:pPr>
        <w:spacing w:after="0"/>
      </w:pPr>
    </w:p>
    <w:p>
      <w:pPr>
        <w:pStyle w:val="Heading2"/>
        <w:keepNext/>
      </w:pPr>
      <w:r>
        <w:t>Pilot definition</w:t>
      </w:r>
    </w:p>
    <w:p>
      <w:pPr>
        <w:spacing w:after="140" w:line="259" w:lineRule="auto"/>
      </w:pPr>
      <w:r>
        <w:t>A pilot should cover one clearly bounded resident journey, a limited operational team, real support procedures, monitored accessibility, and a rollback path. It should test whether the municipality can own the service, respond to exceptions and maintain data quality. A polished interface alone does not meet the pilot objective.</w:t>
      </w:r>
    </w:p>
    <w:p>
      <w:pPr>
        <w:pStyle w:val="Heading2"/>
        <w:keepNext/>
      </w:pPr>
      <w:r>
        <w:t>Service standard</w:t>
      </w:r>
    </w:p>
    <w:p>
      <w:pPr>
        <w:pStyle w:val="ListBullet"/>
        <w:spacing w:after="80" w:line="245" w:lineRule="auto"/>
      </w:pPr>
      <w:r>
        <w:t>Residents can understand eligibility, evidence, status and next steps.</w:t>
      </w:r>
    </w:p>
    <w:p>
      <w:pPr>
        <w:pStyle w:val="ListBullet"/>
        <w:spacing w:after="80" w:line="245" w:lineRule="auto"/>
      </w:pPr>
      <w:r>
        <w:t>Staff can manage exceptions without parallel undocumented workarounds.</w:t>
      </w:r>
    </w:p>
    <w:p>
      <w:pPr>
        <w:pStyle w:val="ListBullet"/>
        <w:spacing w:after="80" w:line="245" w:lineRule="auto"/>
      </w:pPr>
      <w:r>
        <w:t>The service records decisions and supports review without excessive surveillance.</w:t>
      </w:r>
    </w:p>
    <w:p>
      <w:pPr>
        <w:pStyle w:val="ListBullet"/>
        <w:spacing w:after="80" w:line="245" w:lineRule="auto"/>
      </w:pPr>
      <w:r>
        <w:t>Support, security, privacy, accessibility and recovery responsibilities remain clear after launch.</w:t>
      </w:r>
    </w:p>
    <w:p>
      <w:r>
        <w:br w:type="page"/>
      </w:r>
    </w:p>
    <w:p>
      <w:pPr>
        <w:pStyle w:val="Heading1"/>
        <w:keepNext/>
      </w:pPr>
      <w:r>
        <w:t>Target architecture</w:t>
      </w:r>
    </w:p>
    <w:p>
      <w:pPr>
        <w:spacing w:after="140" w:line="259" w:lineRule="auto"/>
      </w:pPr>
      <w:r>
        <w:t>The target separates resident channels from domain services and from legacy systems. Shared identity, API management, observability and audit controls prevent every service from building its own inconsistent foundation.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6324F"/>
            <w:tcMar>
              <w:top w:w="100" w:type="dxa"/>
              <w:start w:w="110" w:type="dxa"/>
              <w:bottom w:w="100" w:type="dxa"/>
              <w:end w:w="110" w:type="dxa"/>
            </w:tcMar>
            <w:vAlign w:val="center"/>
          </w:tcPr>
          <w:p>
            <w:pPr>
              <w:jc w:val="center"/>
            </w:pPr>
            <w:r>
              <w:rPr>
                <w:rFonts w:ascii="Aptos" w:hAnsi="Aptos"/>
                <w:b/>
                <w:color w:val="FFFFFF"/>
                <w:sz w:val="17"/>
              </w:rPr>
              <w:t>Layer</w:t>
            </w:r>
          </w:p>
        </w:tc>
        <w:tc>
          <w:tcPr>
            <w:tcW w:type="dxa" w:w="4536"/>
            <w:shd w:fill="16324F"/>
            <w:tcMar>
              <w:top w:w="100" w:type="dxa"/>
              <w:start w:w="110" w:type="dxa"/>
              <w:bottom w:w="100" w:type="dxa"/>
              <w:end w:w="110" w:type="dxa"/>
            </w:tcMar>
            <w:vAlign w:val="center"/>
          </w:tcPr>
          <w:p>
            <w:pPr>
              <w:jc w:val="center"/>
            </w:pPr>
            <w:r>
              <w:rPr>
                <w:rFonts w:ascii="Aptos" w:hAnsi="Aptos"/>
                <w:b/>
                <w:color w:val="FFFFFF"/>
                <w:sz w:val="17"/>
              </w:rPr>
              <w:t>Capabilities</w:t>
            </w:r>
          </w:p>
        </w:tc>
        <w:tc>
          <w:tcPr>
            <w:tcW w:type="dxa" w:w="3456"/>
            <w:shd w:fill="16324F"/>
            <w:tcMar>
              <w:top w:w="100" w:type="dxa"/>
              <w:start w:w="110" w:type="dxa"/>
              <w:bottom w:w="100" w:type="dxa"/>
              <w:end w:w="110" w:type="dxa"/>
            </w:tcMar>
            <w:vAlign w:val="center"/>
          </w:tcPr>
          <w:p>
            <w:pPr>
              <w:jc w:val="center"/>
            </w:pPr>
            <w:r>
              <w:rPr>
                <w:rFonts w:ascii="Aptos" w:hAnsi="Aptos"/>
                <w:b/>
                <w:color w:val="FFFFFF"/>
                <w:sz w:val="17"/>
              </w:rPr>
              <w:t>Design concern</w:t>
            </w:r>
          </w:p>
        </w:tc>
      </w:tr>
      <w:tr>
        <w:tc>
          <w:tcPr>
            <w:tcW w:type="dxa" w:w="1800"/>
            <w:tcMar>
              <w:top w:w="100" w:type="dxa"/>
              <w:start w:w="110" w:type="dxa"/>
              <w:bottom w:w="100" w:type="dxa"/>
              <w:end w:w="110" w:type="dxa"/>
            </w:tcMar>
            <w:vAlign w:val="center"/>
          </w:tcPr>
          <w:p>
            <w:r>
              <w:rPr>
                <w:rFonts w:ascii="Aptos" w:hAnsi="Aptos"/>
                <w:color w:val="192026"/>
                <w:sz w:val="17"/>
              </w:rPr>
              <w:t>Channels</w:t>
            </w:r>
          </w:p>
        </w:tc>
        <w:tc>
          <w:tcPr>
            <w:tcW w:type="dxa" w:w="4536"/>
            <w:tcMar>
              <w:top w:w="100" w:type="dxa"/>
              <w:start w:w="110" w:type="dxa"/>
              <w:bottom w:w="100" w:type="dxa"/>
              <w:end w:w="110" w:type="dxa"/>
            </w:tcMar>
            <w:vAlign w:val="center"/>
          </w:tcPr>
          <w:p>
            <w:r>
              <w:rPr>
                <w:rFonts w:ascii="Aptos" w:hAnsi="Aptos"/>
                <w:color w:val="192026"/>
                <w:sz w:val="17"/>
              </w:rPr>
              <w:t>Responsive web, mobile access, assisted service</w:t>
            </w:r>
          </w:p>
        </w:tc>
        <w:tc>
          <w:tcPr>
            <w:tcW w:type="dxa" w:w="3456"/>
            <w:tcMar>
              <w:top w:w="100" w:type="dxa"/>
              <w:start w:w="110" w:type="dxa"/>
              <w:bottom w:w="100" w:type="dxa"/>
              <w:end w:w="110" w:type="dxa"/>
            </w:tcMar>
            <w:vAlign w:val="center"/>
          </w:tcPr>
          <w:p>
            <w:r>
              <w:rPr>
                <w:rFonts w:ascii="Aptos" w:hAnsi="Aptos"/>
                <w:color w:val="192026"/>
                <w:sz w:val="17"/>
              </w:rPr>
              <w:t>Consistency, accessibility and plain-language guidance</w:t>
            </w:r>
          </w:p>
        </w:tc>
      </w:tr>
      <w:tr>
        <w:tc>
          <w:tcPr>
            <w:tcW w:type="dxa" w:w="1800"/>
            <w:shd w:fill="EEF4F7"/>
            <w:tcMar>
              <w:top w:w="100" w:type="dxa"/>
              <w:start w:w="110" w:type="dxa"/>
              <w:bottom w:w="100" w:type="dxa"/>
              <w:end w:w="110" w:type="dxa"/>
            </w:tcMar>
            <w:vAlign w:val="center"/>
          </w:tcPr>
          <w:p>
            <w:r>
              <w:rPr>
                <w:rFonts w:ascii="Aptos" w:hAnsi="Aptos"/>
                <w:color w:val="192026"/>
                <w:sz w:val="17"/>
              </w:rPr>
              <w:t>Edge and identity</w:t>
            </w:r>
          </w:p>
        </w:tc>
        <w:tc>
          <w:tcPr>
            <w:tcW w:type="dxa" w:w="4536"/>
            <w:shd w:fill="EEF4F7"/>
            <w:tcMar>
              <w:top w:w="100" w:type="dxa"/>
              <w:start w:w="110" w:type="dxa"/>
              <w:bottom w:w="100" w:type="dxa"/>
              <w:end w:w="110" w:type="dxa"/>
            </w:tcMar>
            <w:vAlign w:val="center"/>
          </w:tcPr>
          <w:p>
            <w:r>
              <w:rPr>
                <w:rFonts w:ascii="Aptos" w:hAnsi="Aptos"/>
                <w:color w:val="192026"/>
                <w:sz w:val="17"/>
              </w:rPr>
              <w:t>API gateway, authentication, consent where relevant, abuse protection</w:t>
            </w:r>
          </w:p>
        </w:tc>
        <w:tc>
          <w:tcPr>
            <w:tcW w:type="dxa" w:w="3456"/>
            <w:shd w:fill="EEF4F7"/>
            <w:tcMar>
              <w:top w:w="100" w:type="dxa"/>
              <w:start w:w="110" w:type="dxa"/>
              <w:bottom w:w="100" w:type="dxa"/>
              <w:end w:w="110" w:type="dxa"/>
            </w:tcMar>
            <w:vAlign w:val="center"/>
          </w:tcPr>
          <w:p>
            <w:r>
              <w:rPr>
                <w:rFonts w:ascii="Aptos" w:hAnsi="Aptos"/>
                <w:color w:val="192026"/>
                <w:sz w:val="17"/>
              </w:rPr>
              <w:t>Trust boundaries and recovery paths</w:t>
            </w:r>
          </w:p>
        </w:tc>
      </w:tr>
      <w:tr>
        <w:tc>
          <w:tcPr>
            <w:tcW w:type="dxa" w:w="1800"/>
            <w:tcMar>
              <w:top w:w="100" w:type="dxa"/>
              <w:start w:w="110" w:type="dxa"/>
              <w:bottom w:w="100" w:type="dxa"/>
              <w:end w:w="110" w:type="dxa"/>
            </w:tcMar>
            <w:vAlign w:val="center"/>
          </w:tcPr>
          <w:p>
            <w:r>
              <w:rPr>
                <w:rFonts w:ascii="Aptos" w:hAnsi="Aptos"/>
                <w:color w:val="192026"/>
                <w:sz w:val="17"/>
              </w:rPr>
              <w:t>Domain services</w:t>
            </w:r>
          </w:p>
        </w:tc>
        <w:tc>
          <w:tcPr>
            <w:tcW w:type="dxa" w:w="4536"/>
            <w:tcMar>
              <w:top w:w="100" w:type="dxa"/>
              <w:start w:w="110" w:type="dxa"/>
              <w:bottom w:w="100" w:type="dxa"/>
              <w:end w:w="110" w:type="dxa"/>
            </w:tcMar>
            <w:vAlign w:val="center"/>
          </w:tcPr>
          <w:p>
            <w:r>
              <w:rPr>
                <w:rFonts w:ascii="Aptos" w:hAnsi="Aptos"/>
                <w:color w:val="192026"/>
                <w:sz w:val="17"/>
              </w:rPr>
              <w:t>Certificates, issues, payments, bookings, participation</w:t>
            </w:r>
          </w:p>
        </w:tc>
        <w:tc>
          <w:tcPr>
            <w:tcW w:type="dxa" w:w="3456"/>
            <w:tcMar>
              <w:top w:w="100" w:type="dxa"/>
              <w:start w:w="110" w:type="dxa"/>
              <w:bottom w:w="100" w:type="dxa"/>
              <w:end w:w="110" w:type="dxa"/>
            </w:tcMar>
            <w:vAlign w:val="center"/>
          </w:tcPr>
          <w:p>
            <w:r>
              <w:rPr>
                <w:rFonts w:ascii="Aptos" w:hAnsi="Aptos"/>
                <w:color w:val="192026"/>
                <w:sz w:val="17"/>
              </w:rPr>
              <w:t>Clear ownership and bounded data</w:t>
            </w:r>
          </w:p>
        </w:tc>
      </w:tr>
      <w:tr>
        <w:tc>
          <w:tcPr>
            <w:tcW w:type="dxa" w:w="1800"/>
            <w:shd w:fill="EEF4F7"/>
            <w:tcMar>
              <w:top w:w="100" w:type="dxa"/>
              <w:start w:w="110" w:type="dxa"/>
              <w:bottom w:w="100" w:type="dxa"/>
              <w:end w:w="110" w:type="dxa"/>
            </w:tcMar>
            <w:vAlign w:val="center"/>
          </w:tcPr>
          <w:p>
            <w:r>
              <w:rPr>
                <w:rFonts w:ascii="Aptos" w:hAnsi="Aptos"/>
                <w:color w:val="192026"/>
                <w:sz w:val="17"/>
              </w:rPr>
              <w:t>Integration</w:t>
            </w:r>
          </w:p>
        </w:tc>
        <w:tc>
          <w:tcPr>
            <w:tcW w:type="dxa" w:w="4536"/>
            <w:shd w:fill="EEF4F7"/>
            <w:tcMar>
              <w:top w:w="100" w:type="dxa"/>
              <w:start w:w="110" w:type="dxa"/>
              <w:bottom w:w="100" w:type="dxa"/>
              <w:end w:w="110" w:type="dxa"/>
            </w:tcMar>
            <w:vAlign w:val="center"/>
          </w:tcPr>
          <w:p>
            <w:r>
              <w:rPr>
                <w:rFonts w:ascii="Aptos" w:hAnsi="Aptos"/>
                <w:color w:val="192026"/>
                <w:sz w:val="17"/>
              </w:rPr>
              <w:t>Workflow, adapters, queues, API contracts</w:t>
            </w:r>
          </w:p>
        </w:tc>
        <w:tc>
          <w:tcPr>
            <w:tcW w:type="dxa" w:w="3456"/>
            <w:shd w:fill="EEF4F7"/>
            <w:tcMar>
              <w:top w:w="100" w:type="dxa"/>
              <w:start w:w="110" w:type="dxa"/>
              <w:bottom w:w="100" w:type="dxa"/>
              <w:end w:w="110" w:type="dxa"/>
            </w:tcMar>
            <w:vAlign w:val="center"/>
          </w:tcPr>
          <w:p>
            <w:r>
              <w:rPr>
                <w:rFonts w:ascii="Aptos" w:hAnsi="Aptos"/>
                <w:color w:val="192026"/>
                <w:sz w:val="17"/>
              </w:rPr>
              <w:t>Legacy failure, retries and reconciliation</w:t>
            </w:r>
          </w:p>
        </w:tc>
      </w:tr>
      <w:tr>
        <w:tc>
          <w:tcPr>
            <w:tcW w:type="dxa" w:w="1800"/>
            <w:tcMar>
              <w:top w:w="100" w:type="dxa"/>
              <w:start w:w="110" w:type="dxa"/>
              <w:bottom w:w="100" w:type="dxa"/>
              <w:end w:w="110" w:type="dxa"/>
            </w:tcMar>
            <w:vAlign w:val="center"/>
          </w:tcPr>
          <w:p>
            <w:r>
              <w:rPr>
                <w:rFonts w:ascii="Aptos" w:hAnsi="Aptos"/>
                <w:color w:val="192026"/>
                <w:sz w:val="17"/>
              </w:rPr>
              <w:t>External systems</w:t>
            </w:r>
          </w:p>
        </w:tc>
        <w:tc>
          <w:tcPr>
            <w:tcW w:type="dxa" w:w="4536"/>
            <w:tcMar>
              <w:top w:w="100" w:type="dxa"/>
              <w:start w:w="110" w:type="dxa"/>
              <w:bottom w:w="100" w:type="dxa"/>
              <w:end w:w="110" w:type="dxa"/>
            </w:tcMar>
            <w:vAlign w:val="center"/>
          </w:tcPr>
          <w:p>
            <w:r>
              <w:rPr>
                <w:rFonts w:ascii="Aptos" w:hAnsi="Aptos"/>
                <w:color w:val="192026"/>
                <w:sz w:val="17"/>
              </w:rPr>
              <w:t>Municipal ERP and registries, trusted identity, payment provider, public-sector interoperability</w:t>
            </w:r>
          </w:p>
        </w:tc>
        <w:tc>
          <w:tcPr>
            <w:tcW w:type="dxa" w:w="3456"/>
            <w:tcMar>
              <w:top w:w="100" w:type="dxa"/>
              <w:start w:w="110" w:type="dxa"/>
              <w:bottom w:w="100" w:type="dxa"/>
              <w:end w:w="110" w:type="dxa"/>
            </w:tcMar>
            <w:vAlign w:val="center"/>
          </w:tcPr>
          <w:p>
            <w:r>
              <w:rPr>
                <w:rFonts w:ascii="Aptos" w:hAnsi="Aptos"/>
                <w:color w:val="192026"/>
                <w:sz w:val="17"/>
              </w:rPr>
              <w:t>Authority, data quality and supplier responsibility</w:t>
            </w:r>
          </w:p>
        </w:tc>
      </w:tr>
      <w:tr>
        <w:tc>
          <w:tcPr>
            <w:tcW w:type="dxa" w:w="1800"/>
            <w:shd w:fill="EEF4F7"/>
            <w:tcMar>
              <w:top w:w="100" w:type="dxa"/>
              <w:start w:w="110" w:type="dxa"/>
              <w:bottom w:w="100" w:type="dxa"/>
              <w:end w:w="110" w:type="dxa"/>
            </w:tcMar>
            <w:vAlign w:val="center"/>
          </w:tcPr>
          <w:p>
            <w:r>
              <w:rPr>
                <w:rFonts w:ascii="Aptos" w:hAnsi="Aptos"/>
                <w:color w:val="192026"/>
                <w:sz w:val="17"/>
              </w:rPr>
              <w:t>Data and operations</w:t>
            </w:r>
          </w:p>
        </w:tc>
        <w:tc>
          <w:tcPr>
            <w:tcW w:type="dxa" w:w="4536"/>
            <w:shd w:fill="EEF4F7"/>
            <w:tcMar>
              <w:top w:w="100" w:type="dxa"/>
              <w:start w:w="110" w:type="dxa"/>
              <w:bottom w:w="100" w:type="dxa"/>
              <w:end w:w="110" w:type="dxa"/>
            </w:tcMar>
            <w:vAlign w:val="center"/>
          </w:tcPr>
          <w:p>
            <w:r>
              <w:rPr>
                <w:rFonts w:ascii="Aptos" w:hAnsi="Aptos"/>
                <w:color w:val="192026"/>
                <w:sz w:val="17"/>
              </w:rPr>
              <w:t>Operational records, documents, audit logs, monitoring, SIEM, backup</w:t>
            </w:r>
          </w:p>
        </w:tc>
        <w:tc>
          <w:tcPr>
            <w:tcW w:type="dxa" w:w="3456"/>
            <w:shd w:fill="EEF4F7"/>
            <w:tcMar>
              <w:top w:w="100" w:type="dxa"/>
              <w:start w:w="110" w:type="dxa"/>
              <w:bottom w:w="100" w:type="dxa"/>
              <w:end w:w="110" w:type="dxa"/>
            </w:tcMar>
            <w:vAlign w:val="center"/>
          </w:tcPr>
          <w:p>
            <w:r>
              <w:rPr>
                <w:rFonts w:ascii="Aptos" w:hAnsi="Aptos"/>
                <w:color w:val="192026"/>
                <w:sz w:val="17"/>
              </w:rPr>
              <w:t>Retention, evidence integrity and recovery</w:t>
            </w:r>
          </w:p>
        </w:tc>
      </w:tr>
    </w:tbl>
    <w:p>
      <w:pPr>
        <w:spacing w:after="0"/>
      </w:pPr>
    </w:p>
    <w:p>
      <w:pPr>
        <w:pStyle w:val="Heading2"/>
        <w:keepNext/>
      </w:pPr>
      <w:r>
        <w:t>Key architecture decisions</w:t>
      </w:r>
    </w:p>
    <w:p>
      <w:pPr>
        <w:pStyle w:val="ListBullet"/>
        <w:spacing w:after="80" w:line="245" w:lineRule="auto"/>
      </w:pPr>
      <w:r>
        <w:t>Use versioned APIs and contract tests instead of direct database coupling.</w:t>
      </w:r>
    </w:p>
    <w:p>
      <w:pPr>
        <w:pStyle w:val="ListBullet"/>
        <w:spacing w:after="80" w:line="245" w:lineRule="auto"/>
      </w:pPr>
      <w:r>
        <w:t>Keep payment-card handling with a qualified payment provider through a hosted flow.</w:t>
      </w:r>
    </w:p>
    <w:p>
      <w:pPr>
        <w:pStyle w:val="ListBullet"/>
        <w:spacing w:after="80" w:line="245" w:lineRule="auto"/>
      </w:pPr>
      <w:r>
        <w:t>Centralise audit events while limiting who can access the audit trail.</w:t>
      </w:r>
    </w:p>
    <w:p>
      <w:pPr>
        <w:pStyle w:val="ListBullet"/>
        <w:spacing w:after="80" w:line="245" w:lineRule="auto"/>
      </w:pPr>
      <w:r>
        <w:t>Apply service-specific retention and deletion rather than one global indefinite archive.</w:t>
      </w:r>
    </w:p>
    <w:p>
      <w:pPr>
        <w:pStyle w:val="ListBullet"/>
        <w:spacing w:after="80" w:line="245" w:lineRule="auto"/>
      </w:pPr>
      <w:r>
        <w:t>Design export and supplier exit before signing the delivery contract.</w:t>
      </w:r>
    </w:p>
    <w:p>
      <w:r>
        <w:br w:type="page"/>
      </w:r>
    </w:p>
    <w:p>
      <w:pPr>
        <w:pStyle w:val="Heading1"/>
        <w:keepNext/>
      </w:pPr>
      <w:r>
        <w:t>Security, privacy and resilience</w:t>
      </w:r>
    </w:p>
    <w:p>
      <w:pPr>
        <w:spacing w:after="140" w:line="259" w:lineRule="auto"/>
      </w:pPr>
      <w:r>
        <w:t>Public digital services concentrate identity, financial and case-management data. The design therefore treats trust, availability and accountability as service outcomes. ENISA's public-administration threat landscape reinforces the need to plan for disruptive incidents and data compromise rather than relying only on preventive controls.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672"/>
            <w:shd w:fill="16324F"/>
            <w:tcMar>
              <w:top w:w="100" w:type="dxa"/>
              <w:start w:w="110" w:type="dxa"/>
              <w:bottom w:w="100" w:type="dxa"/>
              <w:end w:w="110" w:type="dxa"/>
            </w:tcMar>
            <w:vAlign w:val="center"/>
          </w:tcPr>
          <w:p>
            <w:pPr>
              <w:jc w:val="center"/>
            </w:pPr>
            <w:r>
              <w:rPr>
                <w:rFonts w:ascii="Aptos" w:hAnsi="Aptos"/>
                <w:b/>
                <w:color w:val="FFFFFF"/>
                <w:sz w:val="16"/>
              </w:rPr>
              <w:t>Risk</w:t>
            </w:r>
          </w:p>
        </w:tc>
        <w:tc>
          <w:tcPr>
            <w:tcW w:type="dxa" w:w="1224"/>
            <w:shd w:fill="16324F"/>
            <w:tcMar>
              <w:top w:w="100" w:type="dxa"/>
              <w:start w:w="110" w:type="dxa"/>
              <w:bottom w:w="100" w:type="dxa"/>
              <w:end w:w="110" w:type="dxa"/>
            </w:tcMar>
            <w:vAlign w:val="center"/>
          </w:tcPr>
          <w:p>
            <w:pPr>
              <w:jc w:val="center"/>
            </w:pPr>
            <w:r>
              <w:rPr>
                <w:rFonts w:ascii="Aptos" w:hAnsi="Aptos"/>
                <w:b/>
                <w:color w:val="FFFFFF"/>
                <w:sz w:val="16"/>
              </w:rPr>
              <w:t>Likelihood</w:t>
            </w:r>
          </w:p>
        </w:tc>
        <w:tc>
          <w:tcPr>
            <w:tcW w:type="dxa" w:w="1080"/>
            <w:shd w:fill="16324F"/>
            <w:tcMar>
              <w:top w:w="100" w:type="dxa"/>
              <w:start w:w="110" w:type="dxa"/>
              <w:bottom w:w="100" w:type="dxa"/>
              <w:end w:w="110" w:type="dxa"/>
            </w:tcMar>
            <w:vAlign w:val="center"/>
          </w:tcPr>
          <w:p>
            <w:pPr>
              <w:jc w:val="center"/>
            </w:pPr>
            <w:r>
              <w:rPr>
                <w:rFonts w:ascii="Aptos" w:hAnsi="Aptos"/>
                <w:b/>
                <w:color w:val="FFFFFF"/>
                <w:sz w:val="16"/>
              </w:rPr>
              <w:t>Impact</w:t>
            </w:r>
          </w:p>
        </w:tc>
        <w:tc>
          <w:tcPr>
            <w:tcW w:type="dxa" w:w="3888"/>
            <w:shd w:fill="16324F"/>
            <w:tcMar>
              <w:top w:w="100" w:type="dxa"/>
              <w:start w:w="110" w:type="dxa"/>
              <w:bottom w:w="100" w:type="dxa"/>
              <w:end w:w="110" w:type="dxa"/>
            </w:tcMar>
            <w:vAlign w:val="center"/>
          </w:tcPr>
          <w:p>
            <w:pPr>
              <w:jc w:val="center"/>
            </w:pPr>
            <w:r>
              <w:rPr>
                <w:rFonts w:ascii="Aptos" w:hAnsi="Aptos"/>
                <w:b/>
                <w:color w:val="FFFFFF"/>
                <w:sz w:val="16"/>
              </w:rPr>
              <w:t>Required evidence</w:t>
            </w:r>
          </w:p>
        </w:tc>
      </w:tr>
      <w:tr>
        <w:tc>
          <w:tcPr>
            <w:tcW w:type="dxa" w:w="3672"/>
            <w:tcMar>
              <w:top w:w="100" w:type="dxa"/>
              <w:start w:w="110" w:type="dxa"/>
              <w:bottom w:w="100" w:type="dxa"/>
              <w:end w:w="110" w:type="dxa"/>
            </w:tcMar>
            <w:vAlign w:val="center"/>
          </w:tcPr>
          <w:p>
            <w:r>
              <w:rPr>
                <w:rFonts w:ascii="Aptos" w:hAnsi="Aptos"/>
                <w:color w:val="192026"/>
                <w:sz w:val="16"/>
              </w:rPr>
              <w:t>Identity fraud or account takeover</w:t>
            </w:r>
          </w:p>
        </w:tc>
        <w:tc>
          <w:tcPr>
            <w:tcW w:type="dxa" w:w="1224"/>
            <w:tcMar>
              <w:top w:w="100" w:type="dxa"/>
              <w:start w:w="110" w:type="dxa"/>
              <w:bottom w:w="100" w:type="dxa"/>
              <w:end w:w="110" w:type="dxa"/>
            </w:tcMar>
            <w:vAlign w:val="center"/>
          </w:tcPr>
          <w:p>
            <w:r>
              <w:rPr>
                <w:rFonts w:ascii="Aptos" w:hAnsi="Aptos"/>
                <w:color w:val="192026"/>
                <w:sz w:val="16"/>
              </w:rPr>
              <w:t>High</w:t>
            </w:r>
          </w:p>
        </w:tc>
        <w:tc>
          <w:tcPr>
            <w:tcW w:type="dxa" w:w="1080"/>
            <w:tcMar>
              <w:top w:w="100" w:type="dxa"/>
              <w:start w:w="110" w:type="dxa"/>
              <w:bottom w:w="100" w:type="dxa"/>
              <w:end w:w="110" w:type="dxa"/>
            </w:tcMar>
            <w:vAlign w:val="center"/>
          </w:tcPr>
          <w:p>
            <w:r>
              <w:rPr>
                <w:rFonts w:ascii="Aptos" w:hAnsi="Aptos"/>
                <w:color w:val="192026"/>
                <w:sz w:val="16"/>
              </w:rPr>
              <w:t>High</w:t>
            </w:r>
          </w:p>
        </w:tc>
        <w:tc>
          <w:tcPr>
            <w:tcW w:type="dxa" w:w="3888"/>
            <w:tcMar>
              <w:top w:w="100" w:type="dxa"/>
              <w:start w:w="110" w:type="dxa"/>
              <w:bottom w:w="100" w:type="dxa"/>
              <w:end w:w="110" w:type="dxa"/>
            </w:tcMar>
            <w:vAlign w:val="center"/>
          </w:tcPr>
          <w:p>
            <w:r>
              <w:rPr>
                <w:rFonts w:ascii="Aptos" w:hAnsi="Aptos"/>
                <w:color w:val="192026"/>
                <w:sz w:val="16"/>
              </w:rPr>
              <w:t>IAM configuration; authentication logs</w:t>
            </w:r>
          </w:p>
        </w:tc>
      </w:tr>
      <w:tr>
        <w:tc>
          <w:tcPr>
            <w:tcW w:type="dxa" w:w="3672"/>
            <w:shd w:fill="EEF4F7"/>
            <w:tcMar>
              <w:top w:w="100" w:type="dxa"/>
              <w:start w:w="110" w:type="dxa"/>
              <w:bottom w:w="100" w:type="dxa"/>
              <w:end w:w="110" w:type="dxa"/>
            </w:tcMar>
            <w:vAlign w:val="center"/>
          </w:tcPr>
          <w:p>
            <w:r>
              <w:rPr>
                <w:rFonts w:ascii="Aptos" w:hAnsi="Aptos"/>
                <w:color w:val="192026"/>
                <w:sz w:val="16"/>
              </w:rPr>
              <w:t>Excessive collection or retention of personal data</w:t>
            </w:r>
          </w:p>
        </w:tc>
        <w:tc>
          <w:tcPr>
            <w:tcW w:type="dxa" w:w="1224"/>
            <w:shd w:fill="EEF4F7"/>
            <w:tcMar>
              <w:top w:w="100" w:type="dxa"/>
              <w:start w:w="110" w:type="dxa"/>
              <w:bottom w:w="100" w:type="dxa"/>
              <w:end w:w="110" w:type="dxa"/>
            </w:tcMar>
            <w:vAlign w:val="center"/>
          </w:tcPr>
          <w:p>
            <w:r>
              <w:rPr>
                <w:rFonts w:ascii="Aptos" w:hAnsi="Aptos"/>
                <w:color w:val="192026"/>
                <w:sz w:val="16"/>
              </w:rPr>
              <w:t>Medium</w:t>
            </w:r>
          </w:p>
        </w:tc>
        <w:tc>
          <w:tcPr>
            <w:tcW w:type="dxa" w:w="1080"/>
            <w:shd w:fill="EEF4F7"/>
            <w:tcMar>
              <w:top w:w="100" w:type="dxa"/>
              <w:start w:w="110" w:type="dxa"/>
              <w:bottom w:w="100" w:type="dxa"/>
              <w:end w:w="110" w:type="dxa"/>
            </w:tcMar>
            <w:vAlign w:val="center"/>
          </w:tcPr>
          <w:p>
            <w:r>
              <w:rPr>
                <w:rFonts w:ascii="Aptos" w:hAnsi="Aptos"/>
                <w:color w:val="192026"/>
                <w:sz w:val="16"/>
              </w:rPr>
              <w:t>High</w:t>
            </w:r>
          </w:p>
        </w:tc>
        <w:tc>
          <w:tcPr>
            <w:tcW w:type="dxa" w:w="3888"/>
            <w:shd w:fill="EEF4F7"/>
            <w:tcMar>
              <w:top w:w="100" w:type="dxa"/>
              <w:start w:w="110" w:type="dxa"/>
              <w:bottom w:w="100" w:type="dxa"/>
              <w:end w:w="110" w:type="dxa"/>
            </w:tcMar>
            <w:vAlign w:val="center"/>
          </w:tcPr>
          <w:p>
            <w:r>
              <w:rPr>
                <w:rFonts w:ascii="Aptos" w:hAnsi="Aptos"/>
                <w:color w:val="192026"/>
                <w:sz w:val="16"/>
              </w:rPr>
              <w:t>Record of processing; retention evidence</w:t>
            </w:r>
          </w:p>
        </w:tc>
      </w:tr>
      <w:tr>
        <w:tc>
          <w:tcPr>
            <w:tcW w:type="dxa" w:w="3672"/>
            <w:tcMar>
              <w:top w:w="100" w:type="dxa"/>
              <w:start w:w="110" w:type="dxa"/>
              <w:bottom w:w="100" w:type="dxa"/>
              <w:end w:w="110" w:type="dxa"/>
            </w:tcMar>
            <w:vAlign w:val="center"/>
          </w:tcPr>
          <w:p>
            <w:r>
              <w:rPr>
                <w:rFonts w:ascii="Aptos" w:hAnsi="Aptos"/>
                <w:color w:val="192026"/>
                <w:sz w:val="16"/>
              </w:rPr>
              <w:t>Legacy integration failure or inaccurate data exchange</w:t>
            </w:r>
          </w:p>
        </w:tc>
        <w:tc>
          <w:tcPr>
            <w:tcW w:type="dxa" w:w="1224"/>
            <w:tcMar>
              <w:top w:w="100" w:type="dxa"/>
              <w:start w:w="110" w:type="dxa"/>
              <w:bottom w:w="100" w:type="dxa"/>
              <w:end w:w="110" w:type="dxa"/>
            </w:tcMar>
            <w:vAlign w:val="center"/>
          </w:tcPr>
          <w:p>
            <w:r>
              <w:rPr>
                <w:rFonts w:ascii="Aptos" w:hAnsi="Aptos"/>
                <w:color w:val="192026"/>
                <w:sz w:val="16"/>
              </w:rPr>
              <w:t>High</w:t>
            </w:r>
          </w:p>
        </w:tc>
        <w:tc>
          <w:tcPr>
            <w:tcW w:type="dxa" w:w="1080"/>
            <w:tcMar>
              <w:top w:w="100" w:type="dxa"/>
              <w:start w:w="110" w:type="dxa"/>
              <w:bottom w:w="100" w:type="dxa"/>
              <w:end w:w="110" w:type="dxa"/>
            </w:tcMar>
            <w:vAlign w:val="center"/>
          </w:tcPr>
          <w:p>
            <w:r>
              <w:rPr>
                <w:rFonts w:ascii="Aptos" w:hAnsi="Aptos"/>
                <w:color w:val="192026"/>
                <w:sz w:val="16"/>
              </w:rPr>
              <w:t>High</w:t>
            </w:r>
          </w:p>
        </w:tc>
        <w:tc>
          <w:tcPr>
            <w:tcW w:type="dxa" w:w="3888"/>
            <w:tcMar>
              <w:top w:w="100" w:type="dxa"/>
              <w:start w:w="110" w:type="dxa"/>
              <w:bottom w:w="100" w:type="dxa"/>
              <w:end w:w="110" w:type="dxa"/>
            </w:tcMar>
            <w:vAlign w:val="center"/>
          </w:tcPr>
          <w:p>
            <w:r>
              <w:rPr>
                <w:rFonts w:ascii="Aptos" w:hAnsi="Aptos"/>
                <w:color w:val="192026"/>
                <w:sz w:val="16"/>
              </w:rPr>
              <w:t>Interface tests; reconciliation reports</w:t>
            </w:r>
          </w:p>
        </w:tc>
      </w:tr>
      <w:tr>
        <w:tc>
          <w:tcPr>
            <w:tcW w:type="dxa" w:w="3672"/>
            <w:shd w:fill="EEF4F7"/>
            <w:tcMar>
              <w:top w:w="100" w:type="dxa"/>
              <w:start w:w="110" w:type="dxa"/>
              <w:bottom w:w="100" w:type="dxa"/>
              <w:end w:w="110" w:type="dxa"/>
            </w:tcMar>
            <w:vAlign w:val="center"/>
          </w:tcPr>
          <w:p>
            <w:r>
              <w:rPr>
                <w:rFonts w:ascii="Aptos" w:hAnsi="Aptos"/>
                <w:color w:val="192026"/>
                <w:sz w:val="16"/>
              </w:rPr>
              <w:t>Service outage or destructive cyber incident</w:t>
            </w:r>
          </w:p>
        </w:tc>
        <w:tc>
          <w:tcPr>
            <w:tcW w:type="dxa" w:w="1224"/>
            <w:shd w:fill="EEF4F7"/>
            <w:tcMar>
              <w:top w:w="100" w:type="dxa"/>
              <w:start w:w="110" w:type="dxa"/>
              <w:bottom w:w="100" w:type="dxa"/>
              <w:end w:w="110" w:type="dxa"/>
            </w:tcMar>
            <w:vAlign w:val="center"/>
          </w:tcPr>
          <w:p>
            <w:r>
              <w:rPr>
                <w:rFonts w:ascii="Aptos" w:hAnsi="Aptos"/>
                <w:color w:val="192026"/>
                <w:sz w:val="16"/>
              </w:rPr>
              <w:t>Medium</w:t>
            </w:r>
          </w:p>
        </w:tc>
        <w:tc>
          <w:tcPr>
            <w:tcW w:type="dxa" w:w="1080"/>
            <w:shd w:fill="EEF4F7"/>
            <w:tcMar>
              <w:top w:w="100" w:type="dxa"/>
              <w:start w:w="110" w:type="dxa"/>
              <w:bottom w:w="100" w:type="dxa"/>
              <w:end w:w="110" w:type="dxa"/>
            </w:tcMar>
            <w:vAlign w:val="center"/>
          </w:tcPr>
          <w:p>
            <w:r>
              <w:rPr>
                <w:rFonts w:ascii="Aptos" w:hAnsi="Aptos"/>
                <w:color w:val="192026"/>
                <w:sz w:val="16"/>
              </w:rPr>
              <w:t>High</w:t>
            </w:r>
          </w:p>
        </w:tc>
        <w:tc>
          <w:tcPr>
            <w:tcW w:type="dxa" w:w="3888"/>
            <w:shd w:fill="EEF4F7"/>
            <w:tcMar>
              <w:top w:w="100" w:type="dxa"/>
              <w:start w:w="110" w:type="dxa"/>
              <w:bottom w:w="100" w:type="dxa"/>
              <w:end w:w="110" w:type="dxa"/>
            </w:tcMar>
            <w:vAlign w:val="center"/>
          </w:tcPr>
          <w:p>
            <w:r>
              <w:rPr>
                <w:rFonts w:ascii="Aptos" w:hAnsi="Aptos"/>
                <w:color w:val="192026"/>
                <w:sz w:val="16"/>
              </w:rPr>
              <w:t>Restore tests; incident exercises</w:t>
            </w:r>
          </w:p>
        </w:tc>
      </w:tr>
      <w:tr>
        <w:tc>
          <w:tcPr>
            <w:tcW w:type="dxa" w:w="3672"/>
            <w:tcMar>
              <w:top w:w="100" w:type="dxa"/>
              <w:start w:w="110" w:type="dxa"/>
              <w:bottom w:w="100" w:type="dxa"/>
              <w:end w:w="110" w:type="dxa"/>
            </w:tcMar>
            <w:vAlign w:val="center"/>
          </w:tcPr>
          <w:p>
            <w:r>
              <w:rPr>
                <w:rFonts w:ascii="Aptos" w:hAnsi="Aptos"/>
                <w:color w:val="192026"/>
                <w:sz w:val="16"/>
              </w:rPr>
              <w:t>Inaccessible service excludes residents</w:t>
            </w:r>
          </w:p>
        </w:tc>
        <w:tc>
          <w:tcPr>
            <w:tcW w:type="dxa" w:w="1224"/>
            <w:tcMar>
              <w:top w:w="100" w:type="dxa"/>
              <w:start w:w="110" w:type="dxa"/>
              <w:bottom w:w="100" w:type="dxa"/>
              <w:end w:w="110" w:type="dxa"/>
            </w:tcMar>
            <w:vAlign w:val="center"/>
          </w:tcPr>
          <w:p>
            <w:r>
              <w:rPr>
                <w:rFonts w:ascii="Aptos" w:hAnsi="Aptos"/>
                <w:color w:val="192026"/>
                <w:sz w:val="16"/>
              </w:rPr>
              <w:t>Medium</w:t>
            </w:r>
          </w:p>
        </w:tc>
        <w:tc>
          <w:tcPr>
            <w:tcW w:type="dxa" w:w="1080"/>
            <w:tcMar>
              <w:top w:w="100" w:type="dxa"/>
              <w:start w:w="110" w:type="dxa"/>
              <w:bottom w:w="100" w:type="dxa"/>
              <w:end w:w="110" w:type="dxa"/>
            </w:tcMar>
            <w:vAlign w:val="center"/>
          </w:tcPr>
          <w:p>
            <w:r>
              <w:rPr>
                <w:rFonts w:ascii="Aptos" w:hAnsi="Aptos"/>
                <w:color w:val="192026"/>
                <w:sz w:val="16"/>
              </w:rPr>
              <w:t>High</w:t>
            </w:r>
          </w:p>
        </w:tc>
        <w:tc>
          <w:tcPr>
            <w:tcW w:type="dxa" w:w="3888"/>
            <w:tcMar>
              <w:top w:w="100" w:type="dxa"/>
              <w:start w:w="110" w:type="dxa"/>
              <w:bottom w:w="100" w:type="dxa"/>
              <w:end w:w="110" w:type="dxa"/>
            </w:tcMar>
            <w:vAlign w:val="center"/>
          </w:tcPr>
          <w:p>
            <w:r>
              <w:rPr>
                <w:rFonts w:ascii="Aptos" w:hAnsi="Aptos"/>
                <w:color w:val="192026"/>
                <w:sz w:val="16"/>
              </w:rPr>
              <w:t>Audit results; user testing</w:t>
            </w:r>
          </w:p>
        </w:tc>
      </w:tr>
      <w:tr>
        <w:tc>
          <w:tcPr>
            <w:tcW w:type="dxa" w:w="3672"/>
            <w:shd w:fill="EEF4F7"/>
            <w:tcMar>
              <w:top w:w="100" w:type="dxa"/>
              <w:start w:w="110" w:type="dxa"/>
              <w:bottom w:w="100" w:type="dxa"/>
              <w:end w:w="110" w:type="dxa"/>
            </w:tcMar>
            <w:vAlign w:val="center"/>
          </w:tcPr>
          <w:p>
            <w:r>
              <w:rPr>
                <w:rFonts w:ascii="Aptos" w:hAnsi="Aptos"/>
                <w:color w:val="192026"/>
                <w:sz w:val="16"/>
              </w:rPr>
              <w:t>Supplier lock-in and loss of operational knowledge</w:t>
            </w:r>
          </w:p>
        </w:tc>
        <w:tc>
          <w:tcPr>
            <w:tcW w:type="dxa" w:w="1224"/>
            <w:shd w:fill="EEF4F7"/>
            <w:tcMar>
              <w:top w:w="100" w:type="dxa"/>
              <w:start w:w="110" w:type="dxa"/>
              <w:bottom w:w="100" w:type="dxa"/>
              <w:end w:w="110" w:type="dxa"/>
            </w:tcMar>
            <w:vAlign w:val="center"/>
          </w:tcPr>
          <w:p>
            <w:r>
              <w:rPr>
                <w:rFonts w:ascii="Aptos" w:hAnsi="Aptos"/>
                <w:color w:val="192026"/>
                <w:sz w:val="16"/>
              </w:rPr>
              <w:t>High</w:t>
            </w:r>
          </w:p>
        </w:tc>
        <w:tc>
          <w:tcPr>
            <w:tcW w:type="dxa" w:w="1080"/>
            <w:shd w:fill="EEF4F7"/>
            <w:tcMar>
              <w:top w:w="100" w:type="dxa"/>
              <w:start w:w="110" w:type="dxa"/>
              <w:bottom w:w="100" w:type="dxa"/>
              <w:end w:w="110" w:type="dxa"/>
            </w:tcMar>
            <w:vAlign w:val="center"/>
          </w:tcPr>
          <w:p>
            <w:r>
              <w:rPr>
                <w:rFonts w:ascii="Aptos" w:hAnsi="Aptos"/>
                <w:color w:val="192026"/>
                <w:sz w:val="16"/>
              </w:rPr>
              <w:t>Medium</w:t>
            </w:r>
          </w:p>
        </w:tc>
        <w:tc>
          <w:tcPr>
            <w:tcW w:type="dxa" w:w="3888"/>
            <w:shd w:fill="EEF4F7"/>
            <w:tcMar>
              <w:top w:w="100" w:type="dxa"/>
              <w:start w:w="110" w:type="dxa"/>
              <w:bottom w:w="100" w:type="dxa"/>
              <w:end w:w="110" w:type="dxa"/>
            </w:tcMar>
            <w:vAlign w:val="center"/>
          </w:tcPr>
          <w:p>
            <w:r>
              <w:rPr>
                <w:rFonts w:ascii="Aptos" w:hAnsi="Aptos"/>
                <w:color w:val="192026"/>
                <w:sz w:val="16"/>
              </w:rPr>
              <w:t>Exit plan; architecture decision records</w:t>
            </w:r>
          </w:p>
        </w:tc>
      </w:tr>
    </w:tbl>
    <w:p>
      <w:pPr>
        <w:spacing w:after="0"/>
      </w:pPr>
    </w:p>
    <w:p>
      <w:pPr>
        <w:pStyle w:val="Heading2"/>
        <w:keepNext/>
      </w:pPr>
      <w:r>
        <w:t>Control baseline</w:t>
      </w:r>
    </w:p>
    <w:p>
      <w:pPr>
        <w:pStyle w:val="ListBullet"/>
        <w:spacing w:after="80" w:line="245" w:lineRule="auto"/>
      </w:pPr>
      <w:r>
        <w:t>MFA for staff, least privilege, protected account recovery and periodic access review.</w:t>
      </w:r>
    </w:p>
    <w:p>
      <w:pPr>
        <w:pStyle w:val="ListBullet"/>
        <w:spacing w:after="80" w:line="245" w:lineRule="auto"/>
      </w:pPr>
      <w:r>
        <w:t>Encryption in transit and at rest with managed keys and documented key ownership.</w:t>
      </w:r>
    </w:p>
    <w:p>
      <w:pPr>
        <w:pStyle w:val="ListBullet"/>
        <w:spacing w:after="80" w:line="245" w:lineRule="auto"/>
      </w:pPr>
      <w:r>
        <w:t>Privacy records, lawful basis, minimisation, retention, deletion and DPIA where required.</w:t>
      </w:r>
    </w:p>
    <w:p>
      <w:pPr>
        <w:pStyle w:val="ListBullet"/>
        <w:spacing w:after="80" w:line="245" w:lineRule="auto"/>
      </w:pPr>
      <w:r>
        <w:t>Central monitoring, protected logs, tested backup restoration and incident exercises.</w:t>
      </w:r>
    </w:p>
    <w:p>
      <w:pPr>
        <w:pStyle w:val="ListBullet"/>
        <w:spacing w:after="80" w:line="245" w:lineRule="auto"/>
      </w:pPr>
      <w:r>
        <w:t>Supplier vulnerability handling, incident notification, audit rights and exit obligations.</w:t>
      </w:r>
    </w:p>
    <w:p>
      <w:r>
        <w:br w:type="page"/>
      </w:r>
    </w:p>
    <w:p>
      <w:pPr>
        <w:pStyle w:val="Heading1"/>
        <w:keepNext/>
      </w:pPr>
      <w:r>
        <w:t>Accessibility and inclusive service</w:t>
      </w:r>
    </w:p>
    <w:p>
      <w:pPr>
        <w:spacing w:after="140" w:line="259" w:lineRule="auto"/>
      </w:pPr>
      <w:r>
        <w:t>The EU Web Accessibility Directive requires public-sector websites and mobile applications to be perceivable, operable, understandable and robust, subject to its scope and national implementation. Accessibility must therefore appear in procurement, design, acceptance and ongoing monitoring rather than as a final visual review.</w:t>
      </w:r>
    </w:p>
    <w:p>
      <w:pPr>
        <w:pStyle w:val="Heading2"/>
        <w:keepNext/>
      </w:pPr>
      <w:r>
        <w:t>Acceptance approach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6324F"/>
            <w:tcMar>
              <w:top w:w="100" w:type="dxa"/>
              <w:start w:w="110" w:type="dxa"/>
              <w:bottom w:w="100" w:type="dxa"/>
              <w:end w:w="110" w:type="dxa"/>
            </w:tcMar>
            <w:vAlign w:val="center"/>
          </w:tcPr>
          <w:p>
            <w:pPr>
              <w:jc w:val="center"/>
            </w:pPr>
            <w:r>
              <w:rPr>
                <w:rFonts w:ascii="Aptos" w:hAnsi="Aptos"/>
                <w:b/>
                <w:color w:val="FFFFFF"/>
                <w:sz w:val="18"/>
              </w:rPr>
              <w:t>Area</w:t>
            </w:r>
          </w:p>
        </w:tc>
        <w:tc>
          <w:tcPr>
            <w:tcW w:type="dxa" w:w="6912"/>
            <w:shd w:fill="16324F"/>
            <w:tcMar>
              <w:top w:w="100" w:type="dxa"/>
              <w:start w:w="110" w:type="dxa"/>
              <w:bottom w:w="100" w:type="dxa"/>
              <w:end w:w="110" w:type="dxa"/>
            </w:tcMar>
            <w:vAlign w:val="center"/>
          </w:tcPr>
          <w:p>
            <w:pPr>
              <w:jc w:val="center"/>
            </w:pPr>
            <w:r>
              <w:rPr>
                <w:rFonts w:ascii="Aptos" w:hAnsi="Aptos"/>
                <w:b/>
                <w:color w:val="FFFFFF"/>
                <w:sz w:val="18"/>
              </w:rPr>
              <w:t>Evidence before launch</w:t>
            </w:r>
          </w:p>
        </w:tc>
      </w:tr>
      <w:tr>
        <w:tc>
          <w:tcPr>
            <w:tcW w:type="dxa" w:w="2880"/>
            <w:tcMar>
              <w:top w:w="100" w:type="dxa"/>
              <w:start w:w="110" w:type="dxa"/>
              <w:bottom w:w="100" w:type="dxa"/>
              <w:end w:w="110" w:type="dxa"/>
            </w:tcMar>
            <w:vAlign w:val="center"/>
          </w:tcPr>
          <w:p>
            <w:r>
              <w:rPr>
                <w:rFonts w:ascii="Aptos" w:hAnsi="Aptos"/>
                <w:color w:val="192026"/>
                <w:sz w:val="18"/>
              </w:rPr>
              <w:t>Structure and navigation</w:t>
            </w:r>
          </w:p>
        </w:tc>
        <w:tc>
          <w:tcPr>
            <w:tcW w:type="dxa" w:w="6912"/>
            <w:tcMar>
              <w:top w:w="100" w:type="dxa"/>
              <w:start w:w="110" w:type="dxa"/>
              <w:bottom w:w="100" w:type="dxa"/>
              <w:end w:w="110" w:type="dxa"/>
            </w:tcMar>
            <w:vAlign w:val="center"/>
          </w:tcPr>
          <w:p>
            <w:r>
              <w:rPr>
                <w:rFonts w:ascii="Aptos" w:hAnsi="Aptos"/>
                <w:color w:val="192026"/>
                <w:sz w:val="18"/>
              </w:rPr>
              <w:t>Keyboard completion, meaningful headings, focus order and visible focus</w:t>
            </w:r>
          </w:p>
        </w:tc>
      </w:tr>
      <w:tr>
        <w:tc>
          <w:tcPr>
            <w:tcW w:type="dxa" w:w="2880"/>
            <w:shd w:fill="EEF4F7"/>
            <w:tcMar>
              <w:top w:w="100" w:type="dxa"/>
              <w:start w:w="110" w:type="dxa"/>
              <w:bottom w:w="100" w:type="dxa"/>
              <w:end w:w="110" w:type="dxa"/>
            </w:tcMar>
            <w:vAlign w:val="center"/>
          </w:tcPr>
          <w:p>
            <w:r>
              <w:rPr>
                <w:rFonts w:ascii="Aptos" w:hAnsi="Aptos"/>
                <w:color w:val="192026"/>
                <w:sz w:val="18"/>
              </w:rPr>
              <w:t>Forms and errors</w:t>
            </w:r>
          </w:p>
        </w:tc>
        <w:tc>
          <w:tcPr>
            <w:tcW w:type="dxa" w:w="6912"/>
            <w:shd w:fill="EEF4F7"/>
            <w:tcMar>
              <w:top w:w="100" w:type="dxa"/>
              <w:start w:w="110" w:type="dxa"/>
              <w:bottom w:w="100" w:type="dxa"/>
              <w:end w:w="110" w:type="dxa"/>
            </w:tcMar>
            <w:vAlign w:val="center"/>
          </w:tcPr>
          <w:p>
            <w:r>
              <w:rPr>
                <w:rFonts w:ascii="Aptos" w:hAnsi="Aptos"/>
                <w:color w:val="192026"/>
                <w:sz w:val="18"/>
              </w:rPr>
              <w:t>Labels, instructions, error identification, recovery and no unnecessary time limits</w:t>
            </w:r>
          </w:p>
        </w:tc>
      </w:tr>
      <w:tr>
        <w:tc>
          <w:tcPr>
            <w:tcW w:type="dxa" w:w="2880"/>
            <w:tcMar>
              <w:top w:w="100" w:type="dxa"/>
              <w:start w:w="110" w:type="dxa"/>
              <w:bottom w:w="100" w:type="dxa"/>
              <w:end w:w="110" w:type="dxa"/>
            </w:tcMar>
            <w:vAlign w:val="center"/>
          </w:tcPr>
          <w:p>
            <w:r>
              <w:rPr>
                <w:rFonts w:ascii="Aptos" w:hAnsi="Aptos"/>
                <w:color w:val="192026"/>
                <w:sz w:val="18"/>
              </w:rPr>
              <w:t>Documents</w:t>
            </w:r>
          </w:p>
        </w:tc>
        <w:tc>
          <w:tcPr>
            <w:tcW w:type="dxa" w:w="6912"/>
            <w:tcMar>
              <w:top w:w="100" w:type="dxa"/>
              <w:start w:w="110" w:type="dxa"/>
              <w:bottom w:w="100" w:type="dxa"/>
              <w:end w:w="110" w:type="dxa"/>
            </w:tcMar>
            <w:vAlign w:val="center"/>
          </w:tcPr>
          <w:p>
            <w:r>
              <w:rPr>
                <w:rFonts w:ascii="Aptos" w:hAnsi="Aptos"/>
                <w:color w:val="192026"/>
                <w:sz w:val="18"/>
              </w:rPr>
              <w:t>Accessible templates, tagged PDFs where used, and an HTML alternative when practical</w:t>
            </w:r>
          </w:p>
        </w:tc>
      </w:tr>
      <w:tr>
        <w:tc>
          <w:tcPr>
            <w:tcW w:type="dxa" w:w="2880"/>
            <w:shd w:fill="EEF4F7"/>
            <w:tcMar>
              <w:top w:w="100" w:type="dxa"/>
              <w:start w:w="110" w:type="dxa"/>
              <w:bottom w:w="100" w:type="dxa"/>
              <w:end w:w="110" w:type="dxa"/>
            </w:tcMar>
            <w:vAlign w:val="center"/>
          </w:tcPr>
          <w:p>
            <w:r>
              <w:rPr>
                <w:rFonts w:ascii="Aptos" w:hAnsi="Aptos"/>
                <w:color w:val="192026"/>
                <w:sz w:val="18"/>
              </w:rPr>
              <w:t>Content</w:t>
            </w:r>
          </w:p>
        </w:tc>
        <w:tc>
          <w:tcPr>
            <w:tcW w:type="dxa" w:w="6912"/>
            <w:shd w:fill="EEF4F7"/>
            <w:tcMar>
              <w:top w:w="100" w:type="dxa"/>
              <w:start w:w="110" w:type="dxa"/>
              <w:bottom w:w="100" w:type="dxa"/>
              <w:end w:w="110" w:type="dxa"/>
            </w:tcMar>
            <w:vAlign w:val="center"/>
          </w:tcPr>
          <w:p>
            <w:r>
              <w:rPr>
                <w:rFonts w:ascii="Aptos" w:hAnsi="Aptos"/>
                <w:color w:val="192026"/>
                <w:sz w:val="18"/>
              </w:rPr>
              <w:t>Plain language, current instructions, contact route and understandable status messages</w:t>
            </w:r>
          </w:p>
        </w:tc>
      </w:tr>
      <w:tr>
        <w:tc>
          <w:tcPr>
            <w:tcW w:type="dxa" w:w="2880"/>
            <w:tcMar>
              <w:top w:w="100" w:type="dxa"/>
              <w:start w:w="110" w:type="dxa"/>
              <w:bottom w:w="100" w:type="dxa"/>
              <w:end w:w="110" w:type="dxa"/>
            </w:tcMar>
            <w:vAlign w:val="center"/>
          </w:tcPr>
          <w:p>
            <w:r>
              <w:rPr>
                <w:rFonts w:ascii="Aptos" w:hAnsi="Aptos"/>
                <w:color w:val="192026"/>
                <w:sz w:val="18"/>
              </w:rPr>
              <w:t>Assisted service</w:t>
            </w:r>
          </w:p>
        </w:tc>
        <w:tc>
          <w:tcPr>
            <w:tcW w:type="dxa" w:w="6912"/>
            <w:tcMar>
              <w:top w:w="100" w:type="dxa"/>
              <w:start w:w="110" w:type="dxa"/>
              <w:bottom w:w="100" w:type="dxa"/>
              <w:end w:w="110" w:type="dxa"/>
            </w:tcMar>
            <w:vAlign w:val="center"/>
          </w:tcPr>
          <w:p>
            <w:r>
              <w:rPr>
                <w:rFonts w:ascii="Aptos" w:hAnsi="Aptos"/>
                <w:color w:val="192026"/>
                <w:sz w:val="18"/>
              </w:rPr>
              <w:t>Staff procedure that can complete the same outcome without penalising the resident</w:t>
            </w:r>
          </w:p>
        </w:tc>
      </w:tr>
      <w:tr>
        <w:tc>
          <w:tcPr>
            <w:tcW w:type="dxa" w:w="2880"/>
            <w:shd w:fill="EEF4F7"/>
            <w:tcMar>
              <w:top w:w="100" w:type="dxa"/>
              <w:start w:w="110" w:type="dxa"/>
              <w:bottom w:w="100" w:type="dxa"/>
              <w:end w:w="110" w:type="dxa"/>
            </w:tcMar>
            <w:vAlign w:val="center"/>
          </w:tcPr>
          <w:p>
            <w:r>
              <w:rPr>
                <w:rFonts w:ascii="Aptos" w:hAnsi="Aptos"/>
                <w:color w:val="192026"/>
                <w:sz w:val="18"/>
              </w:rPr>
              <w:t>Statement and monitoring</w:t>
            </w:r>
          </w:p>
        </w:tc>
        <w:tc>
          <w:tcPr>
            <w:tcW w:type="dxa" w:w="6912"/>
            <w:shd w:fill="EEF4F7"/>
            <w:tcMar>
              <w:top w:w="100" w:type="dxa"/>
              <w:start w:w="110" w:type="dxa"/>
              <w:bottom w:w="100" w:type="dxa"/>
              <w:end w:w="110" w:type="dxa"/>
            </w:tcMar>
            <w:vAlign w:val="center"/>
          </w:tcPr>
          <w:p>
            <w:r>
              <w:rPr>
                <w:rFonts w:ascii="Aptos" w:hAnsi="Aptos"/>
                <w:color w:val="192026"/>
                <w:sz w:val="18"/>
              </w:rPr>
              <w:t>Published accessibility statement, feedback route and remediation ownership</w:t>
            </w:r>
          </w:p>
        </w:tc>
      </w:tr>
    </w:tbl>
    <w:p>
      <w:pPr>
        <w:spacing w:after="0"/>
      </w:pPr>
    </w:p>
    <w:p>
      <w:pPr>
        <w:pStyle w:val="Heading2"/>
        <w:keepNext/>
      </w:pPr>
      <w:r>
        <w:t>Digital inclusion</w:t>
      </w:r>
    </w:p>
    <w:p>
      <w:pPr>
        <w:spacing w:after="140" w:line="259" w:lineRule="auto"/>
      </w:pPr>
      <w:r>
        <w:t>A digital channel should reduce avoidable visits without turning non-digital residents into second-class users. The municipality should track assisted-channel demand, abandonment, failed identity checks and recurring support requests. Service research should include older residents, people with disabilities, residents with limited Greek or limited digital skills, and staff who handle exceptions.</w:t>
      </w:r>
    </w:p>
    <w:p>
      <w:r>
        <w:br w:type="page"/>
      </w:r>
    </w:p>
    <w:p>
      <w:pPr>
        <w:pStyle w:val="Heading1"/>
        <w:keepNext/>
      </w:pPr>
      <w:r>
        <w:t>Governance and sourcing</w:t>
      </w:r>
    </w:p>
    <w:p>
      <w:pPr>
        <w:spacing w:after="140" w:line="259" w:lineRule="auto"/>
      </w:pPr>
      <w:r>
        <w:t>A service requires a stable owner who can change policy, process, content, technology and support as evidence changes. Project governance ends at delivery; service governance continues through operation.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shd w:fill="16324F"/>
            <w:tcMar>
              <w:top w:w="100" w:type="dxa"/>
              <w:start w:w="110" w:type="dxa"/>
              <w:bottom w:w="100" w:type="dxa"/>
              <w:end w:w="110" w:type="dxa"/>
            </w:tcMar>
            <w:vAlign w:val="center"/>
          </w:tcPr>
          <w:p>
            <w:pPr>
              <w:jc w:val="center"/>
            </w:pPr>
            <w:r>
              <w:rPr>
                <w:rFonts w:ascii="Aptos" w:hAnsi="Aptos"/>
                <w:b/>
                <w:color w:val="FFFFFF"/>
                <w:sz w:val="17"/>
              </w:rPr>
              <w:t>Decision</w:t>
            </w:r>
          </w:p>
        </w:tc>
        <w:tc>
          <w:tcPr>
            <w:tcW w:type="dxa" w:w="2304"/>
            <w:shd w:fill="16324F"/>
            <w:tcMar>
              <w:top w:w="100" w:type="dxa"/>
              <w:start w:w="110" w:type="dxa"/>
              <w:bottom w:w="100" w:type="dxa"/>
              <w:end w:w="110" w:type="dxa"/>
            </w:tcMar>
            <w:vAlign w:val="center"/>
          </w:tcPr>
          <w:p>
            <w:pPr>
              <w:jc w:val="center"/>
            </w:pPr>
            <w:r>
              <w:rPr>
                <w:rFonts w:ascii="Aptos" w:hAnsi="Aptos"/>
                <w:b/>
                <w:color w:val="FFFFFF"/>
                <w:sz w:val="17"/>
              </w:rPr>
              <w:t>Accountable role</w:t>
            </w:r>
          </w:p>
        </w:tc>
        <w:tc>
          <w:tcPr>
            <w:tcW w:type="dxa" w:w="4248"/>
            <w:shd w:fill="16324F"/>
            <w:tcMar>
              <w:top w:w="100" w:type="dxa"/>
              <w:start w:w="110" w:type="dxa"/>
              <w:bottom w:w="100" w:type="dxa"/>
              <w:end w:w="110" w:type="dxa"/>
            </w:tcMar>
            <w:vAlign w:val="center"/>
          </w:tcPr>
          <w:p>
            <w:pPr>
              <w:jc w:val="center"/>
            </w:pPr>
            <w:r>
              <w:rPr>
                <w:rFonts w:ascii="Aptos" w:hAnsi="Aptos"/>
                <w:b/>
                <w:color w:val="FFFFFF"/>
                <w:sz w:val="17"/>
              </w:rPr>
              <w:t>Required evidence</w:t>
            </w:r>
          </w:p>
        </w:tc>
      </w:tr>
      <w:tr>
        <w:tc>
          <w:tcPr>
            <w:tcW w:type="dxa" w:w="3240"/>
            <w:tcMar>
              <w:top w:w="100" w:type="dxa"/>
              <w:start w:w="110" w:type="dxa"/>
              <w:bottom w:w="100" w:type="dxa"/>
              <w:end w:w="110" w:type="dxa"/>
            </w:tcMar>
            <w:vAlign w:val="center"/>
          </w:tcPr>
          <w:p>
            <w:r>
              <w:rPr>
                <w:rFonts w:ascii="Aptos" w:hAnsi="Aptos"/>
                <w:color w:val="192026"/>
                <w:sz w:val="17"/>
              </w:rPr>
              <w:t>Service outcome and scope</w:t>
            </w:r>
          </w:p>
        </w:tc>
        <w:tc>
          <w:tcPr>
            <w:tcW w:type="dxa" w:w="2304"/>
            <w:tcMar>
              <w:top w:w="100" w:type="dxa"/>
              <w:start w:w="110" w:type="dxa"/>
              <w:bottom w:w="100" w:type="dxa"/>
              <w:end w:w="110" w:type="dxa"/>
            </w:tcMar>
            <w:vAlign w:val="center"/>
          </w:tcPr>
          <w:p>
            <w:r>
              <w:rPr>
                <w:rFonts w:ascii="Aptos" w:hAnsi="Aptos"/>
                <w:color w:val="192026"/>
                <w:sz w:val="17"/>
              </w:rPr>
              <w:t>Service owner</w:t>
            </w:r>
          </w:p>
        </w:tc>
        <w:tc>
          <w:tcPr>
            <w:tcW w:type="dxa" w:w="4248"/>
            <w:tcMar>
              <w:top w:w="100" w:type="dxa"/>
              <w:start w:w="110" w:type="dxa"/>
              <w:bottom w:w="100" w:type="dxa"/>
              <w:end w:w="110" w:type="dxa"/>
            </w:tcMar>
            <w:vAlign w:val="center"/>
          </w:tcPr>
          <w:p>
            <w:r>
              <w:rPr>
                <w:rFonts w:ascii="Aptos" w:hAnsi="Aptos"/>
                <w:color w:val="192026"/>
                <w:sz w:val="17"/>
              </w:rPr>
              <w:t>Service standard, baseline and prioritised backlog</w:t>
            </w:r>
          </w:p>
        </w:tc>
      </w:tr>
      <w:tr>
        <w:tc>
          <w:tcPr>
            <w:tcW w:type="dxa" w:w="3240"/>
            <w:shd w:fill="EEF4F7"/>
            <w:tcMar>
              <w:top w:w="100" w:type="dxa"/>
              <w:start w:w="110" w:type="dxa"/>
              <w:bottom w:w="100" w:type="dxa"/>
              <w:end w:w="110" w:type="dxa"/>
            </w:tcMar>
            <w:vAlign w:val="center"/>
          </w:tcPr>
          <w:p>
            <w:r>
              <w:rPr>
                <w:rFonts w:ascii="Aptos" w:hAnsi="Aptos"/>
                <w:color w:val="192026"/>
                <w:sz w:val="17"/>
              </w:rPr>
              <w:t>Data and lawful basis</w:t>
            </w:r>
          </w:p>
        </w:tc>
        <w:tc>
          <w:tcPr>
            <w:tcW w:type="dxa" w:w="2304"/>
            <w:shd w:fill="EEF4F7"/>
            <w:tcMar>
              <w:top w:w="100" w:type="dxa"/>
              <w:start w:w="110" w:type="dxa"/>
              <w:bottom w:w="100" w:type="dxa"/>
              <w:end w:w="110" w:type="dxa"/>
            </w:tcMar>
            <w:vAlign w:val="center"/>
          </w:tcPr>
          <w:p>
            <w:r>
              <w:rPr>
                <w:rFonts w:ascii="Aptos" w:hAnsi="Aptos"/>
                <w:color w:val="192026"/>
                <w:sz w:val="17"/>
              </w:rPr>
              <w:t>DPO with service owner</w:t>
            </w:r>
          </w:p>
        </w:tc>
        <w:tc>
          <w:tcPr>
            <w:tcW w:type="dxa" w:w="4248"/>
            <w:shd w:fill="EEF4F7"/>
            <w:tcMar>
              <w:top w:w="100" w:type="dxa"/>
              <w:start w:w="110" w:type="dxa"/>
              <w:bottom w:w="100" w:type="dxa"/>
              <w:end w:w="110" w:type="dxa"/>
            </w:tcMar>
            <w:vAlign w:val="center"/>
          </w:tcPr>
          <w:p>
            <w:r>
              <w:rPr>
                <w:rFonts w:ascii="Aptos" w:hAnsi="Aptos"/>
                <w:color w:val="192026"/>
                <w:sz w:val="17"/>
              </w:rPr>
              <w:t>Data map, record of processing and retention schedule</w:t>
            </w:r>
          </w:p>
        </w:tc>
      </w:tr>
      <w:tr>
        <w:tc>
          <w:tcPr>
            <w:tcW w:type="dxa" w:w="3240"/>
            <w:tcMar>
              <w:top w:w="100" w:type="dxa"/>
              <w:start w:w="110" w:type="dxa"/>
              <w:bottom w:w="100" w:type="dxa"/>
              <w:end w:w="110" w:type="dxa"/>
            </w:tcMar>
            <w:vAlign w:val="center"/>
          </w:tcPr>
          <w:p>
            <w:r>
              <w:rPr>
                <w:rFonts w:ascii="Aptos" w:hAnsi="Aptos"/>
                <w:color w:val="192026"/>
                <w:sz w:val="17"/>
              </w:rPr>
              <w:t>Architecture and integration</w:t>
            </w:r>
          </w:p>
        </w:tc>
        <w:tc>
          <w:tcPr>
            <w:tcW w:type="dxa" w:w="2304"/>
            <w:tcMar>
              <w:top w:w="100" w:type="dxa"/>
              <w:start w:w="110" w:type="dxa"/>
              <w:bottom w:w="100" w:type="dxa"/>
              <w:end w:w="110" w:type="dxa"/>
            </w:tcMar>
            <w:vAlign w:val="center"/>
          </w:tcPr>
          <w:p>
            <w:r>
              <w:rPr>
                <w:rFonts w:ascii="Aptos" w:hAnsi="Aptos"/>
                <w:color w:val="192026"/>
                <w:sz w:val="17"/>
              </w:rPr>
              <w:t>IT and architecture lead</w:t>
            </w:r>
          </w:p>
        </w:tc>
        <w:tc>
          <w:tcPr>
            <w:tcW w:type="dxa" w:w="4248"/>
            <w:tcMar>
              <w:top w:w="100" w:type="dxa"/>
              <w:start w:w="110" w:type="dxa"/>
              <w:bottom w:w="100" w:type="dxa"/>
              <w:end w:w="110" w:type="dxa"/>
            </w:tcMar>
            <w:vAlign w:val="center"/>
          </w:tcPr>
          <w:p>
            <w:r>
              <w:rPr>
                <w:rFonts w:ascii="Aptos" w:hAnsi="Aptos"/>
                <w:color w:val="192026"/>
                <w:sz w:val="17"/>
              </w:rPr>
              <w:t>Architecture decisions, API contracts and support ownership</w:t>
            </w:r>
          </w:p>
        </w:tc>
      </w:tr>
      <w:tr>
        <w:tc>
          <w:tcPr>
            <w:tcW w:type="dxa" w:w="3240"/>
            <w:shd w:fill="EEF4F7"/>
            <w:tcMar>
              <w:top w:w="100" w:type="dxa"/>
              <w:start w:w="110" w:type="dxa"/>
              <w:bottom w:w="100" w:type="dxa"/>
              <w:end w:w="110" w:type="dxa"/>
            </w:tcMar>
            <w:vAlign w:val="center"/>
          </w:tcPr>
          <w:p>
            <w:r>
              <w:rPr>
                <w:rFonts w:ascii="Aptos" w:hAnsi="Aptos"/>
                <w:color w:val="192026"/>
                <w:sz w:val="17"/>
              </w:rPr>
              <w:t>Security acceptance</w:t>
            </w:r>
          </w:p>
        </w:tc>
        <w:tc>
          <w:tcPr>
            <w:tcW w:type="dxa" w:w="2304"/>
            <w:shd w:fill="EEF4F7"/>
            <w:tcMar>
              <w:top w:w="100" w:type="dxa"/>
              <w:start w:w="110" w:type="dxa"/>
              <w:bottom w:w="100" w:type="dxa"/>
              <w:end w:w="110" w:type="dxa"/>
            </w:tcMar>
            <w:vAlign w:val="center"/>
          </w:tcPr>
          <w:p>
            <w:r>
              <w:rPr>
                <w:rFonts w:ascii="Aptos" w:hAnsi="Aptos"/>
                <w:color w:val="192026"/>
                <w:sz w:val="17"/>
              </w:rPr>
              <w:t>Security lead</w:t>
            </w:r>
          </w:p>
        </w:tc>
        <w:tc>
          <w:tcPr>
            <w:tcW w:type="dxa" w:w="4248"/>
            <w:shd w:fill="EEF4F7"/>
            <w:tcMar>
              <w:top w:w="100" w:type="dxa"/>
              <w:start w:w="110" w:type="dxa"/>
              <w:bottom w:w="100" w:type="dxa"/>
              <w:end w:w="110" w:type="dxa"/>
            </w:tcMar>
            <w:vAlign w:val="center"/>
          </w:tcPr>
          <w:p>
            <w:r>
              <w:rPr>
                <w:rFonts w:ascii="Aptos" w:hAnsi="Aptos"/>
                <w:color w:val="192026"/>
                <w:sz w:val="17"/>
              </w:rPr>
              <w:t>Threat model, test evidence, recovery and incident readiness</w:t>
            </w:r>
          </w:p>
        </w:tc>
      </w:tr>
      <w:tr>
        <w:tc>
          <w:tcPr>
            <w:tcW w:type="dxa" w:w="3240"/>
            <w:tcMar>
              <w:top w:w="100" w:type="dxa"/>
              <w:start w:w="110" w:type="dxa"/>
              <w:bottom w:w="100" w:type="dxa"/>
              <w:end w:w="110" w:type="dxa"/>
            </w:tcMar>
            <w:vAlign w:val="center"/>
          </w:tcPr>
          <w:p>
            <w:r>
              <w:rPr>
                <w:rFonts w:ascii="Aptos" w:hAnsi="Aptos"/>
                <w:color w:val="192026"/>
                <w:sz w:val="17"/>
              </w:rPr>
              <w:t>Accessibility acceptance</w:t>
            </w:r>
          </w:p>
        </w:tc>
        <w:tc>
          <w:tcPr>
            <w:tcW w:type="dxa" w:w="2304"/>
            <w:tcMar>
              <w:top w:w="100" w:type="dxa"/>
              <w:start w:w="110" w:type="dxa"/>
              <w:bottom w:w="100" w:type="dxa"/>
              <w:end w:w="110" w:type="dxa"/>
            </w:tcMar>
            <w:vAlign w:val="center"/>
          </w:tcPr>
          <w:p>
            <w:r>
              <w:rPr>
                <w:rFonts w:ascii="Aptos" w:hAnsi="Aptos"/>
                <w:color w:val="192026"/>
                <w:sz w:val="17"/>
              </w:rPr>
              <w:t>Accessibility lead</w:t>
            </w:r>
          </w:p>
        </w:tc>
        <w:tc>
          <w:tcPr>
            <w:tcW w:type="dxa" w:w="4248"/>
            <w:tcMar>
              <w:top w:w="100" w:type="dxa"/>
              <w:start w:w="110" w:type="dxa"/>
              <w:bottom w:w="100" w:type="dxa"/>
              <w:end w:w="110" w:type="dxa"/>
            </w:tcMar>
            <w:vAlign w:val="center"/>
          </w:tcPr>
          <w:p>
            <w:r>
              <w:rPr>
                <w:rFonts w:ascii="Aptos" w:hAnsi="Aptos"/>
                <w:color w:val="192026"/>
                <w:sz w:val="17"/>
              </w:rPr>
              <w:t>Audit, user testing, statement and remediation plan</w:t>
            </w:r>
          </w:p>
        </w:tc>
      </w:tr>
      <w:tr>
        <w:tc>
          <w:tcPr>
            <w:tcW w:type="dxa" w:w="3240"/>
            <w:shd w:fill="EEF4F7"/>
            <w:tcMar>
              <w:top w:w="100" w:type="dxa"/>
              <w:start w:w="110" w:type="dxa"/>
              <w:bottom w:w="100" w:type="dxa"/>
              <w:end w:w="110" w:type="dxa"/>
            </w:tcMar>
            <w:vAlign w:val="center"/>
          </w:tcPr>
          <w:p>
            <w:r>
              <w:rPr>
                <w:rFonts w:ascii="Aptos" w:hAnsi="Aptos"/>
                <w:color w:val="192026"/>
                <w:sz w:val="17"/>
              </w:rPr>
              <w:t>Release and benefits</w:t>
            </w:r>
          </w:p>
        </w:tc>
        <w:tc>
          <w:tcPr>
            <w:tcW w:type="dxa" w:w="2304"/>
            <w:shd w:fill="EEF4F7"/>
            <w:tcMar>
              <w:top w:w="100" w:type="dxa"/>
              <w:start w:w="110" w:type="dxa"/>
              <w:bottom w:w="100" w:type="dxa"/>
              <w:end w:w="110" w:type="dxa"/>
            </w:tcMar>
            <w:vAlign w:val="center"/>
          </w:tcPr>
          <w:p>
            <w:r>
              <w:rPr>
                <w:rFonts w:ascii="Aptos" w:hAnsi="Aptos"/>
                <w:color w:val="192026"/>
                <w:sz w:val="17"/>
              </w:rPr>
              <w:t>Service owner</w:t>
            </w:r>
          </w:p>
        </w:tc>
        <w:tc>
          <w:tcPr>
            <w:tcW w:type="dxa" w:w="4248"/>
            <w:shd w:fill="EEF4F7"/>
            <w:tcMar>
              <w:top w:w="100" w:type="dxa"/>
              <w:start w:w="110" w:type="dxa"/>
              <w:bottom w:w="100" w:type="dxa"/>
              <w:end w:w="110" w:type="dxa"/>
            </w:tcMar>
            <w:vAlign w:val="center"/>
          </w:tcPr>
          <w:p>
            <w:r>
              <w:rPr>
                <w:rFonts w:ascii="Aptos" w:hAnsi="Aptos"/>
                <w:color w:val="192026"/>
                <w:sz w:val="17"/>
              </w:rPr>
              <w:t>Readiness review, KPI baseline and funded operational plan</w:t>
            </w:r>
          </w:p>
        </w:tc>
      </w:tr>
    </w:tbl>
    <w:p>
      <w:pPr>
        <w:spacing w:after="0"/>
      </w:pPr>
    </w:p>
    <w:p>
      <w:pPr>
        <w:pStyle w:val="Heading2"/>
        <w:keepNext/>
      </w:pPr>
      <w:r>
        <w:t>Supplier requirements</w:t>
      </w:r>
    </w:p>
    <w:p>
      <w:pPr>
        <w:pStyle w:val="ListBullet"/>
        <w:spacing w:after="80" w:line="245" w:lineRule="auto"/>
      </w:pPr>
      <w:r>
        <w:t>Documented interfaces, exportable data and maintained operational documentation.</w:t>
      </w:r>
    </w:p>
    <w:p>
      <w:pPr>
        <w:pStyle w:val="ListBullet"/>
        <w:spacing w:after="80" w:line="245" w:lineRule="auto"/>
      </w:pPr>
      <w:r>
        <w:t>Clear security responsibilities, vulnerability handling and incident notification timeframes.</w:t>
      </w:r>
    </w:p>
    <w:p>
      <w:pPr>
        <w:pStyle w:val="ListBullet"/>
        <w:spacing w:after="80" w:line="245" w:lineRule="auto"/>
      </w:pPr>
      <w:r>
        <w:t>Accessibility acceptance criteria and remediation obligations.</w:t>
      </w:r>
    </w:p>
    <w:p>
      <w:pPr>
        <w:pStyle w:val="ListBullet"/>
        <w:spacing w:after="80" w:line="245" w:lineRule="auto"/>
      </w:pPr>
      <w:r>
        <w:t>Service levels that cover recovery, support and evidence delivery.</w:t>
      </w:r>
    </w:p>
    <w:p>
      <w:pPr>
        <w:pStyle w:val="ListBullet"/>
        <w:spacing w:after="80" w:line="245" w:lineRule="auto"/>
      </w:pPr>
      <w:r>
        <w:t>Exit assistance tested before dependency becomes critical.</w:t>
      </w:r>
    </w:p>
    <w:p>
      <w:r>
        <w:br w:type="page"/>
      </w:r>
    </w:p>
    <w:p>
      <w:pPr>
        <w:pStyle w:val="Heading1"/>
        <w:keepNext/>
      </w:pPr>
      <w:r>
        <w:t>Implementation roadmap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16324F"/>
            <w:tcMar>
              <w:top w:w="100" w:type="dxa"/>
              <w:start w:w="110" w:type="dxa"/>
              <w:bottom w:w="100" w:type="dxa"/>
              <w:end w:w="110" w:type="dxa"/>
            </w:tcMar>
            <w:vAlign w:val="center"/>
          </w:tcPr>
          <w:p>
            <w:pPr>
              <w:jc w:val="center"/>
            </w:pPr>
            <w:r>
              <w:rPr>
                <w:rFonts w:ascii="Aptos" w:hAnsi="Aptos"/>
                <w:b/>
                <w:color w:val="FFFFFF"/>
                <w:sz w:val="17"/>
              </w:rPr>
              <w:t>Phase</w:t>
            </w:r>
          </w:p>
        </w:tc>
        <w:tc>
          <w:tcPr>
            <w:tcW w:type="dxa" w:w="1296"/>
            <w:shd w:fill="16324F"/>
            <w:tcMar>
              <w:top w:w="100" w:type="dxa"/>
              <w:start w:w="110" w:type="dxa"/>
              <w:bottom w:w="100" w:type="dxa"/>
              <w:end w:w="110" w:type="dxa"/>
            </w:tcMar>
            <w:vAlign w:val="center"/>
          </w:tcPr>
          <w:p>
            <w:pPr>
              <w:jc w:val="center"/>
            </w:pPr>
            <w:r>
              <w:rPr>
                <w:rFonts w:ascii="Aptos" w:hAnsi="Aptos"/>
                <w:b/>
                <w:color w:val="FFFFFF"/>
                <w:sz w:val="17"/>
              </w:rPr>
              <w:t>Timing</w:t>
            </w:r>
          </w:p>
        </w:tc>
        <w:tc>
          <w:tcPr>
            <w:tcW w:type="dxa" w:w="3888"/>
            <w:shd w:fill="16324F"/>
            <w:tcMar>
              <w:top w:w="100" w:type="dxa"/>
              <w:start w:w="110" w:type="dxa"/>
              <w:bottom w:w="100" w:type="dxa"/>
              <w:end w:w="110" w:type="dxa"/>
            </w:tcMar>
            <w:vAlign w:val="center"/>
          </w:tcPr>
          <w:p>
            <w:pPr>
              <w:jc w:val="center"/>
            </w:pPr>
            <w:r>
              <w:rPr>
                <w:rFonts w:ascii="Aptos" w:hAnsi="Aptos"/>
                <w:b/>
                <w:color w:val="FFFFFF"/>
                <w:sz w:val="17"/>
              </w:rPr>
              <w:t>Outcome</w:t>
            </w:r>
          </w:p>
        </w:tc>
        <w:tc>
          <w:tcPr>
            <w:tcW w:type="dxa" w:w="3168"/>
            <w:shd w:fill="16324F"/>
            <w:tcMar>
              <w:top w:w="100" w:type="dxa"/>
              <w:start w:w="110" w:type="dxa"/>
              <w:bottom w:w="100" w:type="dxa"/>
              <w:end w:w="110" w:type="dxa"/>
            </w:tcMar>
            <w:vAlign w:val="center"/>
          </w:tcPr>
          <w:p>
            <w:pPr>
              <w:jc w:val="center"/>
            </w:pPr>
            <w:r>
              <w:rPr>
                <w:rFonts w:ascii="Aptos" w:hAnsi="Aptos"/>
                <w:b/>
                <w:color w:val="FFFFFF"/>
                <w:sz w:val="17"/>
              </w:rPr>
              <w:t>Exit evidence</w:t>
            </w:r>
          </w:p>
        </w:tc>
      </w:tr>
      <w:tr>
        <w:tc>
          <w:tcPr>
            <w:tcW w:type="dxa" w:w="1440"/>
            <w:tcMar>
              <w:top w:w="100" w:type="dxa"/>
              <w:start w:w="110" w:type="dxa"/>
              <w:bottom w:w="100" w:type="dxa"/>
              <w:end w:w="110" w:type="dxa"/>
            </w:tcMar>
            <w:vAlign w:val="center"/>
          </w:tcPr>
          <w:p>
            <w:r>
              <w:rPr>
                <w:rFonts w:ascii="Aptos" w:hAnsi="Aptos"/>
                <w:color w:val="192026"/>
                <w:sz w:val="17"/>
              </w:rPr>
              <w:t>Foundation</w:t>
            </w:r>
          </w:p>
        </w:tc>
        <w:tc>
          <w:tcPr>
            <w:tcW w:type="dxa" w:w="1296"/>
            <w:tcMar>
              <w:top w:w="100" w:type="dxa"/>
              <w:start w:w="110" w:type="dxa"/>
              <w:bottom w:w="100" w:type="dxa"/>
              <w:end w:w="110" w:type="dxa"/>
            </w:tcMar>
            <w:vAlign w:val="center"/>
          </w:tcPr>
          <w:p>
            <w:r>
              <w:rPr>
                <w:rFonts w:ascii="Aptos" w:hAnsi="Aptos"/>
                <w:color w:val="192026"/>
                <w:sz w:val="17"/>
              </w:rPr>
              <w:t>Months 0–2</w:t>
            </w:r>
          </w:p>
        </w:tc>
        <w:tc>
          <w:tcPr>
            <w:tcW w:type="dxa" w:w="3888"/>
            <w:tcMar>
              <w:top w:w="100" w:type="dxa"/>
              <w:start w:w="110" w:type="dxa"/>
              <w:bottom w:w="100" w:type="dxa"/>
              <w:end w:w="110" w:type="dxa"/>
            </w:tcMar>
            <w:vAlign w:val="center"/>
          </w:tcPr>
          <w:p>
            <w:r>
              <w:rPr>
                <w:rFonts w:ascii="Aptos" w:hAnsi="Aptos"/>
                <w:color w:val="192026"/>
                <w:sz w:val="17"/>
              </w:rPr>
              <w:t>Owners, baselines, architecture, legal and control plan</w:t>
            </w:r>
          </w:p>
        </w:tc>
        <w:tc>
          <w:tcPr>
            <w:tcW w:type="dxa" w:w="3168"/>
            <w:tcMar>
              <w:top w:w="100" w:type="dxa"/>
              <w:start w:w="110" w:type="dxa"/>
              <w:bottom w:w="100" w:type="dxa"/>
              <w:end w:w="110" w:type="dxa"/>
            </w:tcMar>
            <w:vAlign w:val="center"/>
          </w:tcPr>
          <w:p>
            <w:r>
              <w:rPr>
                <w:rFonts w:ascii="Aptos" w:hAnsi="Aptos"/>
                <w:color w:val="192026"/>
                <w:sz w:val="17"/>
              </w:rPr>
              <w:t>Approved discovery pack and delivery backlog</w:t>
            </w:r>
          </w:p>
        </w:tc>
      </w:tr>
      <w:tr>
        <w:tc>
          <w:tcPr>
            <w:tcW w:type="dxa" w:w="1440"/>
            <w:shd w:fill="EEF4F7"/>
            <w:tcMar>
              <w:top w:w="100" w:type="dxa"/>
              <w:start w:w="110" w:type="dxa"/>
              <w:bottom w:w="100" w:type="dxa"/>
              <w:end w:w="110" w:type="dxa"/>
            </w:tcMar>
            <w:vAlign w:val="center"/>
          </w:tcPr>
          <w:p>
            <w:r>
              <w:rPr>
                <w:rFonts w:ascii="Aptos" w:hAnsi="Aptos"/>
                <w:color w:val="192026"/>
                <w:sz w:val="17"/>
              </w:rPr>
              <w:t>Pilot</w:t>
            </w:r>
          </w:p>
        </w:tc>
        <w:tc>
          <w:tcPr>
            <w:tcW w:type="dxa" w:w="1296"/>
            <w:shd w:fill="EEF4F7"/>
            <w:tcMar>
              <w:top w:w="100" w:type="dxa"/>
              <w:start w:w="110" w:type="dxa"/>
              <w:bottom w:w="100" w:type="dxa"/>
              <w:end w:w="110" w:type="dxa"/>
            </w:tcMar>
            <w:vAlign w:val="center"/>
          </w:tcPr>
          <w:p>
            <w:r>
              <w:rPr>
                <w:rFonts w:ascii="Aptos" w:hAnsi="Aptos"/>
                <w:color w:val="192026"/>
                <w:sz w:val="17"/>
              </w:rPr>
              <w:t>Months 3–5</w:t>
            </w:r>
          </w:p>
        </w:tc>
        <w:tc>
          <w:tcPr>
            <w:tcW w:type="dxa" w:w="3888"/>
            <w:shd w:fill="EEF4F7"/>
            <w:tcMar>
              <w:top w:w="100" w:type="dxa"/>
              <w:start w:w="110" w:type="dxa"/>
              <w:bottom w:w="100" w:type="dxa"/>
              <w:end w:w="110" w:type="dxa"/>
            </w:tcMar>
            <w:vAlign w:val="center"/>
          </w:tcPr>
          <w:p>
            <w:r>
              <w:rPr>
                <w:rFonts w:ascii="Aptos" w:hAnsi="Aptos"/>
                <w:color w:val="192026"/>
                <w:sz w:val="17"/>
              </w:rPr>
              <w:t>Issue reporting and appointment booking for a limited audience</w:t>
            </w:r>
          </w:p>
        </w:tc>
        <w:tc>
          <w:tcPr>
            <w:tcW w:type="dxa" w:w="3168"/>
            <w:shd w:fill="EEF4F7"/>
            <w:tcMar>
              <w:top w:w="100" w:type="dxa"/>
              <w:start w:w="110" w:type="dxa"/>
              <w:bottom w:w="100" w:type="dxa"/>
              <w:end w:w="110" w:type="dxa"/>
            </w:tcMar>
            <w:vAlign w:val="center"/>
          </w:tcPr>
          <w:p>
            <w:r>
              <w:rPr>
                <w:rFonts w:ascii="Aptos" w:hAnsi="Aptos"/>
                <w:color w:val="192026"/>
                <w:sz w:val="17"/>
              </w:rPr>
              <w:t>User evidence, accessibility test and operational readiness</w:t>
            </w:r>
          </w:p>
        </w:tc>
      </w:tr>
      <w:tr>
        <w:tc>
          <w:tcPr>
            <w:tcW w:type="dxa" w:w="1440"/>
            <w:tcMar>
              <w:top w:w="100" w:type="dxa"/>
              <w:start w:w="110" w:type="dxa"/>
              <w:bottom w:w="100" w:type="dxa"/>
              <w:end w:w="110" w:type="dxa"/>
            </w:tcMar>
            <w:vAlign w:val="center"/>
          </w:tcPr>
          <w:p>
            <w:r>
              <w:rPr>
                <w:rFonts w:ascii="Aptos" w:hAnsi="Aptos"/>
                <w:color w:val="192026"/>
                <w:sz w:val="17"/>
              </w:rPr>
              <w:t>Integrate</w:t>
            </w:r>
          </w:p>
        </w:tc>
        <w:tc>
          <w:tcPr>
            <w:tcW w:type="dxa" w:w="1296"/>
            <w:tcMar>
              <w:top w:w="100" w:type="dxa"/>
              <w:start w:w="110" w:type="dxa"/>
              <w:bottom w:w="100" w:type="dxa"/>
              <w:end w:w="110" w:type="dxa"/>
            </w:tcMar>
            <w:vAlign w:val="center"/>
          </w:tcPr>
          <w:p>
            <w:r>
              <w:rPr>
                <w:rFonts w:ascii="Aptos" w:hAnsi="Aptos"/>
                <w:color w:val="192026"/>
                <w:sz w:val="17"/>
              </w:rPr>
              <w:t>Months 6–10</w:t>
            </w:r>
          </w:p>
        </w:tc>
        <w:tc>
          <w:tcPr>
            <w:tcW w:type="dxa" w:w="3888"/>
            <w:tcMar>
              <w:top w:w="100" w:type="dxa"/>
              <w:start w:w="110" w:type="dxa"/>
              <w:bottom w:w="100" w:type="dxa"/>
              <w:end w:w="110" w:type="dxa"/>
            </w:tcMar>
            <w:vAlign w:val="center"/>
          </w:tcPr>
          <w:p>
            <w:r>
              <w:rPr>
                <w:rFonts w:ascii="Aptos" w:hAnsi="Aptos"/>
                <w:color w:val="192026"/>
                <w:sz w:val="17"/>
              </w:rPr>
              <w:t>Certificate and payment services connected to trusted systems</w:t>
            </w:r>
          </w:p>
        </w:tc>
        <w:tc>
          <w:tcPr>
            <w:tcW w:type="dxa" w:w="3168"/>
            <w:tcMar>
              <w:top w:w="100" w:type="dxa"/>
              <w:start w:w="110" w:type="dxa"/>
              <w:bottom w:w="100" w:type="dxa"/>
              <w:end w:w="110" w:type="dxa"/>
            </w:tcMar>
            <w:vAlign w:val="center"/>
          </w:tcPr>
          <w:p>
            <w:r>
              <w:rPr>
                <w:rFonts w:ascii="Aptos" w:hAnsi="Aptos"/>
                <w:color w:val="192026"/>
                <w:sz w:val="17"/>
              </w:rPr>
              <w:t>Reconciliation, recovery and security acceptance</w:t>
            </w:r>
          </w:p>
        </w:tc>
      </w:tr>
      <w:tr>
        <w:tc>
          <w:tcPr>
            <w:tcW w:type="dxa" w:w="1440"/>
            <w:shd w:fill="EEF4F7"/>
            <w:tcMar>
              <w:top w:w="100" w:type="dxa"/>
              <w:start w:w="110" w:type="dxa"/>
              <w:bottom w:w="100" w:type="dxa"/>
              <w:end w:w="110" w:type="dxa"/>
            </w:tcMar>
            <w:vAlign w:val="center"/>
          </w:tcPr>
          <w:p>
            <w:r>
              <w:rPr>
                <w:rFonts w:ascii="Aptos" w:hAnsi="Aptos"/>
                <w:color w:val="192026"/>
                <w:sz w:val="17"/>
              </w:rPr>
              <w:t>Expand</w:t>
            </w:r>
          </w:p>
        </w:tc>
        <w:tc>
          <w:tcPr>
            <w:tcW w:type="dxa" w:w="1296"/>
            <w:shd w:fill="EEF4F7"/>
            <w:tcMar>
              <w:top w:w="100" w:type="dxa"/>
              <w:start w:w="110" w:type="dxa"/>
              <w:bottom w:w="100" w:type="dxa"/>
              <w:end w:w="110" w:type="dxa"/>
            </w:tcMar>
            <w:vAlign w:val="center"/>
          </w:tcPr>
          <w:p>
            <w:r>
              <w:rPr>
                <w:rFonts w:ascii="Aptos" w:hAnsi="Aptos"/>
                <w:color w:val="192026"/>
                <w:sz w:val="17"/>
              </w:rPr>
              <w:t>Months 11–14</w:t>
            </w:r>
          </w:p>
        </w:tc>
        <w:tc>
          <w:tcPr>
            <w:tcW w:type="dxa" w:w="3888"/>
            <w:shd w:fill="EEF4F7"/>
            <w:tcMar>
              <w:top w:w="100" w:type="dxa"/>
              <w:start w:w="110" w:type="dxa"/>
              <w:bottom w:w="100" w:type="dxa"/>
              <w:end w:w="110" w:type="dxa"/>
            </w:tcMar>
            <w:vAlign w:val="center"/>
          </w:tcPr>
          <w:p>
            <w:r>
              <w:rPr>
                <w:rFonts w:ascii="Aptos" w:hAnsi="Aptos"/>
                <w:color w:val="192026"/>
                <w:sz w:val="17"/>
              </w:rPr>
              <w:t>Participation service and improvement across the portfolio</w:t>
            </w:r>
          </w:p>
        </w:tc>
        <w:tc>
          <w:tcPr>
            <w:tcW w:type="dxa" w:w="3168"/>
            <w:shd w:fill="EEF4F7"/>
            <w:tcMar>
              <w:top w:w="100" w:type="dxa"/>
              <w:start w:w="110" w:type="dxa"/>
              <w:bottom w:w="100" w:type="dxa"/>
              <w:end w:w="110" w:type="dxa"/>
            </w:tcMar>
            <w:vAlign w:val="center"/>
          </w:tcPr>
          <w:p>
            <w:r>
              <w:rPr>
                <w:rFonts w:ascii="Aptos" w:hAnsi="Aptos"/>
                <w:color w:val="192026"/>
                <w:sz w:val="17"/>
              </w:rPr>
              <w:t>Adoption review, funded ownership and benefits report</w:t>
            </w:r>
          </w:p>
        </w:tc>
      </w:tr>
    </w:tbl>
    <w:p>
      <w:pPr>
        <w:spacing w:after="0"/>
      </w:pPr>
    </w:p>
    <w:p>
      <w:pPr>
        <w:pStyle w:val="Heading2"/>
        <w:keepNext/>
      </w:pPr>
      <w:r>
        <w:t>Delivery gates</w:t>
      </w:r>
    </w:p>
    <w:p>
      <w:pPr>
        <w:pStyle w:val="ListBullet"/>
        <w:spacing w:after="80" w:line="245" w:lineRule="auto"/>
      </w:pPr>
      <w:r>
        <w:t>Discovery confirms user need, baseline performance, legal authority and named ownership.</w:t>
      </w:r>
    </w:p>
    <w:p>
      <w:pPr>
        <w:pStyle w:val="ListBullet"/>
        <w:spacing w:after="80" w:line="245" w:lineRule="auto"/>
      </w:pPr>
      <w:r>
        <w:t>Design confirms architecture, data, threat, accessibility and supplier responsibilities.</w:t>
      </w:r>
    </w:p>
    <w:p>
      <w:pPr>
        <w:pStyle w:val="ListBullet"/>
        <w:spacing w:after="80" w:line="245" w:lineRule="auto"/>
      </w:pPr>
      <w:r>
        <w:t>Pilot confirms staff readiness, assisted access, monitoring, recovery and rollback.</w:t>
      </w:r>
    </w:p>
    <w:p>
      <w:pPr>
        <w:pStyle w:val="ListBullet"/>
        <w:spacing w:after="80" w:line="245" w:lineRule="auto"/>
      </w:pPr>
      <w:r>
        <w:t>Scale confirms adoption, control effectiveness, support capacity and funded operation.</w:t>
      </w:r>
    </w:p>
    <w:p>
      <w:pPr>
        <w:spacing w:after="140" w:line="259" w:lineRule="auto"/>
      </w:pPr>
      <w:r>
        <w:t>The indicative schedule is deliberately conditional. Procurement delays, legacy constraints, national integration dependencies and staff capacity can change the sequence. The municipality should preserve decision gates even when dates move.</w:t>
      </w:r>
    </w:p>
    <w:p>
      <w:r>
        <w:br w:type="page"/>
      </w:r>
    </w:p>
    <w:p>
      <w:pPr>
        <w:pStyle w:val="Heading1"/>
        <w:keepNext/>
      </w:pPr>
      <w:r>
        <w:t>Benefits and measurement</w:t>
      </w:r>
    </w:p>
    <w:p>
      <w:pPr>
        <w:spacing w:after="140" w:line="259" w:lineRule="auto"/>
      </w:pPr>
      <w:r>
        <w:t>Benefits should be measured against a baseline for each service rather than inferred from online availability. A completed build can still increase resident effort if instructions, identity checks, exception handling or support fail.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6324F"/>
            <w:tcMar>
              <w:top w:w="100" w:type="dxa"/>
              <w:start w:w="110" w:type="dxa"/>
              <w:bottom w:w="100" w:type="dxa"/>
              <w:end w:w="110" w:type="dxa"/>
            </w:tcMar>
            <w:vAlign w:val="center"/>
          </w:tcPr>
          <w:p>
            <w:pPr>
              <w:jc w:val="center"/>
            </w:pPr>
            <w:r>
              <w:rPr>
                <w:rFonts w:ascii="Aptos" w:hAnsi="Aptos"/>
                <w:b/>
                <w:color w:val="FFFFFF"/>
                <w:sz w:val="17"/>
              </w:rPr>
              <w:t>Outcome</w:t>
            </w:r>
          </w:p>
        </w:tc>
        <w:tc>
          <w:tcPr>
            <w:tcW w:type="dxa" w:w="3168"/>
            <w:shd w:fill="16324F"/>
            <w:tcMar>
              <w:top w:w="100" w:type="dxa"/>
              <w:start w:w="110" w:type="dxa"/>
              <w:bottom w:w="100" w:type="dxa"/>
              <w:end w:w="110" w:type="dxa"/>
            </w:tcMar>
            <w:vAlign w:val="center"/>
          </w:tcPr>
          <w:p>
            <w:pPr>
              <w:jc w:val="center"/>
            </w:pPr>
            <w:r>
              <w:rPr>
                <w:rFonts w:ascii="Aptos" w:hAnsi="Aptos"/>
                <w:b/>
                <w:color w:val="FFFFFF"/>
                <w:sz w:val="17"/>
              </w:rPr>
              <w:t>Example KPI</w:t>
            </w:r>
          </w:p>
        </w:tc>
        <w:tc>
          <w:tcPr>
            <w:tcW w:type="dxa" w:w="4824"/>
            <w:shd w:fill="16324F"/>
            <w:tcMar>
              <w:top w:w="100" w:type="dxa"/>
              <w:start w:w="110" w:type="dxa"/>
              <w:bottom w:w="100" w:type="dxa"/>
              <w:end w:w="110" w:type="dxa"/>
            </w:tcMar>
            <w:vAlign w:val="center"/>
          </w:tcPr>
          <w:p>
            <w:pPr>
              <w:jc w:val="center"/>
            </w:pPr>
            <w:r>
              <w:rPr>
                <w:rFonts w:ascii="Aptos" w:hAnsi="Aptos"/>
                <w:b/>
                <w:color w:val="FFFFFF"/>
                <w:sz w:val="17"/>
              </w:rPr>
              <w:t>Interpretation</w:t>
            </w:r>
          </w:p>
        </w:tc>
      </w:tr>
      <w:tr>
        <w:tc>
          <w:tcPr>
            <w:tcW w:type="dxa" w:w="1800"/>
            <w:tcMar>
              <w:top w:w="100" w:type="dxa"/>
              <w:start w:w="110" w:type="dxa"/>
              <w:bottom w:w="100" w:type="dxa"/>
              <w:end w:w="110" w:type="dxa"/>
            </w:tcMar>
            <w:vAlign w:val="center"/>
          </w:tcPr>
          <w:p>
            <w:r>
              <w:rPr>
                <w:rFonts w:ascii="Aptos" w:hAnsi="Aptos"/>
                <w:color w:val="192026"/>
                <w:sz w:val="17"/>
              </w:rPr>
              <w:t>Access</w:t>
            </w:r>
          </w:p>
        </w:tc>
        <w:tc>
          <w:tcPr>
            <w:tcW w:type="dxa" w:w="3168"/>
            <w:tcMar>
              <w:top w:w="100" w:type="dxa"/>
              <w:start w:w="110" w:type="dxa"/>
              <w:bottom w:w="100" w:type="dxa"/>
              <w:end w:w="110" w:type="dxa"/>
            </w:tcMar>
            <w:vAlign w:val="center"/>
          </w:tcPr>
          <w:p>
            <w:r>
              <w:rPr>
                <w:rFonts w:ascii="Aptos" w:hAnsi="Aptos"/>
                <w:color w:val="192026"/>
                <w:sz w:val="17"/>
              </w:rPr>
              <w:t>Completion rate by channel</w:t>
            </w:r>
          </w:p>
        </w:tc>
        <w:tc>
          <w:tcPr>
            <w:tcW w:type="dxa" w:w="4824"/>
            <w:tcMar>
              <w:top w:w="100" w:type="dxa"/>
              <w:start w:w="110" w:type="dxa"/>
              <w:bottom w:w="100" w:type="dxa"/>
              <w:end w:w="110" w:type="dxa"/>
            </w:tcMar>
            <w:vAlign w:val="center"/>
          </w:tcPr>
          <w:p>
            <w:r>
              <w:rPr>
                <w:rFonts w:ascii="Aptos" w:hAnsi="Aptos"/>
                <w:color w:val="192026"/>
                <w:sz w:val="17"/>
              </w:rPr>
              <w:t>Shows whether residents reach the intended outcome</w:t>
            </w:r>
          </w:p>
        </w:tc>
      </w:tr>
      <w:tr>
        <w:tc>
          <w:tcPr>
            <w:tcW w:type="dxa" w:w="1800"/>
            <w:shd w:fill="EEF4F7"/>
            <w:tcMar>
              <w:top w:w="100" w:type="dxa"/>
              <w:start w:w="110" w:type="dxa"/>
              <w:bottom w:w="100" w:type="dxa"/>
              <w:end w:w="110" w:type="dxa"/>
            </w:tcMar>
            <w:vAlign w:val="center"/>
          </w:tcPr>
          <w:p>
            <w:r>
              <w:rPr>
                <w:rFonts w:ascii="Aptos" w:hAnsi="Aptos"/>
                <w:color w:val="192026"/>
                <w:sz w:val="17"/>
              </w:rPr>
              <w:t>Speed</w:t>
            </w:r>
          </w:p>
        </w:tc>
        <w:tc>
          <w:tcPr>
            <w:tcW w:type="dxa" w:w="3168"/>
            <w:shd w:fill="EEF4F7"/>
            <w:tcMar>
              <w:top w:w="100" w:type="dxa"/>
              <w:start w:w="110" w:type="dxa"/>
              <w:bottom w:w="100" w:type="dxa"/>
              <w:end w:w="110" w:type="dxa"/>
            </w:tcMar>
            <w:vAlign w:val="center"/>
          </w:tcPr>
          <w:p>
            <w:r>
              <w:rPr>
                <w:rFonts w:ascii="Aptos" w:hAnsi="Aptos"/>
                <w:color w:val="192026"/>
                <w:sz w:val="17"/>
              </w:rPr>
              <w:t>Median end-to-end completion time</w:t>
            </w:r>
          </w:p>
        </w:tc>
        <w:tc>
          <w:tcPr>
            <w:tcW w:type="dxa" w:w="4824"/>
            <w:shd w:fill="EEF4F7"/>
            <w:tcMar>
              <w:top w:w="100" w:type="dxa"/>
              <w:start w:w="110" w:type="dxa"/>
              <w:bottom w:w="100" w:type="dxa"/>
              <w:end w:w="110" w:type="dxa"/>
            </w:tcMar>
            <w:vAlign w:val="center"/>
          </w:tcPr>
          <w:p>
            <w:r>
              <w:rPr>
                <w:rFonts w:ascii="Aptos" w:hAnsi="Aptos"/>
                <w:color w:val="192026"/>
                <w:sz w:val="17"/>
              </w:rPr>
              <w:t>Includes waiting and back-office handling, not only screen time</w:t>
            </w:r>
          </w:p>
        </w:tc>
      </w:tr>
      <w:tr>
        <w:tc>
          <w:tcPr>
            <w:tcW w:type="dxa" w:w="1800"/>
            <w:tcMar>
              <w:top w:w="100" w:type="dxa"/>
              <w:start w:w="110" w:type="dxa"/>
              <w:bottom w:w="100" w:type="dxa"/>
              <w:end w:w="110" w:type="dxa"/>
            </w:tcMar>
            <w:vAlign w:val="center"/>
          </w:tcPr>
          <w:p>
            <w:r>
              <w:rPr>
                <w:rFonts w:ascii="Aptos" w:hAnsi="Aptos"/>
                <w:color w:val="192026"/>
                <w:sz w:val="17"/>
              </w:rPr>
              <w:t>Quality</w:t>
            </w:r>
          </w:p>
        </w:tc>
        <w:tc>
          <w:tcPr>
            <w:tcW w:type="dxa" w:w="3168"/>
            <w:tcMar>
              <w:top w:w="100" w:type="dxa"/>
              <w:start w:w="110" w:type="dxa"/>
              <w:bottom w:w="100" w:type="dxa"/>
              <w:end w:w="110" w:type="dxa"/>
            </w:tcMar>
            <w:vAlign w:val="center"/>
          </w:tcPr>
          <w:p>
            <w:r>
              <w:rPr>
                <w:rFonts w:ascii="Aptos" w:hAnsi="Aptos"/>
                <w:color w:val="192026"/>
                <w:sz w:val="17"/>
              </w:rPr>
              <w:t>Rework and rejected-request rate</w:t>
            </w:r>
          </w:p>
        </w:tc>
        <w:tc>
          <w:tcPr>
            <w:tcW w:type="dxa" w:w="4824"/>
            <w:tcMar>
              <w:top w:w="100" w:type="dxa"/>
              <w:start w:w="110" w:type="dxa"/>
              <w:bottom w:w="100" w:type="dxa"/>
              <w:end w:w="110" w:type="dxa"/>
            </w:tcMar>
            <w:vAlign w:val="center"/>
          </w:tcPr>
          <w:p>
            <w:r>
              <w:rPr>
                <w:rFonts w:ascii="Aptos" w:hAnsi="Aptos"/>
                <w:color w:val="192026"/>
                <w:sz w:val="17"/>
              </w:rPr>
              <w:t>Detects unclear evidence requirements and data defects</w:t>
            </w:r>
          </w:p>
        </w:tc>
      </w:tr>
      <w:tr>
        <w:tc>
          <w:tcPr>
            <w:tcW w:type="dxa" w:w="1800"/>
            <w:shd w:fill="EEF4F7"/>
            <w:tcMar>
              <w:top w:w="100" w:type="dxa"/>
              <w:start w:w="110" w:type="dxa"/>
              <w:bottom w:w="100" w:type="dxa"/>
              <w:end w:w="110" w:type="dxa"/>
            </w:tcMar>
            <w:vAlign w:val="center"/>
          </w:tcPr>
          <w:p>
            <w:r>
              <w:rPr>
                <w:rFonts w:ascii="Aptos" w:hAnsi="Aptos"/>
                <w:color w:val="192026"/>
                <w:sz w:val="17"/>
              </w:rPr>
              <w:t>Inclusion</w:t>
            </w:r>
          </w:p>
        </w:tc>
        <w:tc>
          <w:tcPr>
            <w:tcW w:type="dxa" w:w="3168"/>
            <w:shd w:fill="EEF4F7"/>
            <w:tcMar>
              <w:top w:w="100" w:type="dxa"/>
              <w:start w:w="110" w:type="dxa"/>
              <w:bottom w:w="100" w:type="dxa"/>
              <w:end w:w="110" w:type="dxa"/>
            </w:tcMar>
            <w:vAlign w:val="center"/>
          </w:tcPr>
          <w:p>
            <w:r>
              <w:rPr>
                <w:rFonts w:ascii="Aptos" w:hAnsi="Aptos"/>
                <w:color w:val="192026"/>
                <w:sz w:val="17"/>
              </w:rPr>
              <w:t>Accessibility defects and assisted-channel demand</w:t>
            </w:r>
          </w:p>
        </w:tc>
        <w:tc>
          <w:tcPr>
            <w:tcW w:type="dxa" w:w="4824"/>
            <w:shd w:fill="EEF4F7"/>
            <w:tcMar>
              <w:top w:w="100" w:type="dxa"/>
              <w:start w:w="110" w:type="dxa"/>
              <w:bottom w:w="100" w:type="dxa"/>
              <w:end w:w="110" w:type="dxa"/>
            </w:tcMar>
            <w:vAlign w:val="center"/>
          </w:tcPr>
          <w:p>
            <w:r>
              <w:rPr>
                <w:rFonts w:ascii="Aptos" w:hAnsi="Aptos"/>
                <w:color w:val="192026"/>
                <w:sz w:val="17"/>
              </w:rPr>
              <w:t>Reveals barriers and the support capacity still required</w:t>
            </w:r>
          </w:p>
        </w:tc>
      </w:tr>
      <w:tr>
        <w:tc>
          <w:tcPr>
            <w:tcW w:type="dxa" w:w="1800"/>
            <w:tcMar>
              <w:top w:w="100" w:type="dxa"/>
              <w:start w:w="110" w:type="dxa"/>
              <w:bottom w:w="100" w:type="dxa"/>
              <w:end w:w="110" w:type="dxa"/>
            </w:tcMar>
            <w:vAlign w:val="center"/>
          </w:tcPr>
          <w:p>
            <w:r>
              <w:rPr>
                <w:rFonts w:ascii="Aptos" w:hAnsi="Aptos"/>
                <w:color w:val="192026"/>
                <w:sz w:val="17"/>
              </w:rPr>
              <w:t>Reliability</w:t>
            </w:r>
          </w:p>
        </w:tc>
        <w:tc>
          <w:tcPr>
            <w:tcW w:type="dxa" w:w="3168"/>
            <w:tcMar>
              <w:top w:w="100" w:type="dxa"/>
              <w:start w:w="110" w:type="dxa"/>
              <w:bottom w:w="100" w:type="dxa"/>
              <w:end w:w="110" w:type="dxa"/>
            </w:tcMar>
            <w:vAlign w:val="center"/>
          </w:tcPr>
          <w:p>
            <w:r>
              <w:rPr>
                <w:rFonts w:ascii="Aptos" w:hAnsi="Aptos"/>
                <w:color w:val="192026"/>
                <w:sz w:val="17"/>
              </w:rPr>
              <w:t>Availability, failed transactions and recovery performance</w:t>
            </w:r>
          </w:p>
        </w:tc>
        <w:tc>
          <w:tcPr>
            <w:tcW w:type="dxa" w:w="4824"/>
            <w:tcMar>
              <w:top w:w="100" w:type="dxa"/>
              <w:start w:w="110" w:type="dxa"/>
              <w:bottom w:w="100" w:type="dxa"/>
              <w:end w:w="110" w:type="dxa"/>
            </w:tcMar>
            <w:vAlign w:val="center"/>
          </w:tcPr>
          <w:p>
            <w:r>
              <w:rPr>
                <w:rFonts w:ascii="Aptos" w:hAnsi="Aptos"/>
                <w:color w:val="192026"/>
                <w:sz w:val="17"/>
              </w:rPr>
              <w:t>Measures operational resilience rather than launch success</w:t>
            </w:r>
          </w:p>
        </w:tc>
      </w:tr>
      <w:tr>
        <w:tc>
          <w:tcPr>
            <w:tcW w:type="dxa" w:w="1800"/>
            <w:shd w:fill="EEF4F7"/>
            <w:tcMar>
              <w:top w:w="100" w:type="dxa"/>
              <w:start w:w="110" w:type="dxa"/>
              <w:bottom w:w="100" w:type="dxa"/>
              <w:end w:w="110" w:type="dxa"/>
            </w:tcMar>
            <w:vAlign w:val="center"/>
          </w:tcPr>
          <w:p>
            <w:r>
              <w:rPr>
                <w:rFonts w:ascii="Aptos" w:hAnsi="Aptos"/>
                <w:color w:val="192026"/>
                <w:sz w:val="17"/>
              </w:rPr>
              <w:t>Efficiency</w:t>
            </w:r>
          </w:p>
        </w:tc>
        <w:tc>
          <w:tcPr>
            <w:tcW w:type="dxa" w:w="3168"/>
            <w:shd w:fill="EEF4F7"/>
            <w:tcMar>
              <w:top w:w="100" w:type="dxa"/>
              <w:start w:w="110" w:type="dxa"/>
              <w:bottom w:w="100" w:type="dxa"/>
              <w:end w:w="110" w:type="dxa"/>
            </w:tcMar>
            <w:vAlign w:val="center"/>
          </w:tcPr>
          <w:p>
            <w:r>
              <w:rPr>
                <w:rFonts w:ascii="Aptos" w:hAnsi="Aptos"/>
                <w:color w:val="192026"/>
                <w:sz w:val="17"/>
              </w:rPr>
              <w:t>Staff handling time and avoidable contact rate</w:t>
            </w:r>
          </w:p>
        </w:tc>
        <w:tc>
          <w:tcPr>
            <w:tcW w:type="dxa" w:w="4824"/>
            <w:shd w:fill="EEF4F7"/>
            <w:tcMar>
              <w:top w:w="100" w:type="dxa"/>
              <w:start w:w="110" w:type="dxa"/>
              <w:bottom w:w="100" w:type="dxa"/>
              <w:end w:w="110" w:type="dxa"/>
            </w:tcMar>
            <w:vAlign w:val="center"/>
          </w:tcPr>
          <w:p>
            <w:r>
              <w:rPr>
                <w:rFonts w:ascii="Aptos" w:hAnsi="Aptos"/>
                <w:color w:val="192026"/>
                <w:sz w:val="17"/>
              </w:rPr>
              <w:t>Tests whether process redesign reduced repetitive effort</w:t>
            </w:r>
          </w:p>
        </w:tc>
      </w:tr>
      <w:tr>
        <w:tc>
          <w:tcPr>
            <w:tcW w:type="dxa" w:w="1800"/>
            <w:tcMar>
              <w:top w:w="100" w:type="dxa"/>
              <w:start w:w="110" w:type="dxa"/>
              <w:bottom w:w="100" w:type="dxa"/>
              <w:end w:w="110" w:type="dxa"/>
            </w:tcMar>
            <w:vAlign w:val="center"/>
          </w:tcPr>
          <w:p>
            <w:r>
              <w:rPr>
                <w:rFonts w:ascii="Aptos" w:hAnsi="Aptos"/>
                <w:color w:val="192026"/>
                <w:sz w:val="17"/>
              </w:rPr>
              <w:t>Trust</w:t>
            </w:r>
          </w:p>
        </w:tc>
        <w:tc>
          <w:tcPr>
            <w:tcW w:type="dxa" w:w="3168"/>
            <w:tcMar>
              <w:top w:w="100" w:type="dxa"/>
              <w:start w:w="110" w:type="dxa"/>
              <w:bottom w:w="100" w:type="dxa"/>
              <w:end w:w="110" w:type="dxa"/>
            </w:tcMar>
            <w:vAlign w:val="center"/>
          </w:tcPr>
          <w:p>
            <w:r>
              <w:rPr>
                <w:rFonts w:ascii="Aptos" w:hAnsi="Aptos"/>
                <w:color w:val="192026"/>
                <w:sz w:val="17"/>
              </w:rPr>
              <w:t>Complaints, privacy incidents and satisfaction</w:t>
            </w:r>
          </w:p>
        </w:tc>
        <w:tc>
          <w:tcPr>
            <w:tcW w:type="dxa" w:w="4824"/>
            <w:tcMar>
              <w:top w:w="100" w:type="dxa"/>
              <w:start w:w="110" w:type="dxa"/>
              <w:bottom w:w="100" w:type="dxa"/>
              <w:end w:w="110" w:type="dxa"/>
            </w:tcMar>
            <w:vAlign w:val="center"/>
          </w:tcPr>
          <w:p>
            <w:r>
              <w:rPr>
                <w:rFonts w:ascii="Aptos" w:hAnsi="Aptos"/>
                <w:color w:val="192026"/>
                <w:sz w:val="17"/>
              </w:rPr>
              <w:t>Captures confidence and perceived fairness</w:t>
            </w:r>
          </w:p>
        </w:tc>
      </w:tr>
    </w:tbl>
    <w:p>
      <w:pPr>
        <w:spacing w:after="0"/>
      </w:pPr>
    </w:p>
    <w:p>
      <w:pPr>
        <w:pStyle w:val="Heading2"/>
        <w:keepNext/>
      </w:pPr>
      <w:r>
        <w:t>Illustrative capacity calculation</w:t>
      </w:r>
    </w:p>
    <w:p>
      <w:pPr>
        <w:spacing w:after="140" w:line="259" w:lineRule="auto"/>
      </w:pPr>
      <w:r>
        <w:t>If a municipality handles 2,000 monthly requests, digitises half of them and saves ten minutes of staff handling per digitised request, the theoretical capacity release is about 167 hours per month. This is an arithmetic scenario, not a measured saving. Real benefits depend on demand, exception rates, channel shift, staff allocation and the cost of operating the digital service.</w:t>
      </w:r>
    </w:p>
    <w:p>
      <w:r>
        <w:br w:type="page"/>
      </w:r>
    </w:p>
    <w:p>
      <w:pPr>
        <w:pStyle w:val="Heading1"/>
        <w:keepNext/>
      </w:pPr>
      <w:r>
        <w:t>Limitations and conclusion</w:t>
      </w:r>
    </w:p>
    <w:p>
      <w:pPr>
        <w:pStyle w:val="Heading2"/>
        <w:keepNext/>
      </w:pPr>
      <w:r>
        <w:t>Limitations</w:t>
      </w:r>
    </w:p>
    <w:p>
      <w:pPr>
        <w:pStyle w:val="ListBullet"/>
        <w:spacing w:after="80" w:line="245" w:lineRule="auto"/>
      </w:pPr>
      <w:r>
        <w:t>The municipality, residents and staff are hypothetical; no primary research was conducted.</w:t>
      </w:r>
    </w:p>
    <w:p>
      <w:pPr>
        <w:pStyle w:val="ListBullet"/>
        <w:spacing w:after="80" w:line="245" w:lineRule="auto"/>
      </w:pPr>
      <w:r>
        <w:t>Scores, roadmap dates and the capacity scenario are assumptions that require validation.</w:t>
      </w:r>
    </w:p>
    <w:p>
      <w:pPr>
        <w:pStyle w:val="ListBullet"/>
        <w:spacing w:after="80" w:line="245" w:lineRule="auto"/>
      </w:pPr>
      <w:r>
        <w:t>The architecture describes capabilities and boundaries rather than vendor products or a final bill of materials.</w:t>
      </w:r>
    </w:p>
    <w:p>
      <w:pPr>
        <w:pStyle w:val="ListBullet"/>
        <w:spacing w:after="80" w:line="245" w:lineRule="auto"/>
      </w:pPr>
      <w:r>
        <w:t>Legal references identify design considerations but do not determine national scope for a specific authority.</w:t>
      </w:r>
    </w:p>
    <w:p>
      <w:pPr>
        <w:pStyle w:val="ListBullet"/>
        <w:spacing w:after="80" w:line="245" w:lineRule="auto"/>
      </w:pPr>
      <w:r>
        <w:t>Cybersecurity controls require implementation detail, testing and continuous operation.</w:t>
      </w:r>
    </w:p>
    <w:p>
      <w:pPr>
        <w:pStyle w:val="Heading2"/>
        <w:keepNext/>
      </w:pPr>
      <w:r>
        <w:t>Conclusion</w:t>
      </w:r>
    </w:p>
    <w:p>
      <w:pPr>
        <w:spacing w:after="140" w:line="259" w:lineRule="auto"/>
      </w:pPr>
      <w:r>
        <w:t>A municipality can improve resident service without attempting a single large transformation programme. The stronger path starts with bounded services, shared control foundations and permanent ownership. Issue reporting and booking provide suitable pilots because they test workflow, content, accessibility, support and operational accountability with fewer high-risk integrations. Certificates and payments should follow once identity, interoperability, reconciliation, monitoring and recovery work in practice.</w:t>
      </w:r>
    </w:p>
    <w:p>
      <w:pPr>
        <w:spacing w:after="140" w:line="259" w:lineRule="auto"/>
      </w:pPr>
      <w:r>
        <w:t>The principal implementation risk is not the absence of software. It is the gap between project delivery and sustainable service operation. Governance, staff participation, data quality, supplier exit, assisted access and measurable outcomes determine whether a digital service remains trustworthy after launch.</w:t>
      </w:r>
    </w:p>
    <w:p>
      <w:r>
        <w:br w:type="page"/>
      </w:r>
    </w:p>
    <w:p>
      <w:pPr>
        <w:pStyle w:val="Heading1"/>
        <w:keepNext/>
      </w:pPr>
      <w:r>
        <w:t>References</w:t>
      </w:r>
    </w:p>
    <w:p>
      <w:pPr>
        <w:spacing w:after="100"/>
        <w:ind w:left="288" w:hanging="288"/>
      </w:pPr>
      <w:r>
        <w:t>European Commission (2025). Greece 2025 Digital Decade Country Report. https://digital-strategy.ec.europa.eu/en/factpages/greece-2025-digital-decade-country-report</w:t>
      </w:r>
    </w:p>
    <w:p>
      <w:pPr>
        <w:spacing w:after="100"/>
        <w:ind w:left="288" w:hanging="288"/>
      </w:pPr>
      <w:r>
        <w:t>Hellenic Ministry of Digital Governance (2020–2025). Digital Transformation Bible 2020–2025. https://digitalstrategy.gov.gr/en/</w:t>
      </w:r>
    </w:p>
    <w:p>
      <w:pPr>
        <w:spacing w:after="100"/>
        <w:ind w:left="288" w:hanging="288"/>
      </w:pPr>
      <w:r>
        <w:t>European Union (2016). Regulation (EU) 2016/679, General Data Protection Regulation. https://eur-lex.europa.eu/eli/reg/2016/679/oj</w:t>
      </w:r>
    </w:p>
    <w:p>
      <w:pPr>
        <w:spacing w:after="100"/>
        <w:ind w:left="288" w:hanging="288"/>
      </w:pPr>
      <w:r>
        <w:t>European Union (2016). Directive (EU) 2016/2102 on public-sector website and mobile application accessibility. https://eur-lex.europa.eu/eli/dir/2016/2102/oj</w:t>
      </w:r>
    </w:p>
    <w:p>
      <w:pPr>
        <w:spacing w:after="100"/>
        <w:ind w:left="288" w:hanging="288"/>
      </w:pPr>
      <w:r>
        <w:t>European Union (2022). Directive (EU) 2022/2555, NIS 2 Directive. https://eur-lex.europa.eu/eli/dir/2022/2555/oj</w:t>
      </w:r>
    </w:p>
    <w:p>
      <w:pPr>
        <w:spacing w:after="100"/>
        <w:ind w:left="288" w:hanging="288"/>
      </w:pPr>
      <w:r>
        <w:t>European Union (2024). Regulation (EU) 2024/903, Interoperable Europe Act. https://eur-lex.europa.eu/eli/reg/2024/903/oj</w:t>
      </w:r>
    </w:p>
    <w:p>
      <w:pPr>
        <w:spacing w:after="100"/>
        <w:ind w:left="288" w:hanging="288"/>
      </w:pPr>
      <w:r>
        <w:t>European Union (2024). Regulation (EU) 2024/1183, European Digital Identity Framework. https://eur-lex.europa.eu/eli/reg/2024/1183/oj</w:t>
      </w:r>
    </w:p>
    <w:p>
      <w:pPr>
        <w:spacing w:after="100"/>
        <w:ind w:left="288" w:hanging="288"/>
      </w:pPr>
      <w:r>
        <w:t>European Commission (2022). Once-Only Technical System. https://commission.europa.eu/news-and-media/news/once-only-technical-system-key-creation-first-european-data-space-2022-07-20_en</w:t>
      </w:r>
    </w:p>
    <w:p>
      <w:pPr>
        <w:spacing w:after="100"/>
        <w:ind w:left="288" w:hanging="288"/>
      </w:pPr>
      <w:r>
        <w:t>ENISA (2025). Sectorial Threat Landscape: Public Administration. https://www.enisa.europa.eu/publications/enisa-sectorial-threat-landscape-public-administration</w:t>
      </w:r>
    </w:p>
    <w:p>
      <w:pPr>
        <w:spacing w:after="100"/>
        <w:ind w:left="288" w:hanging="288"/>
      </w:pPr>
      <w:r>
        <w:t>OECD (2020). The OECD Digital Government Policy Framework: Six dimensions of a Digital Government. https://doi.org/10.1787/f64fed2a-en</w:t>
      </w:r>
    </w:p>
    <w:p>
      <w:pPr>
        <w:spacing w:after="100"/>
        <w:ind w:left="288" w:hanging="288"/>
      </w:pPr>
      <w:r>
        <w:t>Layne, K. and Lee, J. (2001). Developing fully functional E-government: A four stage model. https://doi.org/10.1016/S0740-624X(01)00066-1</w:t>
      </w:r>
    </w:p>
    <w:p>
      <w:pPr>
        <w:spacing w:after="100"/>
        <w:ind w:left="288" w:hanging="288"/>
      </w:pPr>
      <w:r>
        <w:t>Andersen, K. V. and Henriksen, H. Z. (2006). E-government maturity models: Extension of the Layne and Lee model. https://doi.org/10.1016/j.giq.2005.11.008</w:t>
      </w:r>
    </w:p>
    <w:p>
      <w:pPr>
        <w:pStyle w:val="Heading2"/>
        <w:keepNext/>
      </w:pPr>
      <w:r>
        <w:t>Source and publication note</w:t>
      </w:r>
    </w:p>
    <w:p>
      <w:pPr>
        <w:spacing w:after="140" w:line="259" w:lineRule="auto"/>
      </w:pPr>
      <w:r>
        <w:t>This public portfolio edition develops an earlier university study by the author. It removes student identifiers, rewrites the work in English, updates the evidence base and adds reproducible prioritisation, governance, architecture, risk and roadmap artifacts. Sources were checked on 16 October 2026.</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646E"/>
        <w:sz w:val="16"/>
      </w:rPr>
      <w:t xml:space="preserve">Digital Government Services for a Greek Municipality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Government Services for a Greek Municipality</dc:title>
  <dc:subject>Digital government service design case study</dc:subject>
  <dc:creator>Spiros Grouztidis</dc:creator>
  <cp:keywords>digital government, municipality, GDPR, cybersecurity, accessibility, interoperability</cp:keywords>
  <dc:description>Public English portfolio edition</dc:description>
  <cp:lastModifiedBy/>
  <cp:revision>1</cp:revision>
  <dcterms:created xsi:type="dcterms:W3CDTF">2013-12-23T23:15:00Z</dcterms:created>
  <dcterms:modified xsi:type="dcterms:W3CDTF">2013-12-23T23:15:00Z</dcterms:modified>
  <cp:category/>
</cp:coreProperties>
</file>