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PORTFOLIO CASE STUDY</w:t>
      </w:r>
    </w:p>
    <w:p>
      <w:pPr>
        <w:pStyle w:val="Title"/>
      </w:pPr>
      <w:r>
        <w:t>Digital Marketing for an AI Traffic Management System</w:t>
      </w:r>
    </w:p>
    <w:p>
      <w:pPr>
        <w:pStyle w:val="Subtitle"/>
      </w:pPr>
      <w:r>
        <w:t>An evidence-led B2G acquisition and measurement design for municipal traffic-management pilots</w:t>
      </w:r>
    </w:p>
    <w:p>
      <w:r>
        <w:t>Spiros Grouztidis</w:t>
      </w:r>
    </w:p>
    <w:p>
      <w:r>
        <w:t>Public English edition  •  16 October 2026</w:t>
      </w:r>
    </w:p>
    <w:p/>
    <w:p>
      <w:r>
        <w:rPr>
          <w:b/>
        </w:rPr>
        <w:t xml:space="preserve">Scope notice. </w:t>
      </w:r>
      <w:r>
        <w:t>This is an educational portfolio scenario. All campaign performance is synthetic. The report does not describe a real company, customer, deployment, or verified product result.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sitory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original university presentation proposed digital marketing for an AI-enabled traffic solution. This public edition converts that concept into a governed decision system. It defines the municipal buying committee, campaign taxonomy, qualification stages, privacy controls, AI claim controls, and an executable model for channel metrics and constrained budget recommendations.</w:t>
      </w:r>
    </w:p>
    <w:p>
      <w:pPr>
        <w:pStyle w:val="Heading2"/>
      </w:pPr>
      <w:r>
        <w:t>Portfolio value</w:t>
      </w:r>
    </w:p>
    <w:p>
      <w:pPr>
        <w:pStyle w:val="ListBullet"/>
      </w:pPr>
      <w:r>
        <w:t>Demonstrates B2G positioning beyond consumer-style impressions and clicks.</w:t>
      </w:r>
    </w:p>
    <w:p>
      <w:pPr>
        <w:pStyle w:val="ListBullet"/>
      </w:pPr>
      <w:r>
        <w:t>Shows reproducible analytics with transparent assumptions and synthetic data.</w:t>
      </w:r>
    </w:p>
    <w:p>
      <w:pPr>
        <w:pStyle w:val="ListBullet"/>
      </w:pPr>
      <w:r>
        <w:t>Connects marketing decisions to procurement readiness, privacy, security, and AI accountability.</w:t>
      </w:r>
    </w:p>
    <w:p>
      <w:pPr>
        <w:pStyle w:val="ListBullet"/>
      </w:pPr>
      <w:r>
        <w:t>Separates promotional claims from operational traffic evidence.</w:t>
      </w:r>
    </w:p>
    <w:p>
      <w:pPr>
        <w:pStyle w:val="Heading2"/>
      </w:pPr>
      <w:r>
        <w:t>Decision rule</w:t>
      </w:r>
    </w:p>
    <w:p>
      <w:r>
        <w:t>Use channel scores to structure review, not to automate spending. A human owner must assess legal basis, data quality, buying-committee progress, channel saturation, and evidence status before reallocating budget.</w:t>
      </w:r>
    </w:p>
    <w:p>
      <w:r>
        <w:br w:type="page"/>
      </w:r>
    </w:p>
    <w:p>
      <w:pPr>
        <w:pStyle w:val="Heading1"/>
      </w:pPr>
      <w:r>
        <w:t>1. Context and opportunity</w:t>
      </w:r>
    </w:p>
    <w:p>
      <w:r>
        <w:t>European urban-mobility policy emphasises integrated planning, measurable indicators, sustainable mobility, and digital solutions. The commercial opportunity is therefore not a generic promise to use AI. It is a bounded pilot that helps a public buyer test a specific operational outcome with safety, governance, and procurement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3024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Market signal</w:t>
            </w:r>
          </w:p>
        </w:tc>
        <w:tc>
          <w:tcPr>
            <w:tcW w:type="dxa" w:w="6912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Implication for marketing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Sustainable Urban Mobility Plans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6"/>
              </w:rPr>
              <w:t>Align content with approved local mobility objectives and indicators.</w:t>
            </w:r>
          </w:p>
        </w:tc>
      </w:tr>
      <w:tr>
        <w:tc>
          <w:tcPr>
            <w:tcW w:type="dxa" w:w="3024"/>
            <w:vAlign w:val="center"/>
            <w:shd w:fill="EEF3F6"/>
          </w:tcPr>
          <w:p>
            <w:r>
              <w:rPr>
                <w:sz w:val="16"/>
              </w:rPr>
              <w:t>Innovation procurement</w:t>
            </w:r>
          </w:p>
        </w:tc>
        <w:tc>
          <w:tcPr>
            <w:tcW w:type="dxa" w:w="6912"/>
            <w:vAlign w:val="center"/>
            <w:shd w:fill="EEF3F6"/>
          </w:tcPr>
          <w:p>
            <w:r>
              <w:rPr>
                <w:sz w:val="16"/>
              </w:rPr>
              <w:t>Offer staged proof, acceptance criteria, and a credible route from pilot to scale.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6"/>
              </w:rPr>
              <w:t>AI governance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6"/>
              </w:rPr>
              <w:t>Explain intended purpose, oversight, evidence, and failure handling.</w:t>
            </w:r>
          </w:p>
        </w:tc>
      </w:tr>
      <w:tr>
        <w:tc>
          <w:tcPr>
            <w:tcW w:type="dxa" w:w="3024"/>
            <w:vAlign w:val="center"/>
            <w:shd w:fill="EEF3F6"/>
          </w:tcPr>
          <w:p>
            <w:r>
              <w:rPr>
                <w:sz w:val="16"/>
              </w:rPr>
              <w:t>Data protection</w:t>
            </w:r>
          </w:p>
        </w:tc>
        <w:tc>
          <w:tcPr>
            <w:tcW w:type="dxa" w:w="6912"/>
            <w:vAlign w:val="center"/>
            <w:shd w:fill="EEF3F6"/>
          </w:tcPr>
          <w:p>
            <w:r>
              <w:rPr>
                <w:sz w:val="16"/>
              </w:rPr>
              <w:t>Minimise campaign data and keep it separate from operational traffic telemetry.</w:t>
            </w:r>
          </w:p>
        </w:tc>
      </w:tr>
    </w:tbl>
    <w:p/>
    <w:p>
      <w:pPr>
        <w:pStyle w:val="Heading2"/>
      </w:pPr>
      <w:r>
        <w:t>Positioning</w:t>
      </w:r>
    </w:p>
    <w:p>
      <w:r>
        <w:t>The recommended message is: test whether adaptive traffic management can improve agreed local outcomes inside a controlled pilot, with explicit baselines, human override, transparent evaluation, and documented conditions for scale.</w:t>
      </w:r>
    </w:p>
    <w:p>
      <w:r>
        <w:br w:type="page"/>
      </w:r>
    </w:p>
    <w:p>
      <w:pPr>
        <w:pStyle w:val="Heading1"/>
      </w:pPr>
      <w:r>
        <w:t>2. Municipal buying committee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016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12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Decision concern</w:t>
            </w:r>
          </w:p>
        </w:tc>
        <w:tc>
          <w:tcPr>
            <w:tcW w:type="dxa" w:w="460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Executive sponsor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Public value and accountability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Outcome baseline and citizen-impact narrative</w:t>
            </w:r>
          </w:p>
        </w:tc>
      </w:tr>
      <w:tr>
        <w:tc>
          <w:tcPr>
            <w:tcW w:type="dxa" w:w="2016"/>
            <w:vAlign w:val="center"/>
            <w:shd w:fill="EEF3F6"/>
          </w:tcPr>
          <w:p>
            <w:r>
              <w:rPr>
                <w:sz w:val="16"/>
              </w:rPr>
              <w:t>Mobility owner</w:t>
            </w:r>
          </w:p>
        </w:tc>
        <w:tc>
          <w:tcPr>
            <w:tcW w:type="dxa" w:w="3312"/>
            <w:vAlign w:val="center"/>
            <w:shd w:fill="EEF3F6"/>
          </w:tcPr>
          <w:p>
            <w:r>
              <w:rPr>
                <w:sz w:val="16"/>
              </w:rPr>
              <w:t>Safe and reliable operation</w:t>
            </w:r>
          </w:p>
        </w:tc>
        <w:tc>
          <w:tcPr>
            <w:tcW w:type="dxa" w:w="4608"/>
            <w:vAlign w:val="center"/>
            <w:shd w:fill="EEF3F6"/>
          </w:tcPr>
          <w:p>
            <w:r>
              <w:rPr>
                <w:sz w:val="16"/>
              </w:rPr>
              <w:t>Pilot boundary, monitoring, fallback, operational KPIs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IT and security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Integration and resilience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Architecture, logs, access controls, recovery</w:t>
            </w:r>
          </w:p>
        </w:tc>
      </w:tr>
      <w:tr>
        <w:tc>
          <w:tcPr>
            <w:tcW w:type="dxa" w:w="2016"/>
            <w:vAlign w:val="center"/>
            <w:shd w:fill="EEF3F6"/>
          </w:tcPr>
          <w:p>
            <w:r>
              <w:rPr>
                <w:sz w:val="16"/>
              </w:rPr>
              <w:t>Procurement</w:t>
            </w:r>
          </w:p>
        </w:tc>
        <w:tc>
          <w:tcPr>
            <w:tcW w:type="dxa" w:w="3312"/>
            <w:vAlign w:val="center"/>
            <w:shd w:fill="EEF3F6"/>
          </w:tcPr>
          <w:p>
            <w:r>
              <w:rPr>
                <w:sz w:val="16"/>
              </w:rPr>
              <w:t>Fair competition and value</w:t>
            </w:r>
          </w:p>
        </w:tc>
        <w:tc>
          <w:tcPr>
            <w:tcW w:type="dxa" w:w="4608"/>
            <w:vAlign w:val="center"/>
            <w:shd w:fill="EEF3F6"/>
          </w:tcPr>
          <w:p>
            <w:r>
              <w:rPr>
                <w:sz w:val="16"/>
              </w:rPr>
              <w:t>Scope, acceptance criteria, exit and ownership terms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DPO and legal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Lawful and proportionate processing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Data map, retention, DPIA trigger, contracts</w:t>
            </w:r>
          </w:p>
        </w:tc>
      </w:tr>
      <w:tr>
        <w:tc>
          <w:tcPr>
            <w:tcW w:type="dxa" w:w="2016"/>
            <w:vAlign w:val="center"/>
            <w:shd w:fill="EEF3F6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3312"/>
            <w:vAlign w:val="center"/>
            <w:shd w:fill="EEF3F6"/>
          </w:tcPr>
          <w:p>
            <w:r>
              <w:rPr>
                <w:sz w:val="16"/>
              </w:rPr>
              <w:t>Affordability and uncertainty</w:t>
            </w:r>
          </w:p>
        </w:tc>
        <w:tc>
          <w:tcPr>
            <w:tcW w:type="dxa" w:w="4608"/>
            <w:vAlign w:val="center"/>
            <w:shd w:fill="EEF3F6"/>
          </w:tcPr>
          <w:p>
            <w:r>
              <w:rPr>
                <w:sz w:val="16"/>
              </w:rPr>
              <w:t>Pilot cost, TCO range, sensitivity and risk</w:t>
            </w:r>
          </w:p>
        </w:tc>
      </w:tr>
    </w:tbl>
    <w:p/>
    <w:p>
      <w:r>
        <w:t>A contact becomes a qualified opportunity only when an operational problem, accountable owner, plausible procurement route, and access to the necessary reviewers have been recorded.</w:t>
      </w:r>
    </w:p>
    <w:p>
      <w:r>
        <w:br w:type="page"/>
      </w:r>
    </w:p>
    <w:p>
      <w:pPr>
        <w:pStyle w:val="Heading1"/>
      </w:pPr>
      <w:r>
        <w:t>3. Funnel and channel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44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736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Buyer action</w:t>
            </w:r>
          </w:p>
        </w:tc>
        <w:tc>
          <w:tcPr>
            <w:tcW w:type="dxa" w:w="360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Marketing evidence</w:t>
            </w:r>
          </w:p>
        </w:tc>
        <w:tc>
          <w:tcPr>
            <w:tcW w:type="dxa" w:w="244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Exit criterion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Discover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6"/>
              </w:rPr>
              <w:t>Recognises a mobility problem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Outcome briefing and local context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Relevant stakeholder engages</w:t>
            </w:r>
          </w:p>
        </w:tc>
      </w:tr>
      <w:tr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Explore</w:t>
            </w:r>
          </w:p>
        </w:tc>
        <w:tc>
          <w:tcPr>
            <w:tcW w:type="dxa" w:w="2736"/>
            <w:vAlign w:val="center"/>
            <w:shd w:fill="EEF3F6"/>
          </w:tcPr>
          <w:p>
            <w:r>
              <w:rPr>
                <w:sz w:val="16"/>
              </w:rPr>
              <w:t>Compares intervention options</w:t>
            </w:r>
          </w:p>
        </w:tc>
        <w:tc>
          <w:tcPr>
            <w:tcW w:type="dxa" w:w="3600"/>
            <w:vAlign w:val="center"/>
            <w:shd w:fill="EEF3F6"/>
          </w:tcPr>
          <w:p>
            <w:r>
              <w:rPr>
                <w:sz w:val="16"/>
              </w:rPr>
              <w:t>Architecture and governance overview</w:t>
            </w:r>
          </w:p>
        </w:tc>
        <w:tc>
          <w:tcPr>
            <w:tcW w:type="dxa" w:w="2448"/>
            <w:vAlign w:val="center"/>
            <w:shd w:fill="EEF3F6"/>
          </w:tcPr>
          <w:p>
            <w:r>
              <w:rPr>
                <w:sz w:val="16"/>
              </w:rPr>
              <w:t>Problem and owner confirmed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Qualify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6"/>
              </w:rPr>
              <w:t>Tests organisational fit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Readiness checklist and discovery workshop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Qualified lead criteria met</w:t>
            </w:r>
          </w:p>
        </w:tc>
      </w:tr>
      <w:tr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Evaluate</w:t>
            </w:r>
          </w:p>
        </w:tc>
        <w:tc>
          <w:tcPr>
            <w:tcW w:type="dxa" w:w="2736"/>
            <w:vAlign w:val="center"/>
            <w:shd w:fill="EEF3F6"/>
          </w:tcPr>
          <w:p>
            <w:r>
              <w:rPr>
                <w:sz w:val="16"/>
              </w:rPr>
              <w:t>Builds internal case</w:t>
            </w:r>
          </w:p>
        </w:tc>
        <w:tc>
          <w:tcPr>
            <w:tcW w:type="dxa" w:w="3600"/>
            <w:vAlign w:val="center"/>
            <w:shd w:fill="EEF3F6"/>
          </w:tcPr>
          <w:p>
            <w:r>
              <w:rPr>
                <w:sz w:val="16"/>
              </w:rPr>
              <w:t>Pilot plan, acceptance measures, risk register</w:t>
            </w:r>
          </w:p>
        </w:tc>
        <w:tc>
          <w:tcPr>
            <w:tcW w:type="dxa" w:w="2448"/>
            <w:vAlign w:val="center"/>
            <w:shd w:fill="EEF3F6"/>
          </w:tcPr>
          <w:p>
            <w:r>
              <w:rPr>
                <w:sz w:val="16"/>
              </w:rPr>
              <w:t>Opportunity committee formed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Procure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6"/>
              </w:rPr>
              <w:t>Selects compliant route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6"/>
              </w:rPr>
              <w:t>Scope, pricing model, evidence pack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Procurement path documented</w:t>
            </w:r>
          </w:p>
        </w:tc>
      </w:tr>
      <w:tr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Pilot</w:t>
            </w:r>
          </w:p>
        </w:tc>
        <w:tc>
          <w:tcPr>
            <w:tcW w:type="dxa" w:w="2736"/>
            <w:vAlign w:val="center"/>
            <w:shd w:fill="EEF3F6"/>
          </w:tcPr>
          <w:p>
            <w:r>
              <w:rPr>
                <w:sz w:val="16"/>
              </w:rPr>
              <w:t>Runs bounded evaluation</w:t>
            </w:r>
          </w:p>
        </w:tc>
        <w:tc>
          <w:tcPr>
            <w:tcW w:type="dxa" w:w="3600"/>
            <w:vAlign w:val="center"/>
            <w:shd w:fill="EEF3F6"/>
          </w:tcPr>
          <w:p>
            <w:r>
              <w:rPr>
                <w:sz w:val="16"/>
              </w:rPr>
              <w:t>Baseline, monitoring, and review plan</w:t>
            </w:r>
          </w:p>
        </w:tc>
        <w:tc>
          <w:tcPr>
            <w:tcW w:type="dxa" w:w="2448"/>
            <w:vAlign w:val="center"/>
            <w:shd w:fill="EEF3F6"/>
          </w:tcPr>
          <w:p>
            <w:r>
              <w:rPr>
                <w:sz w:val="16"/>
              </w:rPr>
              <w:t>Pilot commitment recorded</w:t>
            </w:r>
          </w:p>
        </w:tc>
      </w:tr>
    </w:tbl>
    <w:p/>
    <w:p>
      <w:pPr>
        <w:pStyle w:val="Heading2"/>
      </w:pPr>
      <w:r>
        <w:t>Channel roles</w:t>
      </w:r>
    </w:p>
    <w:p>
      <w:pPr>
        <w:pStyle w:val="ListBullet"/>
      </w:pPr>
      <w:r>
        <w:t>LinkedIn: reach named professional audiences with outcome and governance content.</w:t>
      </w:r>
    </w:p>
    <w:p>
      <w:pPr>
        <w:pStyle w:val="ListBullet"/>
      </w:pPr>
      <w:r>
        <w:t>Search: capture active intent around smart traffic pilots and procurement questions.</w:t>
      </w:r>
    </w:p>
    <w:p>
      <w:pPr>
        <w:pStyle w:val="ListBullet"/>
      </w:pPr>
      <w:r>
        <w:t>Email: support account-based outreach with documented suppression and purpose rules.</w:t>
      </w:r>
    </w:p>
    <w:p>
      <w:pPr>
        <w:pStyle w:val="ListBullet"/>
      </w:pPr>
      <w:r>
        <w:t>Webinars: bring the full buying committee into a technical evidence session.</w:t>
      </w:r>
    </w:p>
    <w:p>
      <w:pPr>
        <w:pStyle w:val="ListBullet"/>
      </w:pPr>
      <w:r>
        <w:t>Innovation platforms: establish procurement and funding relevance.</w:t>
      </w:r>
    </w:p>
    <w:p>
      <w:pPr>
        <w:pStyle w:val="ListBullet"/>
      </w:pPr>
      <w:r>
        <w:t>Trade media: build category awareness while controlling claims and attribution limits.</w:t>
      </w:r>
    </w:p>
    <w:p>
      <w:r>
        <w:br w:type="page"/>
      </w:r>
    </w:p>
    <w:p>
      <w:pPr>
        <w:pStyle w:val="Heading1"/>
      </w:pPr>
      <w:r>
        <w:t>4. Measurement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44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316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32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CTR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clicks / impressions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Message-channel response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>
              <w:rPr>
                <w:sz w:val="16"/>
              </w:rPr>
              <w:t>Engagement rate</w:t>
            </w:r>
          </w:p>
        </w:tc>
        <w:tc>
          <w:tcPr>
            <w:tcW w:type="dxa" w:w="3168"/>
            <w:vAlign w:val="center"/>
            <w:shd w:fill="EEF3F6"/>
          </w:tcPr>
          <w:p>
            <w:r>
              <w:rPr>
                <w:sz w:val="16"/>
              </w:rPr>
              <w:t>engaged sessions / landing sessions</w:t>
            </w:r>
          </w:p>
        </w:tc>
        <w:tc>
          <w:tcPr>
            <w:tcW w:type="dxa" w:w="4320"/>
            <w:vAlign w:val="center"/>
            <w:shd w:fill="EEF3F6"/>
          </w:tcPr>
          <w:p>
            <w:r>
              <w:rPr>
                <w:sz w:val="16"/>
              </w:rPr>
              <w:t>Content relevance proxy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Lead conversion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qualified leads / landing sessions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Qualification effectiveness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>
              <w:rPr>
                <w:sz w:val="16"/>
              </w:rPr>
              <w:t>Opportunity conversion</w:t>
            </w:r>
          </w:p>
        </w:tc>
        <w:tc>
          <w:tcPr>
            <w:tcW w:type="dxa" w:w="3168"/>
            <w:vAlign w:val="center"/>
            <w:shd w:fill="EEF3F6"/>
          </w:tcPr>
          <w:p>
            <w:r>
              <w:rPr>
                <w:sz w:val="16"/>
              </w:rPr>
              <w:t>opportunities / qualified leads</w:t>
            </w:r>
          </w:p>
        </w:tc>
        <w:tc>
          <w:tcPr>
            <w:tcW w:type="dxa" w:w="4320"/>
            <w:vAlign w:val="center"/>
            <w:shd w:fill="EEF3F6"/>
          </w:tcPr>
          <w:p>
            <w:r>
              <w:rPr>
                <w:sz w:val="16"/>
              </w:rPr>
              <w:t>Buying-committee progression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Pilot conversion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pilot commitments / opportunities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Procurement and commercial progress</w:t>
            </w:r>
          </w:p>
        </w:tc>
      </w:tr>
      <w:tr>
        <w:tc>
          <w:tcPr>
            <w:tcW w:type="dxa" w:w="2448"/>
            <w:vAlign w:val="center"/>
            <w:shd w:fill="EEF3F6"/>
          </w:tcPr>
          <w:p>
            <w:r>
              <w:rPr>
                <w:sz w:val="16"/>
              </w:rPr>
              <w:t>Cost per opportunity</w:t>
            </w:r>
          </w:p>
        </w:tc>
        <w:tc>
          <w:tcPr>
            <w:tcW w:type="dxa" w:w="3168"/>
            <w:vAlign w:val="center"/>
            <w:shd w:fill="EEF3F6"/>
          </w:tcPr>
          <w:p>
            <w:r>
              <w:rPr>
                <w:sz w:val="16"/>
              </w:rPr>
              <w:t>spend / opportunities</w:t>
            </w:r>
          </w:p>
        </w:tc>
        <w:tc>
          <w:tcPr>
            <w:tcW w:type="dxa" w:w="4320"/>
            <w:vAlign w:val="center"/>
            <w:shd w:fill="EEF3F6"/>
          </w:tcPr>
          <w:p>
            <w:r>
              <w:rPr>
                <w:sz w:val="16"/>
              </w:rPr>
              <w:t>Pipeline efficiency</w:t>
            </w:r>
          </w:p>
        </w:tc>
      </w:tr>
    </w:tbl>
    <w:p/>
    <w:p>
      <w:r>
        <w:t>UTM parameters provide campaign labels. They do not establish consent, identity, or causation. Contact-level activity remains in controlled systems. The public dataset contains aggregate synthetic counts only.</w:t>
      </w:r>
    </w:p>
    <w:p>
      <w:r>
        <w:br w:type="page"/>
      </w:r>
    </w:p>
    <w:p>
      <w:pPr>
        <w:pStyle w:val="Heading1"/>
      </w:pPr>
      <w:r>
        <w:t>5. Synthetic scenario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1944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1224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Engaged</w:t>
            </w:r>
          </w:p>
        </w:tc>
        <w:tc>
          <w:tcPr>
            <w:tcW w:type="dxa" w:w="1224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CPL</w:t>
            </w:r>
          </w:p>
        </w:tc>
        <w:tc>
          <w:tcPr>
            <w:tcW w:type="dxa" w:w="136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CPO</w:t>
            </w:r>
          </w:p>
        </w:tc>
        <w:tc>
          <w:tcPr>
            <w:tcW w:type="dxa" w:w="100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144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Budget share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74.7%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€94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6"/>
              </w:rPr>
              <w:t>€282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91.0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22.3%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>
              <w:rPr>
                <w:sz w:val="16"/>
              </w:rPr>
              <w:t>Webinars</w:t>
            </w:r>
          </w:p>
        </w:tc>
        <w:tc>
          <w:tcPr>
            <w:tcW w:type="dxa" w:w="1224"/>
            <w:vAlign w:val="center"/>
            <w:shd w:fill="EEF3F6"/>
          </w:tcPr>
          <w:p>
            <w:r>
              <w:rPr>
                <w:sz w:val="16"/>
              </w:rPr>
              <w:t>79.8%</w:t>
            </w:r>
          </w:p>
        </w:tc>
        <w:tc>
          <w:tcPr>
            <w:tcW w:type="dxa" w:w="1224"/>
            <w:vAlign w:val="center"/>
            <w:shd w:fill="EEF3F6"/>
          </w:tcPr>
          <w:p>
            <w:r>
              <w:rPr>
                <w:sz w:val="16"/>
              </w:rPr>
              <w:t>€169</w:t>
            </w:r>
          </w:p>
        </w:tc>
        <w:tc>
          <w:tcPr>
            <w:tcW w:type="dxa" w:w="1368"/>
            <w:vAlign w:val="center"/>
            <w:shd w:fill="EEF3F6"/>
          </w:tcPr>
          <w:p>
            <w:r>
              <w:rPr>
                <w:sz w:val="16"/>
              </w:rPr>
              <w:t>€490</w:t>
            </w:r>
          </w:p>
        </w:tc>
        <w:tc>
          <w:tcPr>
            <w:tcW w:type="dxa" w:w="1008"/>
            <w:vAlign w:val="center"/>
            <w:shd w:fill="EEF3F6"/>
          </w:tcPr>
          <w:p>
            <w:r>
              <w:rPr>
                <w:sz w:val="16"/>
              </w:rPr>
              <w:t>82.3</w:t>
            </w:r>
          </w:p>
        </w:tc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20.2%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64.9%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€203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6"/>
              </w:rPr>
              <w:t>€900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70.1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17.2%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>
              <w:rPr>
                <w:sz w:val="16"/>
              </w:rPr>
              <w:t>LinkedIn</w:t>
            </w:r>
          </w:p>
        </w:tc>
        <w:tc>
          <w:tcPr>
            <w:tcW w:type="dxa" w:w="1224"/>
            <w:vAlign w:val="center"/>
            <w:shd w:fill="EEF3F6"/>
          </w:tcPr>
          <w:p>
            <w:r>
              <w:rPr>
                <w:sz w:val="16"/>
              </w:rPr>
              <w:t>60.6%</w:t>
            </w:r>
          </w:p>
        </w:tc>
        <w:tc>
          <w:tcPr>
            <w:tcW w:type="dxa" w:w="1224"/>
            <w:vAlign w:val="center"/>
            <w:shd w:fill="EEF3F6"/>
          </w:tcPr>
          <w:p>
            <w:r>
              <w:rPr>
                <w:sz w:val="16"/>
              </w:rPr>
              <w:t>€270</w:t>
            </w:r>
          </w:p>
        </w:tc>
        <w:tc>
          <w:tcPr>
            <w:tcW w:type="dxa" w:w="1368"/>
            <w:vAlign w:val="center"/>
            <w:shd w:fill="EEF3F6"/>
          </w:tcPr>
          <w:p>
            <w:r>
              <w:rPr>
                <w:sz w:val="16"/>
              </w:rPr>
              <w:t>€912</w:t>
            </w:r>
          </w:p>
        </w:tc>
        <w:tc>
          <w:tcPr>
            <w:tcW w:type="dxa" w:w="1008"/>
            <w:vAlign w:val="center"/>
            <w:shd w:fill="EEF3F6"/>
          </w:tcPr>
          <w:p>
            <w:r>
              <w:rPr>
                <w:sz w:val="16"/>
              </w:rPr>
              <w:t>67.2</w:t>
            </w:r>
          </w:p>
        </w:tc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13.9%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6"/>
              </w:rPr>
              <w:t>Innovation platforms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67.6%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€252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6"/>
              </w:rPr>
              <w:t>€709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66.9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16.4%</w:t>
            </w:r>
          </w:p>
        </w:tc>
      </w:tr>
      <w:tr>
        <w:tc>
          <w:tcPr>
            <w:tcW w:type="dxa" w:w="1944"/>
            <w:vAlign w:val="center"/>
            <w:shd w:fill="EEF3F6"/>
          </w:tcPr>
          <w:p>
            <w:r>
              <w:rPr>
                <w:sz w:val="16"/>
              </w:rPr>
              <w:t>Trade media</w:t>
            </w:r>
          </w:p>
        </w:tc>
        <w:tc>
          <w:tcPr>
            <w:tcW w:type="dxa" w:w="1224"/>
            <w:vAlign w:val="center"/>
            <w:shd w:fill="EEF3F6"/>
          </w:tcPr>
          <w:p>
            <w:r>
              <w:rPr>
                <w:sz w:val="16"/>
              </w:rPr>
              <w:t>46.9%</w:t>
            </w:r>
          </w:p>
        </w:tc>
        <w:tc>
          <w:tcPr>
            <w:tcW w:type="dxa" w:w="1224"/>
            <w:vAlign w:val="center"/>
            <w:shd w:fill="EEF3F6"/>
          </w:tcPr>
          <w:p>
            <w:r>
              <w:rPr>
                <w:sz w:val="16"/>
              </w:rPr>
              <w:t>€474</w:t>
            </w:r>
          </w:p>
        </w:tc>
        <w:tc>
          <w:tcPr>
            <w:tcW w:type="dxa" w:w="1368"/>
            <w:vAlign w:val="center"/>
            <w:shd w:fill="EEF3F6"/>
          </w:tcPr>
          <w:p>
            <w:r>
              <w:rPr>
                <w:sz w:val="16"/>
              </w:rPr>
              <w:t>€1800</w:t>
            </w:r>
          </w:p>
        </w:tc>
        <w:tc>
          <w:tcPr>
            <w:tcW w:type="dxa" w:w="1008"/>
            <w:vAlign w:val="center"/>
            <w:shd w:fill="EEF3F6"/>
          </w:tcPr>
          <w:p>
            <w:r>
              <w:rPr>
                <w:sz w:val="16"/>
              </w:rPr>
              <w:t>30.5</w:t>
            </w:r>
          </w:p>
        </w:tc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10.0%</w:t>
            </w:r>
          </w:p>
        </w:tc>
      </w:tr>
    </w:tbl>
    <w:p/>
    <w:p>
      <w:r>
        <w:t>Email and webinar activity perform strongly in the scenario because they create high-intent interactions with named buying committees. Search contributes greater volume. Trade media remains useful for awareness, but its example pipeline efficiency is weaker. These findings are generated from synthetic inputs.</w:t>
      </w:r>
    </w:p>
    <w:p>
      <w:r>
        <w:br w:type="page"/>
      </w:r>
    </w:p>
    <w:p>
      <w:pPr>
        <w:pStyle w:val="Heading1"/>
      </w:pPr>
      <w:r>
        <w:t>6. Recommendation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88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296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5904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Engagement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6"/>
              </w:rPr>
              <w:t>Signals content relevance</w:t>
            </w:r>
          </w:p>
        </w:tc>
      </w:tr>
      <w:tr>
        <w:tc>
          <w:tcPr>
            <w:tcW w:type="dxa" w:w="2880"/>
            <w:vAlign w:val="center"/>
            <w:shd w:fill="EEF3F6"/>
          </w:tcPr>
          <w:p>
            <w:r>
              <w:rPr>
                <w:sz w:val="16"/>
              </w:rPr>
              <w:t>Lead efficiency</w:t>
            </w:r>
          </w:p>
        </w:tc>
        <w:tc>
          <w:tcPr>
            <w:tcW w:type="dxa" w:w="1296"/>
            <w:vAlign w:val="center"/>
            <w:shd w:fill="EEF3F6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5904"/>
            <w:vAlign w:val="center"/>
            <w:shd w:fill="EEF3F6"/>
          </w:tcPr>
          <w:p>
            <w:r>
              <w:rPr>
                <w:sz w:val="16"/>
              </w:rPr>
              <w:t>Rewards efficient qualification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Opportunity efficiency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6"/>
              </w:rPr>
              <w:t>Rewards buying-committee progression</w:t>
            </w:r>
          </w:p>
        </w:tc>
      </w:tr>
      <w:tr>
        <w:tc>
          <w:tcPr>
            <w:tcW w:type="dxa" w:w="2880"/>
            <w:vAlign w:val="center"/>
            <w:shd w:fill="EEF3F6"/>
          </w:tcPr>
          <w:p>
            <w:r>
              <w:rPr>
                <w:sz w:val="16"/>
              </w:rPr>
              <w:t>Strategic fit</w:t>
            </w:r>
          </w:p>
        </w:tc>
        <w:tc>
          <w:tcPr>
            <w:tcW w:type="dxa" w:w="1296"/>
            <w:vAlign w:val="center"/>
            <w:shd w:fill="EEF3F6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5904"/>
            <w:vAlign w:val="center"/>
            <w:shd w:fill="EEF3F6"/>
          </w:tcPr>
          <w:p>
            <w:r>
              <w:rPr>
                <w:sz w:val="16"/>
              </w:rPr>
              <w:t>Preserves B2G and pilot relevance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  <w:t>Data confidence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6"/>
              </w:rPr>
              <w:t>Reduces confidence in incomplete channels</w:t>
            </w:r>
          </w:p>
        </w:tc>
      </w:tr>
    </w:tbl>
    <w:p/>
    <w:p>
      <w:r>
        <w:t>Each channel receives at least 10% and at most 30% of the illustrative budget. This avoids abrupt concentration from a small sample. The allocation is an auditable heuristic. It does not estimate causal incremental return.</w:t>
      </w:r>
    </w:p>
    <w:p>
      <w:pPr>
        <w:pStyle w:val="Heading2"/>
      </w:pPr>
      <w:r>
        <w:t>Required human review</w:t>
      </w:r>
    </w:p>
    <w:p>
      <w:pPr>
        <w:pStyle w:val="ListBullet"/>
      </w:pPr>
      <w:r>
        <w:t>Confirm the campaign has a lawful and documented operating basis.</w:t>
      </w:r>
    </w:p>
    <w:p>
      <w:pPr>
        <w:pStyle w:val="ListBullet"/>
      </w:pPr>
      <w:r>
        <w:t>Check whether conversions represent one account or many independent accounts.</w:t>
      </w:r>
    </w:p>
    <w:p>
      <w:pPr>
        <w:pStyle w:val="ListBullet"/>
      </w:pPr>
      <w:r>
        <w:t>Review procurement timing and buying-committee coverage.</w:t>
      </w:r>
    </w:p>
    <w:p>
      <w:pPr>
        <w:pStyle w:val="ListBullet"/>
      </w:pPr>
      <w:r>
        <w:t>Verify that product claims remain within owned evidence.</w:t>
      </w:r>
    </w:p>
    <w:p>
      <w:pPr>
        <w:pStyle w:val="ListBullet"/>
      </w:pPr>
      <w:r>
        <w:t>Record the decision, owner, rationale, and review date.</w:t>
      </w:r>
    </w:p>
    <w:p>
      <w:r>
        <w:br w:type="page"/>
      </w:r>
    </w:p>
    <w:p>
      <w:pPr>
        <w:pStyle w:val="Heading1"/>
      </w:pPr>
      <w:r>
        <w:t>7. Privacy and AI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72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04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312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Consent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Gate optional tags and preserve preference state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Configuration and test log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>
              <w:rPr>
                <w:sz w:val="16"/>
              </w:rPr>
              <w:t>Minimisation</w:t>
            </w:r>
          </w:p>
        </w:tc>
        <w:tc>
          <w:tcPr>
            <w:tcW w:type="dxa" w:w="5040"/>
            <w:vAlign w:val="center"/>
            <w:shd w:fill="EEF3F6"/>
          </w:tcPr>
          <w:p>
            <w:r>
              <w:rPr>
                <w:sz w:val="16"/>
              </w:rPr>
              <w:t>Collect campaign and funnel fields required for the stated purpose</w:t>
            </w:r>
          </w:p>
        </w:tc>
        <w:tc>
          <w:tcPr>
            <w:tcW w:type="dxa" w:w="3312"/>
            <w:vAlign w:val="center"/>
            <w:shd w:fill="EEF3F6"/>
          </w:tcPr>
          <w:p>
            <w:r>
              <w:rPr>
                <w:sz w:val="16"/>
              </w:rPr>
              <w:t>Data dictionary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Delete or aggregate data on an approved schedule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Retention rule and deletion evidence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>
              <w:rPr>
                <w:sz w:val="16"/>
              </w:rPr>
              <w:t>Claims</w:t>
            </w:r>
          </w:p>
        </w:tc>
        <w:tc>
          <w:tcPr>
            <w:tcW w:type="dxa" w:w="5040"/>
            <w:vAlign w:val="center"/>
            <w:shd w:fill="EEF3F6"/>
          </w:tcPr>
          <w:p>
            <w:r>
              <w:rPr>
                <w:sz w:val="16"/>
              </w:rPr>
              <w:t>Link each capability or impact statement to an evidence owner</w:t>
            </w:r>
          </w:p>
        </w:tc>
        <w:tc>
          <w:tcPr>
            <w:tcW w:type="dxa" w:w="3312"/>
            <w:vAlign w:val="center"/>
            <w:shd w:fill="EEF3F6"/>
          </w:tcPr>
          <w:p>
            <w:r>
              <w:rPr>
                <w:sz w:val="16"/>
              </w:rPr>
              <w:t>Claims register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  <w:t>AI oversight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Define intended purpose, intervention, logging, and fallback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System card and test plan</w:t>
            </w:r>
          </w:p>
        </w:tc>
      </w:tr>
      <w:tr>
        <w:tc>
          <w:tcPr>
            <w:tcW w:type="dxa" w:w="1728"/>
            <w:vAlign w:val="center"/>
            <w:shd w:fill="EEF3F6"/>
          </w:tcPr>
          <w:p>
            <w:r>
              <w:rPr>
                <w:sz w:val="16"/>
              </w:rPr>
              <w:t>Separation</w:t>
            </w:r>
          </w:p>
        </w:tc>
        <w:tc>
          <w:tcPr>
            <w:tcW w:type="dxa" w:w="5040"/>
            <w:vAlign w:val="center"/>
            <w:shd w:fill="EEF3F6"/>
          </w:tcPr>
          <w:p>
            <w:r>
              <w:rPr>
                <w:sz w:val="16"/>
              </w:rPr>
              <w:t>Keep marketing analytics outside operational traffic data flows</w:t>
            </w:r>
          </w:p>
        </w:tc>
        <w:tc>
          <w:tcPr>
            <w:tcW w:type="dxa" w:w="3312"/>
            <w:vAlign w:val="center"/>
            <w:shd w:fill="EEF3F6"/>
          </w:tcPr>
          <w:p>
            <w:r>
              <w:rPr>
                <w:sz w:val="16"/>
              </w:rPr>
              <w:t>Architecture decision record</w:t>
            </w:r>
          </w:p>
        </w:tc>
      </w:tr>
    </w:tbl>
    <w:p/>
    <w:p>
      <w:r>
        <w:t>Classification under the EU AI Act depends on the intended purpose and actual deployment. A real supplier must obtain qualified legal and technical analysis rather than infer classification from marketing language.</w:t>
      </w:r>
    </w:p>
    <w:p>
      <w:r>
        <w:br w:type="page"/>
      </w:r>
    </w:p>
    <w:p>
      <w:pPr>
        <w:pStyle w:val="Heading1"/>
      </w:pPr>
      <w:r>
        <w:t>8.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</w:trPr>
        <w:tc>
          <w:tcPr>
            <w:tcW w:type="dxa" w:w="576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024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08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00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24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Primary control</w:t>
            </w:r>
          </w:p>
        </w:tc>
        <w:tc>
          <w:tcPr>
            <w:tcW w:type="dxa" w:w="144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  <w:t>Campaign tracking begins before valid consent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Consent management, tag gating, regional validation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Marketing Operations</w:t>
            </w:r>
          </w:p>
        </w:tc>
      </w:tr>
      <w:tr>
        <w:tc>
          <w:tcPr>
            <w:tcW w:type="dxa" w:w="576"/>
            <w:vAlign w:val="center"/>
            <w:shd w:fill="EEF3F6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024"/>
            <w:vAlign w:val="center"/>
            <w:shd w:fill="EEF3F6"/>
          </w:tcPr>
          <w:p>
            <w:r>
              <w:rPr>
                <w:sz w:val="16"/>
              </w:rPr>
              <w:t>Public-sector contacts are used without a lawful outreach basis</w:t>
            </w:r>
          </w:p>
        </w:tc>
        <w:tc>
          <w:tcPr>
            <w:tcW w:type="dxa" w:w="1080"/>
            <w:vAlign w:val="center"/>
            <w:shd w:fill="EEF3F6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08"/>
            <w:vAlign w:val="center"/>
            <w:shd w:fill="EEF3F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240"/>
            <w:vAlign w:val="center"/>
            <w:shd w:fill="EEF3F6"/>
          </w:tcPr>
          <w:p>
            <w:r>
              <w:rPr>
                <w:sz w:val="16"/>
              </w:rPr>
              <w:t>Purpose review, suppression list, documented outreach rules</w:t>
            </w:r>
          </w:p>
        </w:tc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DPO and Legal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  <w:t>Synthetic performance is presented as production evidence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Prominent labels, provenance notes, no customer claims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Portfolio Owner</w:t>
            </w:r>
          </w:p>
        </w:tc>
      </w:tr>
      <w:tr>
        <w:tc>
          <w:tcPr>
            <w:tcW w:type="dxa" w:w="576"/>
            <w:vAlign w:val="center"/>
            <w:shd w:fill="EEF3F6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3024"/>
            <w:vAlign w:val="center"/>
            <w:shd w:fill="EEF3F6"/>
          </w:tcPr>
          <w:p>
            <w:r>
              <w:rPr>
                <w:sz w:val="16"/>
              </w:rPr>
              <w:t>AI capability claims exceed tested system boundaries</w:t>
            </w:r>
          </w:p>
        </w:tc>
        <w:tc>
          <w:tcPr>
            <w:tcW w:type="dxa" w:w="1080"/>
            <w:vAlign w:val="center"/>
            <w:shd w:fill="EEF3F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08"/>
            <w:vAlign w:val="center"/>
            <w:shd w:fill="EEF3F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240"/>
            <w:vAlign w:val="center"/>
            <w:shd w:fill="EEF3F6"/>
          </w:tcPr>
          <w:p>
            <w:r>
              <w:rPr>
                <w:sz w:val="16"/>
              </w:rPr>
              <w:t>Claims register, technical review, evidence owner</w:t>
            </w:r>
          </w:p>
        </w:tc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Product and AI Lead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  <w:t>A channel is scaled from low-volume or biased data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Confidence threshold, minimum sample size, human review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Growth Lead</w:t>
            </w:r>
          </w:p>
        </w:tc>
      </w:tr>
      <w:tr>
        <w:tc>
          <w:tcPr>
            <w:tcW w:type="dxa" w:w="576"/>
            <w:vAlign w:val="center"/>
            <w:shd w:fill="EEF3F6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3024"/>
            <w:vAlign w:val="center"/>
            <w:shd w:fill="EEF3F6"/>
          </w:tcPr>
          <w:p>
            <w:r>
              <w:rPr>
                <w:sz w:val="16"/>
              </w:rPr>
              <w:t>Procurement journey is reduced to a consumer funnel</w:t>
            </w:r>
          </w:p>
        </w:tc>
        <w:tc>
          <w:tcPr>
            <w:tcW w:type="dxa" w:w="1080"/>
            <w:vAlign w:val="center"/>
            <w:shd w:fill="EEF3F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08"/>
            <w:vAlign w:val="center"/>
            <w:shd w:fill="EEF3F6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240"/>
            <w:vAlign w:val="center"/>
            <w:shd w:fill="EEF3F6"/>
          </w:tcPr>
          <w:p>
            <w:r>
              <w:rPr>
                <w:sz w:val="16"/>
              </w:rPr>
              <w:t>Buying-committee stages, tender readiness, long-cycle attribution</w:t>
            </w:r>
          </w:p>
        </w:tc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B2G Sales Lead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  <w:t>Traffic-system deployment creates safety or resilience risk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  <w:t>Very High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6"/>
              </w:rPr>
              <w:t>Pilot sandbox, fail-safe mode, simulation, rollback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Engineering and Municipality</w:t>
            </w:r>
          </w:p>
        </w:tc>
      </w:tr>
      <w:tr>
        <w:tc>
          <w:tcPr>
            <w:tcW w:type="dxa" w:w="576"/>
            <w:vAlign w:val="center"/>
            <w:shd w:fill="EEF3F6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3024"/>
            <w:vAlign w:val="center"/>
            <w:shd w:fill="EEF3F6"/>
          </w:tcPr>
          <w:p>
            <w:r>
              <w:rPr>
                <w:sz w:val="16"/>
              </w:rPr>
              <w:t>Personal data leaks through campaign exports</w:t>
            </w:r>
          </w:p>
        </w:tc>
        <w:tc>
          <w:tcPr>
            <w:tcW w:type="dxa" w:w="1080"/>
            <w:vAlign w:val="center"/>
            <w:shd w:fill="EEF3F6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008"/>
            <w:vAlign w:val="center"/>
            <w:shd w:fill="EEF3F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240"/>
            <w:vAlign w:val="center"/>
            <w:shd w:fill="EEF3F6"/>
          </w:tcPr>
          <w:p>
            <w:r>
              <w:rPr>
                <w:sz w:val="16"/>
              </w:rPr>
              <w:t>Aggregate repository data, access controls, retention schedule</w:t>
            </w:r>
          </w:p>
        </w:tc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Data Owner</w:t>
            </w:r>
          </w:p>
        </w:tc>
      </w:tr>
    </w:tbl>
    <w:p/>
    <w:p>
      <w:r>
        <w:br w:type="page"/>
      </w:r>
    </w:p>
    <w:p>
      <w:pPr>
        <w:pStyle w:val="Heading1"/>
      </w:pPr>
      <w:r>
        <w:t>9. Ninety-day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440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5616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Work</w:t>
            </w:r>
          </w:p>
        </w:tc>
        <w:tc>
          <w:tcPr>
            <w:tcW w:type="dxa" w:w="3168"/>
            <w:shd w:fill="173A5E"/>
            <w:vAlign w:val="center"/>
          </w:tcPr>
          <w:p>
            <w:r>
              <w:rPr>
                <w:b/>
                <w:color w:val="FFFFFF"/>
                <w:sz w:val="17"/>
              </w:rPr>
              <w:t>Exit evidence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Days 1–15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6"/>
              </w:rPr>
              <w:t>Confirm buyer problem, data boundary, claims status, and funnel definitions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Approved scope and data dictionary</w:t>
            </w:r>
          </w:p>
        </w:tc>
      </w:tr>
      <w:tr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Days 16–30</w:t>
            </w:r>
          </w:p>
        </w:tc>
        <w:tc>
          <w:tcPr>
            <w:tcW w:type="dxa" w:w="5616"/>
            <w:vAlign w:val="center"/>
            <w:shd w:fill="EEF3F6"/>
          </w:tcPr>
          <w:p>
            <w:r>
              <w:rPr>
                <w:sz w:val="16"/>
              </w:rPr>
              <w:t>Build governed campaign registry, landing pages, and consent tests</w:t>
            </w:r>
          </w:p>
        </w:tc>
        <w:tc>
          <w:tcPr>
            <w:tcW w:type="dxa" w:w="3168"/>
            <w:vAlign w:val="center"/>
            <w:shd w:fill="EEF3F6"/>
          </w:tcPr>
          <w:p>
            <w:r>
              <w:rPr>
                <w:sz w:val="16"/>
              </w:rPr>
              <w:t>Launch checklist and test log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Days 31–45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6"/>
              </w:rPr>
              <w:t>Publish evidence assets and run initial account-based outreach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Campaign registry and engagement baseline</w:t>
            </w:r>
          </w:p>
        </w:tc>
      </w:tr>
      <w:tr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Days 46–60</w:t>
            </w:r>
          </w:p>
        </w:tc>
        <w:tc>
          <w:tcPr>
            <w:tcW w:type="dxa" w:w="5616"/>
            <w:vAlign w:val="center"/>
            <w:shd w:fill="EEF3F6"/>
          </w:tcPr>
          <w:p>
            <w:r>
              <w:rPr>
                <w:sz w:val="16"/>
              </w:rPr>
              <w:t>Run webinar and pilot-readiness discovery</w:t>
            </w:r>
          </w:p>
        </w:tc>
        <w:tc>
          <w:tcPr>
            <w:tcW w:type="dxa" w:w="3168"/>
            <w:vAlign w:val="center"/>
            <w:shd w:fill="EEF3F6"/>
          </w:tcPr>
          <w:p>
            <w:r>
              <w:rPr>
                <w:sz w:val="16"/>
              </w:rPr>
              <w:t>Qualified account notes and objections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  <w:t>Days 61–75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6"/>
              </w:rPr>
              <w:t>Review channel quality, procurement stage, and claims</w:t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  <w:t>Decision record and experiment backlog</w:t>
            </w:r>
          </w:p>
        </w:tc>
      </w:tr>
      <w:tr>
        <w:tc>
          <w:tcPr>
            <w:tcW w:type="dxa" w:w="1440"/>
            <w:vAlign w:val="center"/>
            <w:shd w:fill="EEF3F6"/>
          </w:tcPr>
          <w:p>
            <w:r>
              <w:rPr>
                <w:sz w:val="16"/>
              </w:rPr>
              <w:t>Days 76–90</w:t>
            </w:r>
          </w:p>
        </w:tc>
        <w:tc>
          <w:tcPr>
            <w:tcW w:type="dxa" w:w="5616"/>
            <w:vAlign w:val="center"/>
            <w:shd w:fill="EEF3F6"/>
          </w:tcPr>
          <w:p>
            <w:r>
              <w:rPr>
                <w:sz w:val="16"/>
              </w:rPr>
              <w:t>Present pilot business case and controlled next-quarter allocation</w:t>
            </w:r>
          </w:p>
        </w:tc>
        <w:tc>
          <w:tcPr>
            <w:tcW w:type="dxa" w:w="3168"/>
            <w:vAlign w:val="center"/>
            <w:shd w:fill="EEF3F6"/>
          </w:tcPr>
          <w:p>
            <w:r>
              <w:rPr>
                <w:sz w:val="16"/>
              </w:rPr>
              <w:t>Pilot proposal and approved budget</w:t>
            </w:r>
          </w:p>
        </w:tc>
      </w:tr>
    </w:tbl>
    <w:p/>
    <w:p>
      <w:r>
        <w:br w:type="page"/>
      </w:r>
    </w:p>
    <w:p>
      <w:pPr>
        <w:pStyle w:val="Heading1"/>
      </w:pPr>
      <w:r>
        <w:t>10. Limitations</w:t>
      </w:r>
    </w:p>
    <w:p>
      <w:pPr>
        <w:pStyle w:val="ListBullet"/>
      </w:pPr>
      <w:r>
        <w:t>Campaign values are synthetic and are not market benchmarks.</w:t>
      </w:r>
    </w:p>
    <w:p>
      <w:pPr>
        <w:pStyle w:val="ListBullet"/>
      </w:pPr>
      <w:r>
        <w:t>The scoring weights reflect a portfolio scenario and require sensitivity analysis in practice.</w:t>
      </w:r>
    </w:p>
    <w:p>
      <w:pPr>
        <w:pStyle w:val="ListBullet"/>
      </w:pPr>
      <w:r>
        <w:t>Last-known campaign attribution does not establish causal contribution.</w:t>
      </w:r>
    </w:p>
    <w:p>
      <w:pPr>
        <w:pStyle w:val="ListBullet"/>
      </w:pPr>
      <w:r>
        <w:t>Public-sector sales cycles may span budgets, elections, tenders, grants, and policy changes.</w:t>
      </w:r>
    </w:p>
    <w:p>
      <w:pPr>
        <w:pStyle w:val="ListBullet"/>
      </w:pPr>
      <w:r>
        <w:t>Traffic-control safety, security, and AI performance are outside this marketing analysis.</w:t>
      </w:r>
    </w:p>
    <w:p>
      <w:pPr>
        <w:pStyle w:val="ListBullet"/>
      </w:pPr>
      <w:r>
        <w:t>Jurisdiction-specific procurement and direct-marketing requirements are not legal advice.</w:t>
      </w:r>
    </w:p>
    <w:p>
      <w:pPr>
        <w:pStyle w:val="Heading2"/>
      </w:pPr>
      <w:r>
        <w:t>Conclusion</w:t>
      </w:r>
    </w:p>
    <w:p>
      <w:r>
        <w:t>A credible digital-marketing system for public-sector AI links every message to evidence, every campaign to a governed purpose, every lead to a buying committee, and every budget recommendation to accountable human review. The portfolio value lies in this operating model and its reproducible artefacts.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rPr>
          <w:b/>
        </w:rPr>
        <w:t xml:space="preserve">European Commission. Sustainable urban mobility planning and monitoring. 2026. </w:t>
      </w:r>
      <w:r>
        <w:t>https://transport.ec.europa.eu/transport-themes/urban-transport/sustainable-urban-mobility-planning-and-monitoring_en</w:t>
      </w:r>
    </w:p>
    <w:p>
      <w:pPr>
        <w:pStyle w:val="ListNumber"/>
      </w:pPr>
      <w:r>
        <w:rPr>
          <w:b/>
        </w:rPr>
        <w:t xml:space="preserve">European Commission. The New EU Urban Mobility Framework. 2021. </w:t>
      </w:r>
      <w:r>
        <w:t>https://transport.ec.europa.eu/system/files/2021-12/com_2021_811_the-new-eu-urban-mobility.pdf</w:t>
      </w:r>
    </w:p>
    <w:p>
      <w:pPr>
        <w:pStyle w:val="ListNumber"/>
      </w:pPr>
      <w:r>
        <w:rPr>
          <w:b/>
        </w:rPr>
        <w:t xml:space="preserve">European Commission. Intelligent transport systems for roads. 2026. </w:t>
      </w:r>
      <w:r>
        <w:t>https://transport.ec.europa.eu/transport-themes/smart-mobility/road_en</w:t>
      </w:r>
    </w:p>
    <w:p>
      <w:pPr>
        <w:pStyle w:val="ListNumber"/>
      </w:pPr>
      <w:r>
        <w:rPr>
          <w:b/>
        </w:rPr>
        <w:t xml:space="preserve">European Commission. Innovation procurement. 2026. </w:t>
      </w:r>
      <w:r>
        <w:t>https://commission.europa.eu/funding-and-tenders/tools-public-buyers/innovation-procurement_en</w:t>
      </w:r>
    </w:p>
    <w:p>
      <w:pPr>
        <w:pStyle w:val="ListNumber"/>
      </w:pPr>
      <w:r>
        <w:rPr>
          <w:b/>
        </w:rPr>
        <w:t xml:space="preserve">European Union. Regulation (EU) 2024/1689, Artificial Intelligence Act. 2024. </w:t>
      </w:r>
      <w:r>
        <w:t>https://eur-lex.europa.eu/eli/reg/2024/1689/oj</w:t>
      </w:r>
    </w:p>
    <w:p>
      <w:pPr>
        <w:pStyle w:val="ListNumber"/>
      </w:pPr>
      <w:r>
        <w:rPr>
          <w:b/>
        </w:rPr>
        <w:t xml:space="preserve">European Union. Regulation (EU) 2016/679, General Data Protection Regulation. 2016. </w:t>
      </w:r>
      <w:r>
        <w:t>https://eur-lex.europa.eu/eli/reg/2016/679/oj</w:t>
      </w:r>
    </w:p>
    <w:p>
      <w:pPr>
        <w:pStyle w:val="ListNumber"/>
      </w:pPr>
      <w:r>
        <w:rPr>
          <w:b/>
        </w:rPr>
        <w:t xml:space="preserve">European Data Protection Board. Guidelines 05/2020 on consent under Regulation 2016/679. 2020. </w:t>
      </w:r>
      <w:r>
        <w:t>https://www.edpb.europa.eu/sites/default/files/files/file1/edpb_guidelines_202005_consent_en.pdf</w:t>
      </w:r>
    </w:p>
    <w:p>
      <w:pPr>
        <w:pStyle w:val="ListNumber"/>
      </w:pPr>
      <w:r>
        <w:rPr>
          <w:b/>
        </w:rPr>
        <w:t xml:space="preserve">Google Analytics Help. Collect campaign data with custom URLs. 2026. </w:t>
      </w:r>
      <w:r>
        <w:t>https://support.google.com/analytics/answer/10917952</w:t>
      </w:r>
    </w:p>
    <w:p>
      <w:pPr>
        <w:pStyle w:val="ListNumber"/>
      </w:pPr>
      <w:r>
        <w:rPr>
          <w:b/>
        </w:rPr>
        <w:t xml:space="preserve">NIST. Artificial Intelligence Risk Management Framework 1.0. 2023. </w:t>
      </w:r>
      <w:r>
        <w:t>https://doi.org/10.6028/NIST.AI.100-1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C79"/>
        <w:sz w:val="16"/>
      </w:rPr>
      <w:t>Public portfolio edition  •  Synthetic data  •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C79"/>
        <w:sz w:val="15"/>
      </w:rPr>
      <w:t>DIGITAL MARKETING FOR AN AI TRAFFIC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A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8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A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