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355080" cy="3576633"/>
            <wp:docPr id="1" name="Picture 1" descr="Image: image1.png"/>
            <wp:cNvGraphicFramePr>
              <a:graphicFrameLocks noChangeAspect="1"/>
            </wp:cNvGraphicFramePr>
            <a:graphic>
              <a:graphicData uri="http://schemas.openxmlformats.org/drawingml/2006/picture">
                <pic:pic>
                  <pic:nvPicPr>
                    <pic:cNvPr id="0" name="healthcare-privacy-cover.png"/>
                    <pic:cNvPicPr/>
                  </pic:nvPicPr>
                  <pic:blipFill>
                    <a:blip r:embed="rId10"/>
                    <a:stretch>
                      <a:fillRect/>
                    </a:stretch>
                  </pic:blipFill>
                  <pic:spPr>
                    <a:xfrm>
                      <a:off x="0" y="0"/>
                      <a:ext cx="6355080" cy="3576633"/>
                    </a:xfrm>
                    <a:prstGeom prst="rect"/>
                  </pic:spPr>
                </pic:pic>
              </a:graphicData>
            </a:graphic>
          </wp:inline>
        </w:drawing>
      </w:r>
    </w:p>
    <w:p>
      <w:pPr>
        <w:pStyle w:val="Title"/>
        <w:jc w:val="left"/>
      </w:pPr>
      <w:r>
        <w:t>Healthcare Privacy Notice GDPR Analysis</w:t>
      </w:r>
    </w:p>
    <w:p>
      <w:r>
        <w:rPr>
          <w:b/>
          <w:color w:val="147D80"/>
          <w:sz w:val="28"/>
        </w:rPr>
        <w:t>Independent transparency maturity assessment and remediation blueprint</w:t>
      </w:r>
    </w:p>
    <w:p>
      <w:pPr>
        <w:spacing w:after="160" w:line="276" w:lineRule="auto"/>
      </w:pPr>
      <w:r>
        <w:t>Assessment of a publicly available healthcare-group privacy notice against GDPR transparency requirements and European regulatory guidance.</w:t>
      </w:r>
    </w:p>
    <w:p>
      <w:r>
        <w:rPr>
          <w:b/>
        </w:rPr>
        <w:t xml:space="preserve">Author: </w:t>
      </w:r>
      <w:r>
        <w:t>Spyridon Grouztidis</w:t>
      </w:r>
    </w:p>
    <w:p>
      <w:r>
        <w:rPr>
          <w:b/>
        </w:rPr>
        <w:t xml:space="preserve">Assessment date: </w:t>
      </w:r>
      <w:r>
        <w:t>15 October 2026</w:t>
      </w:r>
    </w:p>
    <w:p>
      <w:r>
        <w:rPr>
          <w:i/>
          <w:color w:val="5E6B75"/>
        </w:rPr>
        <w:t>Portfolio case study. Not legal advice. No patient or employee data used.</w:t>
      </w:r>
    </w:p>
    <w:p>
      <w:r>
        <w:br w:type="page"/>
      </w:r>
    </w:p>
    <w:p>
      <w:pPr>
        <w:pStyle w:val="Heading1"/>
        <w:keepNext/>
      </w:pPr>
      <w:r>
        <w:t>Executive Summary</w:t>
      </w:r>
    </w:p>
    <w:p>
      <w:pPr>
        <w:spacing w:after="160" w:line="276" w:lineRule="auto"/>
      </w:pPr>
      <w:r>
        <w:t>The public notice demonstrates broad substantive coverage. It identifies group entities, contact routes, categories of personal data, purposes and lawful bases, recipients, transfers, retention, security, DPIAs, breach handling, rights, supervisory authorities, and the DPO. For a healthcare environment processing health, genetic, biometric, employment, insurance, research, and digital-service data, this breadth is a meaningful strength.</w:t>
      </w:r>
    </w:p>
    <w:p>
      <w:pPr>
        <w:spacing w:after="160" w:line="276" w:lineRule="auto"/>
      </w:pPr>
      <w:r>
        <w:t>The main weakness is not topic absence but traceability. A reader must connect separate narrative sections to determine which entity processes a particular data category, for which purpose, under which Article 6 ground and Article 9 condition, with which recipients, transfer mechanism, retention period, and rights. This makes the notice harder to use than its substantive content requires.</w:t>
      </w:r>
    </w:p>
    <w:p>
      <w:pPr>
        <w:spacing w:after="160" w:line="276" w:lineRule="auto"/>
      </w:pPr>
      <w:r>
        <w:t>The assessment assigns a transparency maturity score of 7.1/10. This is not a determination of legal compliance. The score reflects observable public communication, not internal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880"/>
            <w:vAlign w:val="center"/>
            <w:tcMar>
              <w:top w:w="100" w:type="dxa"/>
              <w:start w:w="120" w:type="dxa"/>
              <w:bottom w:w="100" w:type="dxa"/>
              <w:end w:w="120" w:type="dxa"/>
            </w:tcMar>
            <w:shd w:fill="123047"/>
          </w:tcPr>
          <w:p>
            <w:pPr>
              <w:spacing w:after="0"/>
            </w:pPr>
            <w:r/>
            <w:r>
              <w:rPr>
                <w:rFonts w:ascii="Arial" w:hAnsi="Arial"/>
                <w:b/>
                <w:color w:val="FFFFFF"/>
                <w:sz w:val="18"/>
              </w:rPr>
              <w:t>Domain</w:t>
            </w:r>
          </w:p>
        </w:tc>
        <w:tc>
          <w:tcPr>
            <w:tcW w:type="dxa" w:w="1440"/>
            <w:vAlign w:val="center"/>
            <w:tcMar>
              <w:top w:w="100" w:type="dxa"/>
              <w:start w:w="120" w:type="dxa"/>
              <w:bottom w:w="100" w:type="dxa"/>
              <w:end w:w="120" w:type="dxa"/>
            </w:tcMar>
            <w:shd w:fill="123047"/>
          </w:tcPr>
          <w:p>
            <w:pPr>
              <w:spacing w:after="0"/>
            </w:pPr>
            <w:r/>
            <w:r>
              <w:rPr>
                <w:rFonts w:ascii="Arial" w:hAnsi="Arial"/>
                <w:b/>
                <w:color w:val="FFFFFF"/>
                <w:sz w:val="18"/>
              </w:rPr>
              <w:t>Score / 5</w:t>
            </w:r>
          </w:p>
        </w:tc>
        <w:tc>
          <w:tcPr>
            <w:tcW w:type="dxa" w:w="5616"/>
            <w:vAlign w:val="center"/>
            <w:tcMar>
              <w:top w:w="100" w:type="dxa"/>
              <w:start w:w="120" w:type="dxa"/>
              <w:bottom w:w="100" w:type="dxa"/>
              <w:end w:w="120" w:type="dxa"/>
            </w:tcMar>
            <w:shd w:fill="123047"/>
          </w:tcPr>
          <w:p>
            <w:pPr>
              <w:spacing w:after="0"/>
            </w:pPr>
            <w:r/>
            <w:r>
              <w:rPr>
                <w:rFonts w:ascii="Arial" w:hAnsi="Arial"/>
                <w:b/>
                <w:color w:val="FFFFFF"/>
                <w:sz w:val="18"/>
              </w:rPr>
              <w:t>Assessment</w:t>
            </w:r>
          </w:p>
        </w:tc>
        <w:trPr>
          <w:tblHeader/>
        </w:trPr>
      </w:tr>
      <w:tr>
        <w:tc>
          <w:tcPr>
            <w:tcW w:type="dxa" w:w="2880"/>
            <w:vAlign w:val="center"/>
            <w:tcMar>
              <w:top w:w="100" w:type="dxa"/>
              <w:start w:w="120" w:type="dxa"/>
              <w:bottom w:w="100" w:type="dxa"/>
              <w:end w:w="120" w:type="dxa"/>
            </w:tcMar>
          </w:tcPr>
          <w:p>
            <w:pPr>
              <w:spacing w:after="0"/>
            </w:pPr>
            <w:r/>
            <w:r>
              <w:rPr>
                <w:rFonts w:ascii="Arial" w:hAnsi="Arial"/>
                <w:b w:val="0"/>
                <w:color w:val="1D2630"/>
                <w:sz w:val="17"/>
              </w:rPr>
              <w:t>Coverage</w:t>
            </w:r>
          </w:p>
        </w:tc>
        <w:tc>
          <w:tcPr>
            <w:tcW w:type="dxa" w:w="1440"/>
            <w:vAlign w:val="center"/>
            <w:tcMar>
              <w:top w:w="100" w:type="dxa"/>
              <w:start w:w="120" w:type="dxa"/>
              <w:bottom w:w="100" w:type="dxa"/>
              <w:end w:w="120" w:type="dxa"/>
            </w:tcMar>
          </w:tcPr>
          <w:p>
            <w:pPr>
              <w:spacing w:after="0"/>
            </w:pPr>
            <w:r/>
            <w:r>
              <w:rPr>
                <w:rFonts w:ascii="Arial" w:hAnsi="Arial"/>
                <w:b w:val="0"/>
                <w:color w:val="1D2630"/>
                <w:sz w:val="17"/>
              </w:rPr>
              <w:t>4.5</w:t>
            </w:r>
          </w:p>
        </w:tc>
        <w:tc>
          <w:tcPr>
            <w:tcW w:type="dxa" w:w="5616"/>
            <w:vAlign w:val="center"/>
            <w:tcMar>
              <w:top w:w="100" w:type="dxa"/>
              <w:start w:w="120" w:type="dxa"/>
              <w:bottom w:w="100" w:type="dxa"/>
              <w:end w:w="120" w:type="dxa"/>
            </w:tcMar>
          </w:tcPr>
          <w:p>
            <w:pPr>
              <w:spacing w:after="0"/>
            </w:pPr>
            <w:r/>
            <w:r>
              <w:rPr>
                <w:rFonts w:ascii="Arial" w:hAnsi="Arial"/>
                <w:b w:val="0"/>
                <w:color w:val="1D2630"/>
                <w:sz w:val="17"/>
              </w:rPr>
              <w:t>Broad and sector-relevant</w:t>
            </w:r>
          </w:p>
        </w:tc>
      </w:tr>
      <w:tr>
        <w:tc>
          <w:tcPr>
            <w:tcW w:type="dxa" w:w="2880"/>
            <w:vAlign w:val="center"/>
            <w:tcMar>
              <w:top w:w="100" w:type="dxa"/>
              <w:start w:w="120" w:type="dxa"/>
              <w:bottom w:w="100" w:type="dxa"/>
              <w:end w:w="120" w:type="dxa"/>
            </w:tcMar>
            <w:shd w:fill="F7FAFA"/>
          </w:tcPr>
          <w:p>
            <w:pPr>
              <w:spacing w:after="0"/>
            </w:pPr>
            <w:r/>
            <w:r>
              <w:rPr>
                <w:rFonts w:ascii="Arial" w:hAnsi="Arial"/>
                <w:b w:val="0"/>
                <w:color w:val="1D2630"/>
                <w:sz w:val="17"/>
              </w:rPr>
              <w:t>Specificity</w:t>
            </w:r>
          </w:p>
        </w:tc>
        <w:tc>
          <w:tcPr>
            <w:tcW w:type="dxa" w:w="1440"/>
            <w:vAlign w:val="center"/>
            <w:tcMar>
              <w:top w:w="100" w:type="dxa"/>
              <w:start w:w="120" w:type="dxa"/>
              <w:bottom w:w="100" w:type="dxa"/>
              <w:end w:w="120" w:type="dxa"/>
            </w:tcMar>
            <w:shd w:fill="F7FAFA"/>
          </w:tcPr>
          <w:p>
            <w:pPr>
              <w:spacing w:after="0"/>
            </w:pPr>
            <w:r/>
            <w:r>
              <w:rPr>
                <w:rFonts w:ascii="Arial" w:hAnsi="Arial"/>
                <w:b w:val="0"/>
                <w:color w:val="1D2630"/>
                <w:sz w:val="17"/>
              </w:rPr>
              <w:t>3.7</w:t>
            </w:r>
          </w:p>
        </w:tc>
        <w:tc>
          <w:tcPr>
            <w:tcW w:type="dxa" w:w="5616"/>
            <w:vAlign w:val="center"/>
            <w:tcMar>
              <w:top w:w="100" w:type="dxa"/>
              <w:start w:w="120" w:type="dxa"/>
              <w:bottom w:w="100" w:type="dxa"/>
              <w:end w:w="120" w:type="dxa"/>
            </w:tcMar>
            <w:shd w:fill="F7FAFA"/>
          </w:tcPr>
          <w:p>
            <w:pPr>
              <w:spacing w:after="0"/>
            </w:pPr>
            <w:r/>
            <w:r>
              <w:rPr>
                <w:rFonts w:ascii="Arial" w:hAnsi="Arial"/>
                <w:b w:val="0"/>
                <w:color w:val="1D2630"/>
                <w:sz w:val="17"/>
              </w:rPr>
              <w:t>Strong in selected retention and rights topics; uneven elsewhere</w:t>
            </w:r>
          </w:p>
        </w:tc>
      </w:tr>
      <w:tr>
        <w:tc>
          <w:tcPr>
            <w:tcW w:type="dxa" w:w="2880"/>
            <w:vAlign w:val="center"/>
            <w:tcMar>
              <w:top w:w="100" w:type="dxa"/>
              <w:start w:w="120" w:type="dxa"/>
              <w:bottom w:w="100" w:type="dxa"/>
              <w:end w:w="120" w:type="dxa"/>
            </w:tcMar>
          </w:tcPr>
          <w:p>
            <w:pPr>
              <w:spacing w:after="0"/>
            </w:pPr>
            <w:r/>
            <w:r>
              <w:rPr>
                <w:rFonts w:ascii="Arial" w:hAnsi="Arial"/>
                <w:b w:val="0"/>
                <w:color w:val="1D2630"/>
                <w:sz w:val="17"/>
              </w:rPr>
              <w:t>Navigability</w:t>
            </w:r>
          </w:p>
        </w:tc>
        <w:tc>
          <w:tcPr>
            <w:tcW w:type="dxa" w:w="1440"/>
            <w:vAlign w:val="center"/>
            <w:tcMar>
              <w:top w:w="100" w:type="dxa"/>
              <w:start w:w="120" w:type="dxa"/>
              <w:bottom w:w="100" w:type="dxa"/>
              <w:end w:w="120" w:type="dxa"/>
            </w:tcMar>
          </w:tcPr>
          <w:p>
            <w:pPr>
              <w:spacing w:after="0"/>
            </w:pPr>
            <w:r/>
            <w:r>
              <w:rPr>
                <w:rFonts w:ascii="Arial" w:hAnsi="Arial"/>
                <w:b w:val="0"/>
                <w:color w:val="1D2630"/>
                <w:sz w:val="17"/>
              </w:rPr>
              <w:t>2.7</w:t>
            </w:r>
          </w:p>
        </w:tc>
        <w:tc>
          <w:tcPr>
            <w:tcW w:type="dxa" w:w="5616"/>
            <w:vAlign w:val="center"/>
            <w:tcMar>
              <w:top w:w="100" w:type="dxa"/>
              <w:start w:w="120" w:type="dxa"/>
              <w:bottom w:w="100" w:type="dxa"/>
              <w:end w:w="120" w:type="dxa"/>
            </w:tcMar>
          </w:tcPr>
          <w:p>
            <w:pPr>
              <w:spacing w:after="0"/>
            </w:pPr>
            <w:r/>
            <w:r>
              <w:rPr>
                <w:rFonts w:ascii="Arial" w:hAnsi="Arial"/>
                <w:b w:val="0"/>
                <w:color w:val="1D2630"/>
                <w:sz w:val="17"/>
              </w:rPr>
              <w:t>Long, multi-audience narrative</w:t>
            </w:r>
          </w:p>
        </w:tc>
      </w:tr>
      <w:tr>
        <w:tc>
          <w:tcPr>
            <w:tcW w:type="dxa" w:w="2880"/>
            <w:vAlign w:val="center"/>
            <w:tcMar>
              <w:top w:w="100" w:type="dxa"/>
              <w:start w:w="120" w:type="dxa"/>
              <w:bottom w:w="100" w:type="dxa"/>
              <w:end w:w="120" w:type="dxa"/>
            </w:tcMar>
            <w:shd w:fill="F7FAFA"/>
          </w:tcPr>
          <w:p>
            <w:pPr>
              <w:spacing w:after="0"/>
            </w:pPr>
            <w:r/>
            <w:r>
              <w:rPr>
                <w:rFonts w:ascii="Arial" w:hAnsi="Arial"/>
                <w:b w:val="0"/>
                <w:color w:val="1D2630"/>
                <w:sz w:val="17"/>
              </w:rPr>
              <w:t>Actionability</w:t>
            </w:r>
          </w:p>
        </w:tc>
        <w:tc>
          <w:tcPr>
            <w:tcW w:type="dxa" w:w="1440"/>
            <w:vAlign w:val="center"/>
            <w:tcMar>
              <w:top w:w="100" w:type="dxa"/>
              <w:start w:w="120" w:type="dxa"/>
              <w:bottom w:w="100" w:type="dxa"/>
              <w:end w:w="120" w:type="dxa"/>
            </w:tcMar>
            <w:shd w:fill="F7FAFA"/>
          </w:tcPr>
          <w:p>
            <w:pPr>
              <w:spacing w:after="0"/>
            </w:pPr>
            <w:r/>
            <w:r>
              <w:rPr>
                <w:rFonts w:ascii="Arial" w:hAnsi="Arial"/>
                <w:b w:val="0"/>
                <w:color w:val="1D2630"/>
                <w:sz w:val="17"/>
              </w:rPr>
              <w:t>3.2</w:t>
            </w:r>
          </w:p>
        </w:tc>
        <w:tc>
          <w:tcPr>
            <w:tcW w:type="dxa" w:w="5616"/>
            <w:vAlign w:val="center"/>
            <w:tcMar>
              <w:top w:w="100" w:type="dxa"/>
              <w:start w:w="120" w:type="dxa"/>
              <w:bottom w:w="100" w:type="dxa"/>
              <w:end w:w="120" w:type="dxa"/>
            </w:tcMar>
            <w:shd w:fill="F7FAFA"/>
          </w:tcPr>
          <w:p>
            <w:pPr>
              <w:spacing w:after="0"/>
            </w:pPr>
            <w:r/>
            <w:r>
              <w:rPr>
                <w:rFonts w:ascii="Arial" w:hAnsi="Arial"/>
                <w:b w:val="0"/>
                <w:color w:val="1D2630"/>
                <w:sz w:val="17"/>
              </w:rPr>
              <w:t>DPO and complaint routes exist; contextual journeys can improve</w:t>
            </w:r>
          </w:p>
        </w:tc>
      </w:tr>
      <w:tr>
        <w:tc>
          <w:tcPr>
            <w:tcW w:type="dxa" w:w="2880"/>
            <w:vAlign w:val="center"/>
            <w:tcMar>
              <w:top w:w="100" w:type="dxa"/>
              <w:start w:w="120" w:type="dxa"/>
              <w:bottom w:w="100" w:type="dxa"/>
              <w:end w:w="120" w:type="dxa"/>
            </w:tcMar>
          </w:tcPr>
          <w:p>
            <w:pPr>
              <w:spacing w:after="0"/>
            </w:pPr>
            <w:r/>
            <w:r>
              <w:rPr>
                <w:rFonts w:ascii="Arial" w:hAnsi="Arial"/>
                <w:b w:val="0"/>
                <w:color w:val="1D2630"/>
                <w:sz w:val="17"/>
              </w:rPr>
              <w:t>Governance freshness</w:t>
            </w:r>
          </w:p>
        </w:tc>
        <w:tc>
          <w:tcPr>
            <w:tcW w:type="dxa" w:w="1440"/>
            <w:vAlign w:val="center"/>
            <w:tcMar>
              <w:top w:w="100" w:type="dxa"/>
              <w:start w:w="120" w:type="dxa"/>
              <w:bottom w:w="100" w:type="dxa"/>
              <w:end w:w="120" w:type="dxa"/>
            </w:tcMar>
          </w:tcPr>
          <w:p>
            <w:pPr>
              <w:spacing w:after="0"/>
            </w:pPr>
            <w:r/>
            <w:r>
              <w:rPr>
                <w:rFonts w:ascii="Arial" w:hAnsi="Arial"/>
                <w:b w:val="0"/>
                <w:color w:val="1D2630"/>
                <w:sz w:val="17"/>
              </w:rPr>
              <w:t>3.0</w:t>
            </w:r>
          </w:p>
        </w:tc>
        <w:tc>
          <w:tcPr>
            <w:tcW w:type="dxa" w:w="5616"/>
            <w:vAlign w:val="center"/>
            <w:tcMar>
              <w:top w:w="100" w:type="dxa"/>
              <w:start w:w="120" w:type="dxa"/>
              <w:bottom w:w="100" w:type="dxa"/>
              <w:end w:w="120" w:type="dxa"/>
            </w:tcMar>
          </w:tcPr>
          <w:p>
            <w:pPr>
              <w:spacing w:after="0"/>
            </w:pPr>
            <w:r/>
            <w:r>
              <w:rPr>
                <w:rFonts w:ascii="Arial" w:hAnsi="Arial"/>
                <w:b w:val="0"/>
                <w:color w:val="1D2630"/>
                <w:sz w:val="17"/>
              </w:rPr>
              <w:t>Last review displayed as July 2022</w:t>
            </w:r>
          </w:p>
        </w:tc>
      </w:tr>
    </w:tbl>
    <w:p>
      <w:pPr>
        <w:spacing w:after="0"/>
      </w:pPr>
    </w:p>
    <w:p>
      <w:pPr>
        <w:pStyle w:val="Heading2"/>
        <w:keepNext/>
      </w:pPr>
      <w:r>
        <w:t>Priority actions</w:t>
      </w:r>
    </w:p>
    <w:p>
      <w:pPr>
        <w:pStyle w:val="ListBullet"/>
        <w:spacing w:after="80"/>
      </w:pPr>
      <w:r>
        <w:t>Publish a layered notice with audience-specific modules and just-in-time explanations.</w:t>
      </w:r>
    </w:p>
    <w:p>
      <w:pPr>
        <w:pStyle w:val="ListBullet"/>
        <w:spacing w:after="80"/>
      </w:pPr>
      <w:r>
        <w:t>Create a purpose-level processing matrix linking all disclosure elements.</w:t>
      </w:r>
    </w:p>
    <w:p>
      <w:pPr>
        <w:pStyle w:val="ListBullet"/>
        <w:spacing w:after="80"/>
      </w:pPr>
      <w:r>
        <w:t>Clarify entity and controller roles for each service or interaction.</w:t>
      </w:r>
    </w:p>
    <w:p>
      <w:pPr>
        <w:pStyle w:val="ListBullet"/>
        <w:spacing w:after="80"/>
      </w:pPr>
      <w:r>
        <w:t>Validate and publish a controlled retention schedule.</w:t>
      </w:r>
    </w:p>
    <w:p>
      <w:pPr>
        <w:pStyle w:val="ListBullet"/>
        <w:spacing w:after="80"/>
      </w:pPr>
      <w:r>
        <w:t>Assign notice ownership, annual review, change triggers, and a version history.</w:t>
      </w:r>
    </w:p>
    <w:p>
      <w:r>
        <w:br w:type="page"/>
      </w:r>
    </w:p>
    <w:p>
      <w:pPr>
        <w:pStyle w:val="Heading1"/>
        <w:keepNext/>
      </w:pPr>
      <w:r>
        <w:t>1 Scope and Evidence Boundary</w:t>
      </w:r>
    </w:p>
    <w:p>
      <w:pPr>
        <w:spacing w:after="160" w:line="276" w:lineRule="auto"/>
      </w:pPr>
      <w:r>
        <w:t>This review examines the English public Data Protection Privacy Policy of the BIOIATRIKI Healthcare Group as accessible on 15 October 2026. The page states “Last Review: July 2022.” Related public notices for careers, cookies, applications, and digital services were considered only to identify the broader notice architecture.</w:t>
      </w:r>
    </w:p>
    <w:p>
      <w:pPr>
        <w:pStyle w:val="Heading2"/>
        <w:keepNext/>
      </w:pPr>
      <w:r>
        <w:t>What the assessment can establish</w:t>
      </w:r>
    </w:p>
    <w:p>
      <w:pPr>
        <w:pStyle w:val="ListBullet"/>
        <w:spacing w:after="80"/>
      </w:pPr>
      <w:r>
        <w:t>Whether required topics are visibly addressed.</w:t>
      </w:r>
    </w:p>
    <w:p>
      <w:pPr>
        <w:pStyle w:val="ListBullet"/>
        <w:spacing w:after="80"/>
      </w:pPr>
      <w:r>
        <w:t>Whether explanations are specific, connected, and easy to navigate.</w:t>
      </w:r>
    </w:p>
    <w:p>
      <w:pPr>
        <w:pStyle w:val="ListBullet"/>
        <w:spacing w:after="80"/>
      </w:pPr>
      <w:r>
        <w:t>Whether a reader can identify practical actions and contact routes.</w:t>
      </w:r>
    </w:p>
    <w:p>
      <w:pPr>
        <w:pStyle w:val="ListBullet"/>
        <w:spacing w:after="80"/>
      </w:pPr>
      <w:r>
        <w:t>Whether the public notice shows evidence of controlled maintenance.</w:t>
      </w:r>
    </w:p>
    <w:p>
      <w:pPr>
        <w:pStyle w:val="Heading2"/>
        <w:keepNext/>
      </w:pPr>
      <w:r>
        <w:t>What the assessment cannot establish</w:t>
      </w:r>
    </w:p>
    <w:p>
      <w:pPr>
        <w:pStyle w:val="ListBullet"/>
        <w:spacing w:after="80"/>
      </w:pPr>
      <w:r>
        <w:t>Whether internal processing matches the notice.</w:t>
      </w:r>
    </w:p>
    <w:p>
      <w:pPr>
        <w:pStyle w:val="ListBullet"/>
        <w:spacing w:after="80"/>
      </w:pPr>
      <w:r>
        <w:t>Whether contracts, DPIAs, consent records, security measures, and deletion routines operate effectively.</w:t>
      </w:r>
    </w:p>
    <w:p>
      <w:pPr>
        <w:pStyle w:val="ListBullet"/>
        <w:spacing w:after="80"/>
      </w:pPr>
      <w:r>
        <w:t>Whether every group company acts as controller, joint controller, or processor in a specific data flow.</w:t>
      </w:r>
    </w:p>
    <w:p>
      <w:pPr>
        <w:pStyle w:val="ListBullet"/>
        <w:spacing w:after="80"/>
      </w:pPr>
      <w:r>
        <w:t>Whether an omitted public detail is absent from internal governance.</w:t>
      </w:r>
    </w:p>
    <w:p>
      <w:pPr>
        <w:spacing w:after="160" w:line="276" w:lineRule="auto"/>
      </w:pPr>
      <w:r>
        <w:t>Accordingly, findings are framed as transparency and governance opportunities. Legal conclusions would require facts, documents, and interviews beyond the public notice.</w:t>
      </w:r>
    </w:p>
    <w:p>
      <w:r>
        <w:br w:type="page"/>
      </w:r>
    </w:p>
    <w:p>
      <w:pPr>
        <w:pStyle w:val="Heading1"/>
        <w:keepNext/>
      </w:pPr>
      <w:r>
        <w:t>2 Method and Legal Criteria</w:t>
      </w:r>
    </w:p>
    <w:p>
      <w:pPr>
        <w:spacing w:after="160" w:line="276" w:lineRule="auto"/>
      </w:pPr>
      <w:r>
        <w:t>The notice was mapped against GDPR principles and transparency duties, with particular attention to healthcare-sector special-category processing. EDPB and Hellenic Data Protection Authority guidance informed the usability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880"/>
            <w:vAlign w:val="center"/>
            <w:tcMar>
              <w:top w:w="100" w:type="dxa"/>
              <w:start w:w="120" w:type="dxa"/>
              <w:bottom w:w="100" w:type="dxa"/>
              <w:end w:w="120" w:type="dxa"/>
            </w:tcMar>
            <w:shd w:fill="123047"/>
          </w:tcPr>
          <w:p>
            <w:pPr>
              <w:spacing w:after="0"/>
            </w:pPr>
            <w:r/>
            <w:r>
              <w:rPr>
                <w:rFonts w:ascii="Arial" w:hAnsi="Arial"/>
                <w:b/>
                <w:color w:val="FFFFFF"/>
                <w:sz w:val="18"/>
              </w:rPr>
              <w:t>Legal area</w:t>
            </w:r>
          </w:p>
        </w:tc>
        <w:tc>
          <w:tcPr>
            <w:tcW w:type="dxa" w:w="7056"/>
            <w:vAlign w:val="center"/>
            <w:tcMar>
              <w:top w:w="100" w:type="dxa"/>
              <w:start w:w="120" w:type="dxa"/>
              <w:bottom w:w="100" w:type="dxa"/>
              <w:end w:w="120" w:type="dxa"/>
            </w:tcMar>
            <w:shd w:fill="123047"/>
          </w:tcPr>
          <w:p>
            <w:pPr>
              <w:spacing w:after="0"/>
            </w:pPr>
            <w:r/>
            <w:r>
              <w:rPr>
                <w:rFonts w:ascii="Arial" w:hAnsi="Arial"/>
                <w:b/>
                <w:color w:val="FFFFFF"/>
                <w:sz w:val="18"/>
              </w:rPr>
              <w:t>Assessment question</w:t>
            </w:r>
          </w:p>
        </w:tc>
        <w:trPr>
          <w:tblHeader/>
        </w:trPr>
      </w:tr>
      <w:tr>
        <w:tc>
          <w:tcPr>
            <w:tcW w:type="dxa" w:w="2880"/>
            <w:vAlign w:val="center"/>
            <w:tcMar>
              <w:top w:w="100" w:type="dxa"/>
              <w:start w:w="120" w:type="dxa"/>
              <w:bottom w:w="100" w:type="dxa"/>
              <w:end w:w="120" w:type="dxa"/>
            </w:tcMar>
          </w:tcPr>
          <w:p>
            <w:pPr>
              <w:spacing w:after="0"/>
            </w:pPr>
            <w:r/>
            <w:r>
              <w:rPr>
                <w:rFonts w:ascii="Arial" w:hAnsi="Arial"/>
                <w:b w:val="0"/>
                <w:color w:val="1D2630"/>
                <w:sz w:val="17"/>
              </w:rPr>
              <w:t>GDPR Articles 5 and 12</w:t>
            </w:r>
          </w:p>
        </w:tc>
        <w:tc>
          <w:tcPr>
            <w:tcW w:type="dxa" w:w="7056"/>
            <w:vAlign w:val="center"/>
            <w:tcMar>
              <w:top w:w="100" w:type="dxa"/>
              <w:start w:w="120" w:type="dxa"/>
              <w:bottom w:w="100" w:type="dxa"/>
              <w:end w:w="120" w:type="dxa"/>
            </w:tcMar>
          </w:tcPr>
          <w:p>
            <w:pPr>
              <w:spacing w:after="0"/>
            </w:pPr>
            <w:r/>
            <w:r>
              <w:rPr>
                <w:rFonts w:ascii="Arial" w:hAnsi="Arial"/>
                <w:b w:val="0"/>
                <w:color w:val="1D2630"/>
                <w:sz w:val="17"/>
              </w:rPr>
              <w:t>Is information fair, concise, intelligible, accessible, and written in clear language?</w:t>
            </w:r>
          </w:p>
        </w:tc>
      </w:tr>
      <w:tr>
        <w:tc>
          <w:tcPr>
            <w:tcW w:type="dxa" w:w="2880"/>
            <w:vAlign w:val="center"/>
            <w:tcMar>
              <w:top w:w="100" w:type="dxa"/>
              <w:start w:w="120" w:type="dxa"/>
              <w:bottom w:w="100" w:type="dxa"/>
              <w:end w:w="120" w:type="dxa"/>
            </w:tcMar>
            <w:shd w:fill="F7FAFA"/>
          </w:tcPr>
          <w:p>
            <w:pPr>
              <w:spacing w:after="0"/>
            </w:pPr>
            <w:r/>
            <w:r>
              <w:rPr>
                <w:rFonts w:ascii="Arial" w:hAnsi="Arial"/>
                <w:b w:val="0"/>
                <w:color w:val="1D2630"/>
                <w:sz w:val="17"/>
              </w:rPr>
              <w:t>Articles 13 and 14</w:t>
            </w:r>
          </w:p>
        </w:tc>
        <w:tc>
          <w:tcPr>
            <w:tcW w:type="dxa" w:w="7056"/>
            <w:vAlign w:val="center"/>
            <w:tcMar>
              <w:top w:w="100" w:type="dxa"/>
              <w:start w:w="120" w:type="dxa"/>
              <w:bottom w:w="100" w:type="dxa"/>
              <w:end w:w="120" w:type="dxa"/>
            </w:tcMar>
            <w:shd w:fill="F7FAFA"/>
          </w:tcPr>
          <w:p>
            <w:pPr>
              <w:spacing w:after="0"/>
            </w:pPr>
            <w:r/>
            <w:r>
              <w:rPr>
                <w:rFonts w:ascii="Arial" w:hAnsi="Arial"/>
                <w:b w:val="0"/>
                <w:color w:val="1D2630"/>
                <w:sz w:val="17"/>
              </w:rPr>
              <w:t>Can the reader identify controller, purpose, legal basis, recipients, retention, rights, sources, transfers, and automated decisions?</w:t>
            </w:r>
          </w:p>
        </w:tc>
      </w:tr>
      <w:tr>
        <w:tc>
          <w:tcPr>
            <w:tcW w:type="dxa" w:w="2880"/>
            <w:vAlign w:val="center"/>
            <w:tcMar>
              <w:top w:w="100" w:type="dxa"/>
              <w:start w:w="120" w:type="dxa"/>
              <w:bottom w:w="100" w:type="dxa"/>
              <w:end w:w="120" w:type="dxa"/>
            </w:tcMar>
          </w:tcPr>
          <w:p>
            <w:pPr>
              <w:spacing w:after="0"/>
            </w:pPr>
            <w:r/>
            <w:r>
              <w:rPr>
                <w:rFonts w:ascii="Arial" w:hAnsi="Arial"/>
                <w:b w:val="0"/>
                <w:color w:val="1D2630"/>
                <w:sz w:val="17"/>
              </w:rPr>
              <w:t>Articles 6 and 9</w:t>
            </w:r>
          </w:p>
        </w:tc>
        <w:tc>
          <w:tcPr>
            <w:tcW w:type="dxa" w:w="7056"/>
            <w:vAlign w:val="center"/>
            <w:tcMar>
              <w:top w:w="100" w:type="dxa"/>
              <w:start w:w="120" w:type="dxa"/>
              <w:bottom w:w="100" w:type="dxa"/>
              <w:end w:w="120" w:type="dxa"/>
            </w:tcMar>
          </w:tcPr>
          <w:p>
            <w:pPr>
              <w:spacing w:after="0"/>
            </w:pPr>
            <w:r/>
            <w:r>
              <w:rPr>
                <w:rFonts w:ascii="Arial" w:hAnsi="Arial"/>
                <w:b w:val="0"/>
                <w:color w:val="1D2630"/>
                <w:sz w:val="17"/>
              </w:rPr>
              <w:t>Are the general lawful basis and special-category condition distinguished by purpose?</w:t>
            </w:r>
          </w:p>
        </w:tc>
      </w:tr>
      <w:tr>
        <w:tc>
          <w:tcPr>
            <w:tcW w:type="dxa" w:w="2880"/>
            <w:vAlign w:val="center"/>
            <w:tcMar>
              <w:top w:w="100" w:type="dxa"/>
              <w:start w:w="120" w:type="dxa"/>
              <w:bottom w:w="100" w:type="dxa"/>
              <w:end w:w="120" w:type="dxa"/>
            </w:tcMar>
            <w:shd w:fill="F7FAFA"/>
          </w:tcPr>
          <w:p>
            <w:pPr>
              <w:spacing w:after="0"/>
            </w:pPr>
            <w:r/>
            <w:r>
              <w:rPr>
                <w:rFonts w:ascii="Arial" w:hAnsi="Arial"/>
                <w:b w:val="0"/>
                <w:color w:val="1D2630"/>
                <w:sz w:val="17"/>
              </w:rPr>
              <w:t>Articles 15-22</w:t>
            </w:r>
          </w:p>
        </w:tc>
        <w:tc>
          <w:tcPr>
            <w:tcW w:type="dxa" w:w="7056"/>
            <w:vAlign w:val="center"/>
            <w:tcMar>
              <w:top w:w="100" w:type="dxa"/>
              <w:start w:w="120" w:type="dxa"/>
              <w:bottom w:w="100" w:type="dxa"/>
              <w:end w:w="120" w:type="dxa"/>
            </w:tcMar>
            <w:shd w:fill="F7FAFA"/>
          </w:tcPr>
          <w:p>
            <w:pPr>
              <w:spacing w:after="0"/>
            </w:pPr>
            <w:r/>
            <w:r>
              <w:rPr>
                <w:rFonts w:ascii="Arial" w:hAnsi="Arial"/>
                <w:b w:val="0"/>
                <w:color w:val="1D2630"/>
                <w:sz w:val="17"/>
              </w:rPr>
              <w:t>Can rights be understood and exercised through a practical route?</w:t>
            </w:r>
          </w:p>
        </w:tc>
      </w:tr>
      <w:tr>
        <w:tc>
          <w:tcPr>
            <w:tcW w:type="dxa" w:w="2880"/>
            <w:vAlign w:val="center"/>
            <w:tcMar>
              <w:top w:w="100" w:type="dxa"/>
              <w:start w:w="120" w:type="dxa"/>
              <w:bottom w:w="100" w:type="dxa"/>
              <w:end w:w="120" w:type="dxa"/>
            </w:tcMar>
          </w:tcPr>
          <w:p>
            <w:pPr>
              <w:spacing w:after="0"/>
            </w:pPr>
            <w:r/>
            <w:r>
              <w:rPr>
                <w:rFonts w:ascii="Arial" w:hAnsi="Arial"/>
                <w:b w:val="0"/>
                <w:color w:val="1D2630"/>
                <w:sz w:val="17"/>
              </w:rPr>
              <w:t>Articles 25 and 32</w:t>
            </w:r>
          </w:p>
        </w:tc>
        <w:tc>
          <w:tcPr>
            <w:tcW w:type="dxa" w:w="7056"/>
            <w:vAlign w:val="center"/>
            <w:tcMar>
              <w:top w:w="100" w:type="dxa"/>
              <w:start w:w="120" w:type="dxa"/>
              <w:bottom w:w="100" w:type="dxa"/>
              <w:end w:w="120" w:type="dxa"/>
            </w:tcMar>
          </w:tcPr>
          <w:p>
            <w:pPr>
              <w:spacing w:after="0"/>
            </w:pPr>
            <w:r/>
            <w:r>
              <w:rPr>
                <w:rFonts w:ascii="Arial" w:hAnsi="Arial"/>
                <w:b w:val="0"/>
                <w:color w:val="1D2630"/>
                <w:sz w:val="17"/>
              </w:rPr>
              <w:t>Does notice design reflect data protection by design and risk-aware communication?</w:t>
            </w:r>
          </w:p>
        </w:tc>
      </w:tr>
      <w:tr>
        <w:tc>
          <w:tcPr>
            <w:tcW w:type="dxa" w:w="2880"/>
            <w:vAlign w:val="center"/>
            <w:tcMar>
              <w:top w:w="100" w:type="dxa"/>
              <w:start w:w="120" w:type="dxa"/>
              <w:bottom w:w="100" w:type="dxa"/>
              <w:end w:w="120" w:type="dxa"/>
            </w:tcMar>
            <w:shd w:fill="F7FAFA"/>
          </w:tcPr>
          <w:p>
            <w:pPr>
              <w:spacing w:after="0"/>
            </w:pPr>
            <w:r/>
            <w:r>
              <w:rPr>
                <w:rFonts w:ascii="Arial" w:hAnsi="Arial"/>
                <w:b w:val="0"/>
                <w:color w:val="1D2630"/>
                <w:sz w:val="17"/>
              </w:rPr>
              <w:t>Articles 35 and 44-49</w:t>
            </w:r>
          </w:p>
        </w:tc>
        <w:tc>
          <w:tcPr>
            <w:tcW w:type="dxa" w:w="7056"/>
            <w:vAlign w:val="center"/>
            <w:tcMar>
              <w:top w:w="100" w:type="dxa"/>
              <w:start w:w="120" w:type="dxa"/>
              <w:bottom w:w="100" w:type="dxa"/>
              <w:end w:w="120" w:type="dxa"/>
            </w:tcMar>
            <w:shd w:fill="F7FAFA"/>
          </w:tcPr>
          <w:p>
            <w:pPr>
              <w:spacing w:after="0"/>
            </w:pPr>
            <w:r/>
            <w:r>
              <w:rPr>
                <w:rFonts w:ascii="Arial" w:hAnsi="Arial"/>
                <w:b w:val="0"/>
                <w:color w:val="1D2630"/>
                <w:sz w:val="17"/>
              </w:rPr>
              <w:t>Are high-risk processing and international transfers explained with useful safeguards?</w:t>
            </w:r>
          </w:p>
        </w:tc>
      </w:tr>
    </w:tbl>
    <w:p>
      <w:pPr>
        <w:spacing w:after="0"/>
      </w:pPr>
    </w:p>
    <w:p>
      <w:pPr>
        <w:pStyle w:val="Heading2"/>
        <w:keepNext/>
      </w:pPr>
      <w:r>
        <w:t>Scoring approach</w:t>
      </w:r>
    </w:p>
    <w:p>
      <w:pPr>
        <w:spacing w:after="160" w:line="276" w:lineRule="auto"/>
      </w:pPr>
      <w:r>
        <w:t>Each domain was rated for presence, specificity, navigability, and actionability. Scores were weighted to a ten-point maturity result. Severity reflects the likely impact on reader understanding and governance maintenance, not the likelihood of enforcement.</w:t>
      </w:r>
    </w:p>
    <w:p>
      <w:r>
        <w:br w:type="page"/>
      </w:r>
    </w:p>
    <w:p>
      <w:pPr>
        <w:pStyle w:val="Heading1"/>
        <w:keepNext/>
      </w:pPr>
      <w:r>
        <w:t>3 Public Notice Strengths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880"/>
            <w:vAlign w:val="center"/>
            <w:tcMar>
              <w:top w:w="100" w:type="dxa"/>
              <w:start w:w="120" w:type="dxa"/>
              <w:bottom w:w="100" w:type="dxa"/>
              <w:end w:w="120" w:type="dxa"/>
            </w:tcMar>
            <w:shd w:fill="123047"/>
          </w:tcPr>
          <w:p>
            <w:pPr>
              <w:spacing w:after="0"/>
            </w:pPr>
            <w:r/>
            <w:r>
              <w:rPr>
                <w:rFonts w:ascii="Arial" w:hAnsi="Arial"/>
                <w:b/>
                <w:color w:val="FFFFFF"/>
                <w:sz w:val="18"/>
              </w:rPr>
              <w:t>Strength</w:t>
            </w:r>
          </w:p>
        </w:tc>
        <w:tc>
          <w:tcPr>
            <w:tcW w:type="dxa" w:w="7056"/>
            <w:vAlign w:val="center"/>
            <w:tcMar>
              <w:top w:w="100" w:type="dxa"/>
              <w:start w:w="120" w:type="dxa"/>
              <w:bottom w:w="100" w:type="dxa"/>
              <w:end w:w="120" w:type="dxa"/>
            </w:tcMar>
            <w:shd w:fill="123047"/>
          </w:tcPr>
          <w:p>
            <w:pPr>
              <w:spacing w:after="0"/>
            </w:pPr>
            <w:r/>
            <w:r>
              <w:rPr>
                <w:rFonts w:ascii="Arial" w:hAnsi="Arial"/>
                <w:b/>
                <w:color w:val="FFFFFF"/>
                <w:sz w:val="18"/>
              </w:rPr>
              <w:t>Why it matters</w:t>
            </w:r>
          </w:p>
        </w:tc>
        <w:trPr>
          <w:tblHeader/>
        </w:trPr>
      </w:tr>
      <w:tr>
        <w:tc>
          <w:tcPr>
            <w:tcW w:type="dxa" w:w="2880"/>
            <w:vAlign w:val="center"/>
            <w:tcMar>
              <w:top w:w="100" w:type="dxa"/>
              <w:start w:w="120" w:type="dxa"/>
              <w:bottom w:w="100" w:type="dxa"/>
              <w:end w:w="120" w:type="dxa"/>
            </w:tcMar>
          </w:tcPr>
          <w:p>
            <w:pPr>
              <w:spacing w:after="0"/>
            </w:pPr>
            <w:r/>
            <w:r>
              <w:rPr>
                <w:rFonts w:ascii="Arial" w:hAnsi="Arial"/>
                <w:b w:val="0"/>
                <w:color w:val="1D2630"/>
                <w:sz w:val="17"/>
              </w:rPr>
              <w:t>Broad data inventory</w:t>
            </w:r>
          </w:p>
        </w:tc>
        <w:tc>
          <w:tcPr>
            <w:tcW w:type="dxa" w:w="7056"/>
            <w:vAlign w:val="center"/>
            <w:tcMar>
              <w:top w:w="100" w:type="dxa"/>
              <w:start w:w="120" w:type="dxa"/>
              <w:bottom w:w="100" w:type="dxa"/>
              <w:end w:w="120" w:type="dxa"/>
            </w:tcMar>
          </w:tcPr>
          <w:p>
            <w:pPr>
              <w:spacing w:after="0"/>
            </w:pPr>
            <w:r/>
            <w:r>
              <w:rPr>
                <w:rFonts w:ascii="Arial" w:hAnsi="Arial"/>
                <w:b w:val="0"/>
                <w:color w:val="1D2630"/>
                <w:sz w:val="17"/>
              </w:rPr>
              <w:t>The notice recognises health, genetic, biometric, insurance, financial, workforce, CCTV, call-recording, research, and browsing data.</w:t>
            </w:r>
          </w:p>
        </w:tc>
      </w:tr>
      <w:tr>
        <w:tc>
          <w:tcPr>
            <w:tcW w:type="dxa" w:w="2880"/>
            <w:vAlign w:val="center"/>
            <w:tcMar>
              <w:top w:w="100" w:type="dxa"/>
              <w:start w:w="120" w:type="dxa"/>
              <w:bottom w:w="100" w:type="dxa"/>
              <w:end w:w="120" w:type="dxa"/>
            </w:tcMar>
            <w:shd w:fill="F7FAFA"/>
          </w:tcPr>
          <w:p>
            <w:pPr>
              <w:spacing w:after="0"/>
            </w:pPr>
            <w:r/>
            <w:r>
              <w:rPr>
                <w:rFonts w:ascii="Arial" w:hAnsi="Arial"/>
                <w:b w:val="0"/>
                <w:color w:val="1D2630"/>
                <w:sz w:val="17"/>
              </w:rPr>
              <w:t>Healthcare legal context</w:t>
            </w:r>
          </w:p>
        </w:tc>
        <w:tc>
          <w:tcPr>
            <w:tcW w:type="dxa" w:w="7056"/>
            <w:vAlign w:val="center"/>
            <w:tcMar>
              <w:top w:w="100" w:type="dxa"/>
              <w:start w:w="120" w:type="dxa"/>
              <w:bottom w:w="100" w:type="dxa"/>
              <w:end w:w="120" w:type="dxa"/>
            </w:tcMar>
            <w:shd w:fill="F7FAFA"/>
          </w:tcPr>
          <w:p>
            <w:pPr>
              <w:spacing w:after="0"/>
            </w:pPr>
            <w:r/>
            <w:r>
              <w:rPr>
                <w:rFonts w:ascii="Arial" w:hAnsi="Arial"/>
                <w:b w:val="0"/>
                <w:color w:val="1D2630"/>
                <w:sz w:val="17"/>
              </w:rPr>
              <w:t>It identifies healthcare, public-health, legal-obligation, claims, vital-interest, employment, contract, consent, and legitimate-interest grounds.</w:t>
            </w:r>
          </w:p>
        </w:tc>
      </w:tr>
      <w:tr>
        <w:tc>
          <w:tcPr>
            <w:tcW w:type="dxa" w:w="2880"/>
            <w:vAlign w:val="center"/>
            <w:tcMar>
              <w:top w:w="100" w:type="dxa"/>
              <w:start w:w="120" w:type="dxa"/>
              <w:bottom w:w="100" w:type="dxa"/>
              <w:end w:w="120" w:type="dxa"/>
            </w:tcMar>
          </w:tcPr>
          <w:p>
            <w:pPr>
              <w:spacing w:after="0"/>
            </w:pPr>
            <w:r/>
            <w:r>
              <w:rPr>
                <w:rFonts w:ascii="Arial" w:hAnsi="Arial"/>
                <w:b w:val="0"/>
                <w:color w:val="1D2630"/>
                <w:sz w:val="17"/>
              </w:rPr>
              <w:t>Concrete retention examples</w:t>
            </w:r>
          </w:p>
        </w:tc>
        <w:tc>
          <w:tcPr>
            <w:tcW w:type="dxa" w:w="7056"/>
            <w:vAlign w:val="center"/>
            <w:tcMar>
              <w:top w:w="100" w:type="dxa"/>
              <w:start w:w="120" w:type="dxa"/>
              <w:bottom w:w="100" w:type="dxa"/>
              <w:end w:w="120" w:type="dxa"/>
            </w:tcMar>
          </w:tcPr>
          <w:p>
            <w:pPr>
              <w:spacing w:after="0"/>
            </w:pPr>
            <w:r/>
            <w:r>
              <w:rPr>
                <w:rFonts w:ascii="Arial" w:hAnsi="Arial"/>
                <w:b w:val="0"/>
                <w:color w:val="1D2630"/>
                <w:sz w:val="17"/>
              </w:rPr>
              <w:t>Medical records, applications, physical results, consent files, and some Cyprus records receive specific periods.</w:t>
            </w:r>
          </w:p>
        </w:tc>
      </w:tr>
      <w:tr>
        <w:tc>
          <w:tcPr>
            <w:tcW w:type="dxa" w:w="2880"/>
            <w:vAlign w:val="center"/>
            <w:tcMar>
              <w:top w:w="100" w:type="dxa"/>
              <w:start w:w="120" w:type="dxa"/>
              <w:bottom w:w="100" w:type="dxa"/>
              <w:end w:w="120" w:type="dxa"/>
            </w:tcMar>
            <w:shd w:fill="F7FAFA"/>
          </w:tcPr>
          <w:p>
            <w:pPr>
              <w:spacing w:after="0"/>
            </w:pPr>
            <w:r/>
            <w:r>
              <w:rPr>
                <w:rFonts w:ascii="Arial" w:hAnsi="Arial"/>
                <w:b w:val="0"/>
                <w:color w:val="1D2630"/>
                <w:sz w:val="17"/>
              </w:rPr>
              <w:t>Rights and escalation</w:t>
            </w:r>
          </w:p>
        </w:tc>
        <w:tc>
          <w:tcPr>
            <w:tcW w:type="dxa" w:w="7056"/>
            <w:vAlign w:val="center"/>
            <w:tcMar>
              <w:top w:w="100" w:type="dxa"/>
              <w:start w:w="120" w:type="dxa"/>
              <w:bottom w:w="100" w:type="dxa"/>
              <w:end w:w="120" w:type="dxa"/>
            </w:tcMar>
            <w:shd w:fill="F7FAFA"/>
          </w:tcPr>
          <w:p>
            <w:pPr>
              <w:spacing w:after="0"/>
            </w:pPr>
            <w:r/>
            <w:r>
              <w:rPr>
                <w:rFonts w:ascii="Arial" w:hAnsi="Arial"/>
                <w:b w:val="0"/>
                <w:color w:val="1D2630"/>
                <w:sz w:val="17"/>
              </w:rPr>
              <w:t>The notice describes core rights, response timing, DPO contact, and Greek and Cypriot supervisory routes.</w:t>
            </w:r>
          </w:p>
        </w:tc>
      </w:tr>
      <w:tr>
        <w:tc>
          <w:tcPr>
            <w:tcW w:type="dxa" w:w="2880"/>
            <w:vAlign w:val="center"/>
            <w:tcMar>
              <w:top w:w="100" w:type="dxa"/>
              <w:start w:w="120" w:type="dxa"/>
              <w:bottom w:w="100" w:type="dxa"/>
              <w:end w:w="120" w:type="dxa"/>
            </w:tcMar>
          </w:tcPr>
          <w:p>
            <w:pPr>
              <w:spacing w:after="0"/>
            </w:pPr>
            <w:r/>
            <w:r>
              <w:rPr>
                <w:rFonts w:ascii="Arial" w:hAnsi="Arial"/>
                <w:b w:val="0"/>
                <w:color w:val="1D2630"/>
                <w:sz w:val="17"/>
              </w:rPr>
              <w:t>Transfer framework</w:t>
            </w:r>
          </w:p>
        </w:tc>
        <w:tc>
          <w:tcPr>
            <w:tcW w:type="dxa" w:w="7056"/>
            <w:vAlign w:val="center"/>
            <w:tcMar>
              <w:top w:w="100" w:type="dxa"/>
              <w:start w:w="120" w:type="dxa"/>
              <w:bottom w:w="100" w:type="dxa"/>
              <w:end w:w="120" w:type="dxa"/>
            </w:tcMar>
          </w:tcPr>
          <w:p>
            <w:pPr>
              <w:spacing w:after="0"/>
            </w:pPr>
            <w:r/>
            <w:r>
              <w:rPr>
                <w:rFonts w:ascii="Arial" w:hAnsi="Arial"/>
                <w:b w:val="0"/>
                <w:color w:val="1D2630"/>
                <w:sz w:val="17"/>
              </w:rPr>
              <w:t>Adequacy, safeguards, and limited derogations are acknowledged.</w:t>
            </w:r>
          </w:p>
        </w:tc>
      </w:tr>
      <w:tr>
        <w:tc>
          <w:tcPr>
            <w:tcW w:type="dxa" w:w="2880"/>
            <w:vAlign w:val="center"/>
            <w:tcMar>
              <w:top w:w="100" w:type="dxa"/>
              <w:start w:w="120" w:type="dxa"/>
              <w:bottom w:w="100" w:type="dxa"/>
              <w:end w:w="120" w:type="dxa"/>
            </w:tcMar>
            <w:shd w:fill="F7FAFA"/>
          </w:tcPr>
          <w:p>
            <w:pPr>
              <w:spacing w:after="0"/>
            </w:pPr>
            <w:r/>
            <w:r>
              <w:rPr>
                <w:rFonts w:ascii="Arial" w:hAnsi="Arial"/>
                <w:b w:val="0"/>
                <w:color w:val="1D2630"/>
                <w:sz w:val="17"/>
              </w:rPr>
              <w:t>Risk governance topics</w:t>
            </w:r>
          </w:p>
        </w:tc>
        <w:tc>
          <w:tcPr>
            <w:tcW w:type="dxa" w:w="7056"/>
            <w:vAlign w:val="center"/>
            <w:tcMar>
              <w:top w:w="100" w:type="dxa"/>
              <w:start w:w="120" w:type="dxa"/>
              <w:bottom w:w="100" w:type="dxa"/>
              <w:end w:w="120" w:type="dxa"/>
            </w:tcMar>
            <w:shd w:fill="F7FAFA"/>
          </w:tcPr>
          <w:p>
            <w:pPr>
              <w:spacing w:after="0"/>
            </w:pPr>
            <w:r/>
            <w:r>
              <w:rPr>
                <w:rFonts w:ascii="Arial" w:hAnsi="Arial"/>
                <w:b w:val="0"/>
                <w:color w:val="1D2630"/>
                <w:sz w:val="17"/>
              </w:rPr>
              <w:t>Security, DPIAs, and breach handling are expressly addressed.</w:t>
            </w:r>
          </w:p>
        </w:tc>
      </w:tr>
      <w:tr>
        <w:tc>
          <w:tcPr>
            <w:tcW w:type="dxa" w:w="2880"/>
            <w:vAlign w:val="center"/>
            <w:tcMar>
              <w:top w:w="100" w:type="dxa"/>
              <w:start w:w="120" w:type="dxa"/>
              <w:bottom w:w="100" w:type="dxa"/>
              <w:end w:w="120" w:type="dxa"/>
            </w:tcMar>
          </w:tcPr>
          <w:p>
            <w:pPr>
              <w:spacing w:after="0"/>
            </w:pPr>
            <w:r/>
            <w:r>
              <w:rPr>
                <w:rFonts w:ascii="Arial" w:hAnsi="Arial"/>
                <w:b w:val="0"/>
                <w:color w:val="1D2630"/>
                <w:sz w:val="17"/>
              </w:rPr>
              <w:t>Automated decisions statement</w:t>
            </w:r>
          </w:p>
        </w:tc>
        <w:tc>
          <w:tcPr>
            <w:tcW w:type="dxa" w:w="7056"/>
            <w:vAlign w:val="center"/>
            <w:tcMar>
              <w:top w:w="100" w:type="dxa"/>
              <w:start w:w="120" w:type="dxa"/>
              <w:bottom w:w="100" w:type="dxa"/>
              <w:end w:w="120" w:type="dxa"/>
            </w:tcMar>
          </w:tcPr>
          <w:p>
            <w:pPr>
              <w:spacing w:after="0"/>
            </w:pPr>
            <w:r/>
            <w:r>
              <w:rPr>
                <w:rFonts w:ascii="Arial" w:hAnsi="Arial"/>
                <w:b w:val="0"/>
                <w:color w:val="1D2630"/>
                <w:sz w:val="17"/>
              </w:rPr>
              <w:t>The notice states that automated decision-making is not used.</w:t>
            </w:r>
          </w:p>
        </w:tc>
      </w:tr>
    </w:tbl>
    <w:p>
      <w:pPr>
        <w:spacing w:after="0"/>
      </w:pPr>
    </w:p>
    <w:p>
      <w:pPr>
        <w:spacing w:after="160" w:line="276" w:lineRule="auto"/>
      </w:pPr>
      <w:r>
        <w:t>These features provide a strong base for redesign. The preferred strategy is to preserve substantive coverage while changing the information architecture and strengthening purpose-level traceability.</w:t>
      </w:r>
    </w:p>
    <w:p>
      <w:r>
        <w:br w:type="page"/>
      </w:r>
    </w:p>
    <w:p>
      <w:pPr>
        <w:pStyle w:val="Heading1"/>
        <w:keepNext/>
      </w:pPr>
      <w:r>
        <w:t>4 Findings Overview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864"/>
            <w:vAlign w:val="center"/>
            <w:tcMar>
              <w:top w:w="100" w:type="dxa"/>
              <w:start w:w="120" w:type="dxa"/>
              <w:bottom w:w="100" w:type="dxa"/>
              <w:end w:w="120" w:type="dxa"/>
            </w:tcMar>
            <w:shd w:fill="123047"/>
          </w:tcPr>
          <w:p>
            <w:pPr>
              <w:spacing w:after="0"/>
            </w:pPr>
            <w:r/>
            <w:r>
              <w:rPr>
                <w:rFonts w:ascii="Arial" w:hAnsi="Arial"/>
                <w:b/>
                <w:color w:val="FFFFFF"/>
                <w:sz w:val="18"/>
              </w:rPr>
              <w:t>ID</w:t>
            </w:r>
          </w:p>
        </w:tc>
        <w:tc>
          <w:tcPr>
            <w:tcW w:type="dxa" w:w="6624"/>
            <w:vAlign w:val="center"/>
            <w:tcMar>
              <w:top w:w="100" w:type="dxa"/>
              <w:start w:w="120" w:type="dxa"/>
              <w:bottom w:w="100" w:type="dxa"/>
              <w:end w:w="120" w:type="dxa"/>
            </w:tcMar>
            <w:shd w:fill="123047"/>
          </w:tcPr>
          <w:p>
            <w:pPr>
              <w:spacing w:after="0"/>
            </w:pPr>
            <w:r/>
            <w:r>
              <w:rPr>
                <w:rFonts w:ascii="Arial" w:hAnsi="Arial"/>
                <w:b/>
                <w:color w:val="FFFFFF"/>
                <w:sz w:val="18"/>
              </w:rPr>
              <w:t>Finding</w:t>
            </w:r>
          </w:p>
        </w:tc>
        <w:tc>
          <w:tcPr>
            <w:tcW w:type="dxa" w:w="1440"/>
            <w:vAlign w:val="center"/>
            <w:tcMar>
              <w:top w:w="100" w:type="dxa"/>
              <w:start w:w="120" w:type="dxa"/>
              <w:bottom w:w="100" w:type="dxa"/>
              <w:end w:w="120" w:type="dxa"/>
            </w:tcMar>
            <w:shd w:fill="123047"/>
          </w:tcPr>
          <w:p>
            <w:pPr>
              <w:spacing w:after="0"/>
            </w:pPr>
            <w:r/>
            <w:r>
              <w:rPr>
                <w:rFonts w:ascii="Arial" w:hAnsi="Arial"/>
                <w:b/>
                <w:color w:val="FFFFFF"/>
                <w:sz w:val="18"/>
              </w:rPr>
              <w:t>Severity</w:t>
            </w:r>
          </w:p>
        </w:tc>
        <w:tc>
          <w:tcPr>
            <w:tcW w:type="dxa" w:w="1008"/>
            <w:vAlign w:val="center"/>
            <w:tcMar>
              <w:top w:w="100" w:type="dxa"/>
              <w:start w:w="120" w:type="dxa"/>
              <w:bottom w:w="100" w:type="dxa"/>
              <w:end w:w="120" w:type="dxa"/>
            </w:tcMar>
            <w:shd w:fill="123047"/>
          </w:tcPr>
          <w:p>
            <w:pPr>
              <w:spacing w:after="0"/>
            </w:pPr>
            <w:r/>
            <w:r>
              <w:rPr>
                <w:rFonts w:ascii="Arial" w:hAnsi="Arial"/>
                <w:b/>
                <w:color w:val="FFFFFF"/>
                <w:sz w:val="18"/>
              </w:rPr>
              <w:t>Priority</w:t>
            </w:r>
          </w:p>
        </w:tc>
        <w:trPr>
          <w:tblHeader/>
        </w:trPr>
      </w:tr>
      <w:tr>
        <w:tc>
          <w:tcPr>
            <w:tcW w:type="dxa" w:w="864"/>
            <w:vAlign w:val="center"/>
            <w:tcMar>
              <w:top w:w="100" w:type="dxa"/>
              <w:start w:w="120" w:type="dxa"/>
              <w:bottom w:w="100" w:type="dxa"/>
              <w:end w:w="120" w:type="dxa"/>
            </w:tcMar>
          </w:tcPr>
          <w:p>
            <w:pPr>
              <w:spacing w:after="0"/>
            </w:pPr>
            <w:r/>
            <w:r>
              <w:rPr>
                <w:rFonts w:ascii="Arial" w:hAnsi="Arial"/>
                <w:b w:val="0"/>
                <w:color w:val="1D2630"/>
                <w:sz w:val="17"/>
              </w:rPr>
              <w:t>F-01</w:t>
            </w:r>
          </w:p>
        </w:tc>
        <w:tc>
          <w:tcPr>
            <w:tcW w:type="dxa" w:w="6624"/>
            <w:vAlign w:val="center"/>
            <w:tcMar>
              <w:top w:w="100" w:type="dxa"/>
              <w:start w:w="120" w:type="dxa"/>
              <w:bottom w:w="100" w:type="dxa"/>
              <w:end w:w="120" w:type="dxa"/>
            </w:tcMar>
          </w:tcPr>
          <w:p>
            <w:pPr>
              <w:spacing w:after="0"/>
            </w:pPr>
            <w:r/>
            <w:r>
              <w:rPr>
                <w:rFonts w:ascii="Arial" w:hAnsi="Arial"/>
                <w:b w:val="0"/>
                <w:color w:val="1D2630"/>
                <w:sz w:val="17"/>
              </w:rPr>
              <w:t>Public review date is July 2022</w:t>
            </w:r>
          </w:p>
        </w:tc>
        <w:tc>
          <w:tcPr>
            <w:tcW w:type="dxa" w:w="1440"/>
            <w:vAlign w:val="center"/>
            <w:tcMar>
              <w:top w:w="100" w:type="dxa"/>
              <w:start w:w="120" w:type="dxa"/>
              <w:bottom w:w="100" w:type="dxa"/>
              <w:end w:w="120" w:type="dxa"/>
            </w:tcMar>
          </w:tcPr>
          <w:p>
            <w:pPr>
              <w:spacing w:after="0"/>
            </w:pPr>
            <w:r/>
            <w:r>
              <w:rPr>
                <w:rFonts w:ascii="Arial" w:hAnsi="Arial"/>
                <w:b w:val="0"/>
                <w:color w:val="1D2630"/>
                <w:sz w:val="17"/>
              </w:rPr>
              <w:t>Medium</w:t>
            </w:r>
          </w:p>
        </w:tc>
        <w:tc>
          <w:tcPr>
            <w:tcW w:type="dxa" w:w="1008"/>
            <w:vAlign w:val="center"/>
            <w:tcMar>
              <w:top w:w="100" w:type="dxa"/>
              <w:start w:w="120" w:type="dxa"/>
              <w:bottom w:w="100" w:type="dxa"/>
              <w:end w:w="120" w:type="dxa"/>
            </w:tcMar>
          </w:tcPr>
          <w:p>
            <w:pPr>
              <w:spacing w:after="0"/>
            </w:pPr>
            <w:r/>
            <w:r>
              <w:rPr>
                <w:rFonts w:ascii="Arial" w:hAnsi="Arial"/>
                <w:b w:val="0"/>
                <w:color w:val="1D2630"/>
                <w:sz w:val="17"/>
              </w:rPr>
              <w:t>1</w:t>
            </w:r>
          </w:p>
        </w:tc>
      </w:tr>
      <w:tr>
        <w:tc>
          <w:tcPr>
            <w:tcW w:type="dxa" w:w="864"/>
            <w:vAlign w:val="center"/>
            <w:tcMar>
              <w:top w:w="100" w:type="dxa"/>
              <w:start w:w="120" w:type="dxa"/>
              <w:bottom w:w="100" w:type="dxa"/>
              <w:end w:w="120" w:type="dxa"/>
            </w:tcMar>
            <w:shd w:fill="F7FAFA"/>
          </w:tcPr>
          <w:p>
            <w:pPr>
              <w:spacing w:after="0"/>
            </w:pPr>
            <w:r/>
            <w:r>
              <w:rPr>
                <w:rFonts w:ascii="Arial" w:hAnsi="Arial"/>
                <w:b w:val="0"/>
                <w:color w:val="1D2630"/>
                <w:sz w:val="17"/>
              </w:rPr>
              <w:t>F-02</w:t>
            </w:r>
          </w:p>
        </w:tc>
        <w:tc>
          <w:tcPr>
            <w:tcW w:type="dxa" w:w="6624"/>
            <w:vAlign w:val="center"/>
            <w:tcMar>
              <w:top w:w="100" w:type="dxa"/>
              <w:start w:w="120" w:type="dxa"/>
              <w:bottom w:w="100" w:type="dxa"/>
              <w:end w:w="120" w:type="dxa"/>
            </w:tcMar>
            <w:shd w:fill="F7FAFA"/>
          </w:tcPr>
          <w:p>
            <w:pPr>
              <w:spacing w:after="0"/>
            </w:pPr>
            <w:r/>
            <w:r>
              <w:rPr>
                <w:rFonts w:ascii="Arial" w:hAnsi="Arial"/>
                <w:b w:val="0"/>
                <w:color w:val="1D2630"/>
                <w:sz w:val="17"/>
              </w:rPr>
              <w:t>One long notice serves multiple audiences and contexts</w:t>
            </w:r>
          </w:p>
        </w:tc>
        <w:tc>
          <w:tcPr>
            <w:tcW w:type="dxa" w:w="1440"/>
            <w:vAlign w:val="center"/>
            <w:tcMar>
              <w:top w:w="100" w:type="dxa"/>
              <w:start w:w="120" w:type="dxa"/>
              <w:bottom w:w="100" w:type="dxa"/>
              <w:end w:w="120" w:type="dxa"/>
            </w:tcMar>
            <w:shd w:fill="F7FAFA"/>
          </w:tcPr>
          <w:p>
            <w:pPr>
              <w:spacing w:after="0"/>
            </w:pPr>
            <w:r/>
            <w:r>
              <w:rPr>
                <w:rFonts w:ascii="Arial" w:hAnsi="Arial"/>
                <w:b w:val="0"/>
                <w:color w:val="1D2630"/>
                <w:sz w:val="17"/>
              </w:rPr>
              <w:t>High</w:t>
            </w:r>
          </w:p>
        </w:tc>
        <w:tc>
          <w:tcPr>
            <w:tcW w:type="dxa" w:w="1008"/>
            <w:vAlign w:val="center"/>
            <w:tcMar>
              <w:top w:w="100" w:type="dxa"/>
              <w:start w:w="120" w:type="dxa"/>
              <w:bottom w:w="100" w:type="dxa"/>
              <w:end w:w="120" w:type="dxa"/>
            </w:tcMar>
            <w:shd w:fill="F7FAFA"/>
          </w:tcPr>
          <w:p>
            <w:pPr>
              <w:spacing w:after="0"/>
            </w:pPr>
            <w:r/>
            <w:r>
              <w:rPr>
                <w:rFonts w:ascii="Arial" w:hAnsi="Arial"/>
                <w:b w:val="0"/>
                <w:color w:val="1D2630"/>
                <w:sz w:val="17"/>
              </w:rPr>
              <w:t>1</w:t>
            </w:r>
          </w:p>
        </w:tc>
      </w:tr>
      <w:tr>
        <w:tc>
          <w:tcPr>
            <w:tcW w:type="dxa" w:w="864"/>
            <w:vAlign w:val="center"/>
            <w:tcMar>
              <w:top w:w="100" w:type="dxa"/>
              <w:start w:w="120" w:type="dxa"/>
              <w:bottom w:w="100" w:type="dxa"/>
              <w:end w:w="120" w:type="dxa"/>
            </w:tcMar>
          </w:tcPr>
          <w:p>
            <w:pPr>
              <w:spacing w:after="0"/>
            </w:pPr>
            <w:r/>
            <w:r>
              <w:rPr>
                <w:rFonts w:ascii="Arial" w:hAnsi="Arial"/>
                <w:b w:val="0"/>
                <w:color w:val="1D2630"/>
                <w:sz w:val="17"/>
              </w:rPr>
              <w:t>F-03</w:t>
            </w:r>
          </w:p>
        </w:tc>
        <w:tc>
          <w:tcPr>
            <w:tcW w:type="dxa" w:w="6624"/>
            <w:vAlign w:val="center"/>
            <w:tcMar>
              <w:top w:w="100" w:type="dxa"/>
              <w:start w:w="120" w:type="dxa"/>
              <w:bottom w:w="100" w:type="dxa"/>
              <w:end w:w="120" w:type="dxa"/>
            </w:tcMar>
          </w:tcPr>
          <w:p>
            <w:pPr>
              <w:spacing w:after="0"/>
            </w:pPr>
            <w:r/>
            <w:r>
              <w:rPr>
                <w:rFonts w:ascii="Arial" w:hAnsi="Arial"/>
                <w:b w:val="0"/>
                <w:color w:val="1D2630"/>
                <w:sz w:val="17"/>
              </w:rPr>
              <w:t>Processing elements are not consistently mapped together</w:t>
            </w:r>
          </w:p>
        </w:tc>
        <w:tc>
          <w:tcPr>
            <w:tcW w:type="dxa" w:w="1440"/>
            <w:vAlign w:val="center"/>
            <w:tcMar>
              <w:top w:w="100" w:type="dxa"/>
              <w:start w:w="120" w:type="dxa"/>
              <w:bottom w:w="100" w:type="dxa"/>
              <w:end w:w="120" w:type="dxa"/>
            </w:tcMar>
          </w:tcPr>
          <w:p>
            <w:pPr>
              <w:spacing w:after="0"/>
            </w:pPr>
            <w:r/>
            <w:r>
              <w:rPr>
                <w:rFonts w:ascii="Arial" w:hAnsi="Arial"/>
                <w:b w:val="0"/>
                <w:color w:val="1D2630"/>
                <w:sz w:val="17"/>
              </w:rPr>
              <w:t>High</w:t>
            </w:r>
          </w:p>
        </w:tc>
        <w:tc>
          <w:tcPr>
            <w:tcW w:type="dxa" w:w="1008"/>
            <w:vAlign w:val="center"/>
            <w:tcMar>
              <w:top w:w="100" w:type="dxa"/>
              <w:start w:w="120" w:type="dxa"/>
              <w:bottom w:w="100" w:type="dxa"/>
              <w:end w:w="120" w:type="dxa"/>
            </w:tcMar>
          </w:tcPr>
          <w:p>
            <w:pPr>
              <w:spacing w:after="0"/>
            </w:pPr>
            <w:r/>
            <w:r>
              <w:rPr>
                <w:rFonts w:ascii="Arial" w:hAnsi="Arial"/>
                <w:b w:val="0"/>
                <w:color w:val="1D2630"/>
                <w:sz w:val="17"/>
              </w:rPr>
              <w:t>1</w:t>
            </w:r>
          </w:p>
        </w:tc>
      </w:tr>
      <w:tr>
        <w:tc>
          <w:tcPr>
            <w:tcW w:type="dxa" w:w="864"/>
            <w:vAlign w:val="center"/>
            <w:tcMar>
              <w:top w:w="100" w:type="dxa"/>
              <w:start w:w="120" w:type="dxa"/>
              <w:bottom w:w="100" w:type="dxa"/>
              <w:end w:w="120" w:type="dxa"/>
            </w:tcMar>
            <w:shd w:fill="F7FAFA"/>
          </w:tcPr>
          <w:p>
            <w:pPr>
              <w:spacing w:after="0"/>
            </w:pPr>
            <w:r/>
            <w:r>
              <w:rPr>
                <w:rFonts w:ascii="Arial" w:hAnsi="Arial"/>
                <w:b w:val="0"/>
                <w:color w:val="1D2630"/>
                <w:sz w:val="17"/>
              </w:rPr>
              <w:t>F-04</w:t>
            </w:r>
          </w:p>
        </w:tc>
        <w:tc>
          <w:tcPr>
            <w:tcW w:type="dxa" w:w="6624"/>
            <w:vAlign w:val="center"/>
            <w:tcMar>
              <w:top w:w="100" w:type="dxa"/>
              <w:start w:w="120" w:type="dxa"/>
              <w:bottom w:w="100" w:type="dxa"/>
              <w:end w:w="120" w:type="dxa"/>
            </w:tcMar>
            <w:shd w:fill="F7FAFA"/>
          </w:tcPr>
          <w:p>
            <w:pPr>
              <w:spacing w:after="0"/>
            </w:pPr>
            <w:r/>
            <w:r>
              <w:rPr>
                <w:rFonts w:ascii="Arial" w:hAnsi="Arial"/>
                <w:b w:val="0"/>
                <w:color w:val="1D2630"/>
                <w:sz w:val="17"/>
              </w:rPr>
              <w:t>Entity-specific controller roles are difficult to determine</w:t>
            </w:r>
          </w:p>
        </w:tc>
        <w:tc>
          <w:tcPr>
            <w:tcW w:type="dxa" w:w="1440"/>
            <w:vAlign w:val="center"/>
            <w:tcMar>
              <w:top w:w="100" w:type="dxa"/>
              <w:start w:w="120" w:type="dxa"/>
              <w:bottom w:w="100" w:type="dxa"/>
              <w:end w:w="120" w:type="dxa"/>
            </w:tcMar>
            <w:shd w:fill="F7FAFA"/>
          </w:tcPr>
          <w:p>
            <w:pPr>
              <w:spacing w:after="0"/>
            </w:pPr>
            <w:r/>
            <w:r>
              <w:rPr>
                <w:rFonts w:ascii="Arial" w:hAnsi="Arial"/>
                <w:b w:val="0"/>
                <w:color w:val="1D2630"/>
                <w:sz w:val="17"/>
              </w:rPr>
              <w:t>Medium</w:t>
            </w:r>
          </w:p>
        </w:tc>
        <w:tc>
          <w:tcPr>
            <w:tcW w:type="dxa" w:w="1008"/>
            <w:vAlign w:val="center"/>
            <w:tcMar>
              <w:top w:w="100" w:type="dxa"/>
              <w:start w:w="120" w:type="dxa"/>
              <w:bottom w:w="100" w:type="dxa"/>
              <w:end w:w="120" w:type="dxa"/>
            </w:tcMar>
            <w:shd w:fill="F7FAFA"/>
          </w:tcPr>
          <w:p>
            <w:pPr>
              <w:spacing w:after="0"/>
            </w:pPr>
            <w:r/>
            <w:r>
              <w:rPr>
                <w:rFonts w:ascii="Arial" w:hAnsi="Arial"/>
                <w:b w:val="0"/>
                <w:color w:val="1D2630"/>
                <w:sz w:val="17"/>
              </w:rPr>
              <w:t>1</w:t>
            </w:r>
          </w:p>
        </w:tc>
      </w:tr>
      <w:tr>
        <w:tc>
          <w:tcPr>
            <w:tcW w:type="dxa" w:w="864"/>
            <w:vAlign w:val="center"/>
            <w:tcMar>
              <w:top w:w="100" w:type="dxa"/>
              <w:start w:w="120" w:type="dxa"/>
              <w:bottom w:w="100" w:type="dxa"/>
              <w:end w:w="120" w:type="dxa"/>
            </w:tcMar>
          </w:tcPr>
          <w:p>
            <w:pPr>
              <w:spacing w:after="0"/>
            </w:pPr>
            <w:r/>
            <w:r>
              <w:rPr>
                <w:rFonts w:ascii="Arial" w:hAnsi="Arial"/>
                <w:b w:val="0"/>
                <w:color w:val="1D2630"/>
                <w:sz w:val="17"/>
              </w:rPr>
              <w:t>F-05</w:t>
            </w:r>
          </w:p>
        </w:tc>
        <w:tc>
          <w:tcPr>
            <w:tcW w:type="dxa" w:w="6624"/>
            <w:vAlign w:val="center"/>
            <w:tcMar>
              <w:top w:w="100" w:type="dxa"/>
              <w:start w:w="120" w:type="dxa"/>
              <w:bottom w:w="100" w:type="dxa"/>
              <w:end w:w="120" w:type="dxa"/>
            </w:tcMar>
          </w:tcPr>
          <w:p>
            <w:pPr>
              <w:spacing w:after="0"/>
            </w:pPr>
            <w:r/>
            <w:r>
              <w:rPr>
                <w:rFonts w:ascii="Arial" w:hAnsi="Arial"/>
                <w:b w:val="0"/>
                <w:color w:val="1D2630"/>
                <w:sz w:val="17"/>
              </w:rPr>
              <w:t>Retention mixes precise periods and broad criteria</w:t>
            </w:r>
          </w:p>
        </w:tc>
        <w:tc>
          <w:tcPr>
            <w:tcW w:type="dxa" w:w="1440"/>
            <w:vAlign w:val="center"/>
            <w:tcMar>
              <w:top w:w="100" w:type="dxa"/>
              <w:start w:w="120" w:type="dxa"/>
              <w:bottom w:w="100" w:type="dxa"/>
              <w:end w:w="120" w:type="dxa"/>
            </w:tcMar>
          </w:tcPr>
          <w:p>
            <w:pPr>
              <w:spacing w:after="0"/>
            </w:pPr>
            <w:r/>
            <w:r>
              <w:rPr>
                <w:rFonts w:ascii="Arial" w:hAnsi="Arial"/>
                <w:b w:val="0"/>
                <w:color w:val="1D2630"/>
                <w:sz w:val="17"/>
              </w:rPr>
              <w:t>Medium</w:t>
            </w:r>
          </w:p>
        </w:tc>
        <w:tc>
          <w:tcPr>
            <w:tcW w:type="dxa" w:w="1008"/>
            <w:vAlign w:val="center"/>
            <w:tcMar>
              <w:top w:w="100" w:type="dxa"/>
              <w:start w:w="120" w:type="dxa"/>
              <w:bottom w:w="100" w:type="dxa"/>
              <w:end w:w="120" w:type="dxa"/>
            </w:tcMar>
          </w:tcPr>
          <w:p>
            <w:pPr>
              <w:spacing w:after="0"/>
            </w:pPr>
            <w:r/>
            <w:r>
              <w:rPr>
                <w:rFonts w:ascii="Arial" w:hAnsi="Arial"/>
                <w:b w:val="0"/>
                <w:color w:val="1D2630"/>
                <w:sz w:val="17"/>
              </w:rPr>
              <w:t>2</w:t>
            </w:r>
          </w:p>
        </w:tc>
      </w:tr>
      <w:tr>
        <w:tc>
          <w:tcPr>
            <w:tcW w:type="dxa" w:w="864"/>
            <w:vAlign w:val="center"/>
            <w:tcMar>
              <w:top w:w="100" w:type="dxa"/>
              <w:start w:w="120" w:type="dxa"/>
              <w:bottom w:w="100" w:type="dxa"/>
              <w:end w:w="120" w:type="dxa"/>
            </w:tcMar>
            <w:shd w:fill="F7FAFA"/>
          </w:tcPr>
          <w:p>
            <w:pPr>
              <w:spacing w:after="0"/>
            </w:pPr>
            <w:r/>
            <w:r>
              <w:rPr>
                <w:rFonts w:ascii="Arial" w:hAnsi="Arial"/>
                <w:b w:val="0"/>
                <w:color w:val="1D2630"/>
                <w:sz w:val="17"/>
              </w:rPr>
              <w:t>F-06</w:t>
            </w:r>
          </w:p>
        </w:tc>
        <w:tc>
          <w:tcPr>
            <w:tcW w:type="dxa" w:w="6624"/>
            <w:vAlign w:val="center"/>
            <w:tcMar>
              <w:top w:w="100" w:type="dxa"/>
              <w:start w:w="120" w:type="dxa"/>
              <w:bottom w:w="100" w:type="dxa"/>
              <w:end w:w="120" w:type="dxa"/>
            </w:tcMar>
            <w:shd w:fill="F7FAFA"/>
          </w:tcPr>
          <w:p>
            <w:pPr>
              <w:spacing w:after="0"/>
            </w:pPr>
            <w:r/>
            <w:r>
              <w:rPr>
                <w:rFonts w:ascii="Arial" w:hAnsi="Arial"/>
                <w:b w:val="0"/>
                <w:color w:val="1D2630"/>
                <w:sz w:val="17"/>
              </w:rPr>
              <w:t>Transfer safeguards lack a clear information-request route</w:t>
            </w:r>
          </w:p>
        </w:tc>
        <w:tc>
          <w:tcPr>
            <w:tcW w:type="dxa" w:w="1440"/>
            <w:vAlign w:val="center"/>
            <w:tcMar>
              <w:top w:w="100" w:type="dxa"/>
              <w:start w:w="120" w:type="dxa"/>
              <w:bottom w:w="100" w:type="dxa"/>
              <w:end w:w="120" w:type="dxa"/>
            </w:tcMar>
            <w:shd w:fill="F7FAFA"/>
          </w:tcPr>
          <w:p>
            <w:pPr>
              <w:spacing w:after="0"/>
            </w:pPr>
            <w:r/>
            <w:r>
              <w:rPr>
                <w:rFonts w:ascii="Arial" w:hAnsi="Arial"/>
                <w:b w:val="0"/>
                <w:color w:val="1D2630"/>
                <w:sz w:val="17"/>
              </w:rPr>
              <w:t>Medium</w:t>
            </w:r>
          </w:p>
        </w:tc>
        <w:tc>
          <w:tcPr>
            <w:tcW w:type="dxa" w:w="1008"/>
            <w:vAlign w:val="center"/>
            <w:tcMar>
              <w:top w:w="100" w:type="dxa"/>
              <w:start w:w="120" w:type="dxa"/>
              <w:bottom w:w="100" w:type="dxa"/>
              <w:end w:w="120" w:type="dxa"/>
            </w:tcMar>
            <w:shd w:fill="F7FAFA"/>
          </w:tcPr>
          <w:p>
            <w:pPr>
              <w:spacing w:after="0"/>
            </w:pPr>
            <w:r/>
            <w:r>
              <w:rPr>
                <w:rFonts w:ascii="Arial" w:hAnsi="Arial"/>
                <w:b w:val="0"/>
                <w:color w:val="1D2630"/>
                <w:sz w:val="17"/>
              </w:rPr>
              <w:t>2</w:t>
            </w:r>
          </w:p>
        </w:tc>
      </w:tr>
      <w:tr>
        <w:tc>
          <w:tcPr>
            <w:tcW w:type="dxa" w:w="864"/>
            <w:vAlign w:val="center"/>
            <w:tcMar>
              <w:top w:w="100" w:type="dxa"/>
              <w:start w:w="120" w:type="dxa"/>
              <w:bottom w:w="100" w:type="dxa"/>
              <w:end w:w="120" w:type="dxa"/>
            </w:tcMar>
          </w:tcPr>
          <w:p>
            <w:pPr>
              <w:spacing w:after="0"/>
            </w:pPr>
            <w:r/>
            <w:r>
              <w:rPr>
                <w:rFonts w:ascii="Arial" w:hAnsi="Arial"/>
                <w:b w:val="0"/>
                <w:color w:val="1D2630"/>
                <w:sz w:val="17"/>
              </w:rPr>
              <w:t>F-07</w:t>
            </w:r>
          </w:p>
        </w:tc>
        <w:tc>
          <w:tcPr>
            <w:tcW w:type="dxa" w:w="6624"/>
            <w:vAlign w:val="center"/>
            <w:tcMar>
              <w:top w:w="100" w:type="dxa"/>
              <w:start w:w="120" w:type="dxa"/>
              <w:bottom w:w="100" w:type="dxa"/>
              <w:end w:w="120" w:type="dxa"/>
            </w:tcMar>
          </w:tcPr>
          <w:p>
            <w:pPr>
              <w:spacing w:after="0"/>
            </w:pPr>
            <w:r/>
            <w:r>
              <w:rPr>
                <w:rFonts w:ascii="Arial" w:hAnsi="Arial"/>
                <w:b w:val="0"/>
                <w:color w:val="1D2630"/>
                <w:sz w:val="17"/>
              </w:rPr>
              <w:t>Article 6 and Article 9 logic can be separated more clearly</w:t>
            </w:r>
          </w:p>
        </w:tc>
        <w:tc>
          <w:tcPr>
            <w:tcW w:type="dxa" w:w="1440"/>
            <w:vAlign w:val="center"/>
            <w:tcMar>
              <w:top w:w="100" w:type="dxa"/>
              <w:start w:w="120" w:type="dxa"/>
              <w:bottom w:w="100" w:type="dxa"/>
              <w:end w:w="120" w:type="dxa"/>
            </w:tcMar>
          </w:tcPr>
          <w:p>
            <w:pPr>
              <w:spacing w:after="0"/>
            </w:pPr>
            <w:r/>
            <w:r>
              <w:rPr>
                <w:rFonts w:ascii="Arial" w:hAnsi="Arial"/>
                <w:b w:val="0"/>
                <w:color w:val="1D2630"/>
                <w:sz w:val="17"/>
              </w:rPr>
              <w:t>Medium</w:t>
            </w:r>
          </w:p>
        </w:tc>
        <w:tc>
          <w:tcPr>
            <w:tcW w:type="dxa" w:w="1008"/>
            <w:vAlign w:val="center"/>
            <w:tcMar>
              <w:top w:w="100" w:type="dxa"/>
              <w:start w:w="120" w:type="dxa"/>
              <w:bottom w:w="100" w:type="dxa"/>
              <w:end w:w="120" w:type="dxa"/>
            </w:tcMar>
          </w:tcPr>
          <w:p>
            <w:pPr>
              <w:spacing w:after="0"/>
            </w:pPr>
            <w:r/>
            <w:r>
              <w:rPr>
                <w:rFonts w:ascii="Arial" w:hAnsi="Arial"/>
                <w:b w:val="0"/>
                <w:color w:val="1D2630"/>
                <w:sz w:val="17"/>
              </w:rPr>
              <w:t>2</w:t>
            </w:r>
          </w:p>
        </w:tc>
      </w:tr>
      <w:tr>
        <w:tc>
          <w:tcPr>
            <w:tcW w:type="dxa" w:w="864"/>
            <w:vAlign w:val="center"/>
            <w:tcMar>
              <w:top w:w="100" w:type="dxa"/>
              <w:start w:w="120" w:type="dxa"/>
              <w:bottom w:w="100" w:type="dxa"/>
              <w:end w:w="120" w:type="dxa"/>
            </w:tcMar>
            <w:shd w:fill="F7FAFA"/>
          </w:tcPr>
          <w:p>
            <w:pPr>
              <w:spacing w:after="0"/>
            </w:pPr>
            <w:r/>
            <w:r>
              <w:rPr>
                <w:rFonts w:ascii="Arial" w:hAnsi="Arial"/>
                <w:b w:val="0"/>
                <w:color w:val="1D2630"/>
                <w:sz w:val="17"/>
              </w:rPr>
              <w:t>F-08</w:t>
            </w:r>
          </w:p>
        </w:tc>
        <w:tc>
          <w:tcPr>
            <w:tcW w:type="dxa" w:w="6624"/>
            <w:vAlign w:val="center"/>
            <w:tcMar>
              <w:top w:w="100" w:type="dxa"/>
              <w:start w:w="120" w:type="dxa"/>
              <w:bottom w:w="100" w:type="dxa"/>
              <w:end w:w="120" w:type="dxa"/>
            </w:tcMar>
            <w:shd w:fill="F7FAFA"/>
          </w:tcPr>
          <w:p>
            <w:pPr>
              <w:spacing w:after="0"/>
            </w:pPr>
            <w:r/>
            <w:r>
              <w:rPr>
                <w:rFonts w:ascii="Arial" w:hAnsi="Arial"/>
                <w:b w:val="0"/>
                <w:color w:val="1D2630"/>
                <w:sz w:val="17"/>
              </w:rPr>
              <w:t>Contextual notices require a controlled architecture</w:t>
            </w:r>
          </w:p>
        </w:tc>
        <w:tc>
          <w:tcPr>
            <w:tcW w:type="dxa" w:w="1440"/>
            <w:vAlign w:val="center"/>
            <w:tcMar>
              <w:top w:w="100" w:type="dxa"/>
              <w:start w:w="120" w:type="dxa"/>
              <w:bottom w:w="100" w:type="dxa"/>
              <w:end w:w="120" w:type="dxa"/>
            </w:tcMar>
            <w:shd w:fill="F7FAFA"/>
          </w:tcPr>
          <w:p>
            <w:pPr>
              <w:spacing w:after="0"/>
            </w:pPr>
            <w:r/>
            <w:r>
              <w:rPr>
                <w:rFonts w:ascii="Arial" w:hAnsi="Arial"/>
                <w:b w:val="0"/>
                <w:color w:val="1D2630"/>
                <w:sz w:val="17"/>
              </w:rPr>
              <w:t>Medium</w:t>
            </w:r>
          </w:p>
        </w:tc>
        <w:tc>
          <w:tcPr>
            <w:tcW w:type="dxa" w:w="1008"/>
            <w:vAlign w:val="center"/>
            <w:tcMar>
              <w:top w:w="100" w:type="dxa"/>
              <w:start w:w="120" w:type="dxa"/>
              <w:bottom w:w="100" w:type="dxa"/>
              <w:end w:w="120" w:type="dxa"/>
            </w:tcMar>
            <w:shd w:fill="F7FAFA"/>
          </w:tcPr>
          <w:p>
            <w:pPr>
              <w:spacing w:after="0"/>
            </w:pPr>
            <w:r/>
            <w:r>
              <w:rPr>
                <w:rFonts w:ascii="Arial" w:hAnsi="Arial"/>
                <w:b w:val="0"/>
                <w:color w:val="1D2630"/>
                <w:sz w:val="17"/>
              </w:rPr>
              <w:t>2</w:t>
            </w:r>
          </w:p>
        </w:tc>
      </w:tr>
      <w:tr>
        <w:tc>
          <w:tcPr>
            <w:tcW w:type="dxa" w:w="864"/>
            <w:vAlign w:val="center"/>
            <w:tcMar>
              <w:top w:w="100" w:type="dxa"/>
              <w:start w:w="120" w:type="dxa"/>
              <w:bottom w:w="100" w:type="dxa"/>
              <w:end w:w="120" w:type="dxa"/>
            </w:tcMar>
          </w:tcPr>
          <w:p>
            <w:pPr>
              <w:spacing w:after="0"/>
            </w:pPr>
            <w:r/>
            <w:r>
              <w:rPr>
                <w:rFonts w:ascii="Arial" w:hAnsi="Arial"/>
                <w:b w:val="0"/>
                <w:color w:val="1D2630"/>
                <w:sz w:val="17"/>
              </w:rPr>
              <w:t>F-09</w:t>
            </w:r>
          </w:p>
        </w:tc>
        <w:tc>
          <w:tcPr>
            <w:tcW w:type="dxa" w:w="6624"/>
            <w:vAlign w:val="center"/>
            <w:tcMar>
              <w:top w:w="100" w:type="dxa"/>
              <w:start w:w="120" w:type="dxa"/>
              <w:bottom w:w="100" w:type="dxa"/>
              <w:end w:w="120" w:type="dxa"/>
            </w:tcMar>
          </w:tcPr>
          <w:p>
            <w:pPr>
              <w:spacing w:after="0"/>
            </w:pPr>
            <w:r/>
            <w:r>
              <w:rPr>
                <w:rFonts w:ascii="Arial" w:hAnsi="Arial"/>
                <w:b w:val="0"/>
                <w:color w:val="1D2630"/>
                <w:sz w:val="17"/>
              </w:rPr>
              <w:t>Automated-decision statement lacks a change trigger</w:t>
            </w:r>
          </w:p>
        </w:tc>
        <w:tc>
          <w:tcPr>
            <w:tcW w:type="dxa" w:w="1440"/>
            <w:vAlign w:val="center"/>
            <w:tcMar>
              <w:top w:w="100" w:type="dxa"/>
              <w:start w:w="120" w:type="dxa"/>
              <w:bottom w:w="100" w:type="dxa"/>
              <w:end w:w="120" w:type="dxa"/>
            </w:tcMar>
          </w:tcPr>
          <w:p>
            <w:pPr>
              <w:spacing w:after="0"/>
            </w:pPr>
            <w:r/>
            <w:r>
              <w:rPr>
                <w:rFonts w:ascii="Arial" w:hAnsi="Arial"/>
                <w:b w:val="0"/>
                <w:color w:val="1D2630"/>
                <w:sz w:val="17"/>
              </w:rPr>
              <w:t>Low</w:t>
            </w:r>
          </w:p>
        </w:tc>
        <w:tc>
          <w:tcPr>
            <w:tcW w:type="dxa" w:w="1008"/>
            <w:vAlign w:val="center"/>
            <w:tcMar>
              <w:top w:w="100" w:type="dxa"/>
              <w:start w:w="120" w:type="dxa"/>
              <w:bottom w:w="100" w:type="dxa"/>
              <w:end w:w="120" w:type="dxa"/>
            </w:tcMar>
          </w:tcPr>
          <w:p>
            <w:pPr>
              <w:spacing w:after="0"/>
            </w:pPr>
            <w:r/>
            <w:r>
              <w:rPr>
                <w:rFonts w:ascii="Arial" w:hAnsi="Arial"/>
                <w:b w:val="0"/>
                <w:color w:val="1D2630"/>
                <w:sz w:val="17"/>
              </w:rPr>
              <w:t>3</w:t>
            </w:r>
          </w:p>
        </w:tc>
      </w:tr>
      <w:tr>
        <w:tc>
          <w:tcPr>
            <w:tcW w:type="dxa" w:w="864"/>
            <w:vAlign w:val="center"/>
            <w:tcMar>
              <w:top w:w="100" w:type="dxa"/>
              <w:start w:w="120" w:type="dxa"/>
              <w:bottom w:w="100" w:type="dxa"/>
              <w:end w:w="120" w:type="dxa"/>
            </w:tcMar>
            <w:shd w:fill="F7FAFA"/>
          </w:tcPr>
          <w:p>
            <w:pPr>
              <w:spacing w:after="0"/>
            </w:pPr>
            <w:r/>
            <w:r>
              <w:rPr>
                <w:rFonts w:ascii="Arial" w:hAnsi="Arial"/>
                <w:b w:val="0"/>
                <w:color w:val="1D2630"/>
                <w:sz w:val="17"/>
              </w:rPr>
              <w:t>F-10</w:t>
            </w:r>
          </w:p>
        </w:tc>
        <w:tc>
          <w:tcPr>
            <w:tcW w:type="dxa" w:w="6624"/>
            <w:vAlign w:val="center"/>
            <w:tcMar>
              <w:top w:w="100" w:type="dxa"/>
              <w:start w:w="120" w:type="dxa"/>
              <w:bottom w:w="100" w:type="dxa"/>
              <w:end w:w="120" w:type="dxa"/>
            </w:tcMar>
            <w:shd w:fill="F7FAFA"/>
          </w:tcPr>
          <w:p>
            <w:pPr>
              <w:spacing w:after="0"/>
            </w:pPr>
            <w:r/>
            <w:r>
              <w:rPr>
                <w:rFonts w:ascii="Arial" w:hAnsi="Arial"/>
                <w:b w:val="0"/>
                <w:color w:val="1D2630"/>
                <w:sz w:val="17"/>
              </w:rPr>
              <w:t>Rights journey is legally detailed but not task-oriented</w:t>
            </w:r>
          </w:p>
        </w:tc>
        <w:tc>
          <w:tcPr>
            <w:tcW w:type="dxa" w:w="1440"/>
            <w:vAlign w:val="center"/>
            <w:tcMar>
              <w:top w:w="100" w:type="dxa"/>
              <w:start w:w="120" w:type="dxa"/>
              <w:bottom w:w="100" w:type="dxa"/>
              <w:end w:w="120" w:type="dxa"/>
            </w:tcMar>
            <w:shd w:fill="F7FAFA"/>
          </w:tcPr>
          <w:p>
            <w:pPr>
              <w:spacing w:after="0"/>
            </w:pPr>
            <w:r/>
            <w:r>
              <w:rPr>
                <w:rFonts w:ascii="Arial" w:hAnsi="Arial"/>
                <w:b w:val="0"/>
                <w:color w:val="1D2630"/>
                <w:sz w:val="17"/>
              </w:rPr>
              <w:t>Low</w:t>
            </w:r>
          </w:p>
        </w:tc>
        <w:tc>
          <w:tcPr>
            <w:tcW w:type="dxa" w:w="1008"/>
            <w:vAlign w:val="center"/>
            <w:tcMar>
              <w:top w:w="100" w:type="dxa"/>
              <w:start w:w="120" w:type="dxa"/>
              <w:bottom w:w="100" w:type="dxa"/>
              <w:end w:w="120" w:type="dxa"/>
            </w:tcMar>
            <w:shd w:fill="F7FAFA"/>
          </w:tcPr>
          <w:p>
            <w:pPr>
              <w:spacing w:after="0"/>
            </w:pPr>
            <w:r/>
            <w:r>
              <w:rPr>
                <w:rFonts w:ascii="Arial" w:hAnsi="Arial"/>
                <w:b w:val="0"/>
                <w:color w:val="1D2630"/>
                <w:sz w:val="17"/>
              </w:rPr>
              <w:t>3</w:t>
            </w:r>
          </w:p>
        </w:tc>
      </w:tr>
    </w:tbl>
    <w:p>
      <w:pPr>
        <w:spacing w:after="0"/>
      </w:pPr>
    </w:p>
    <w:p>
      <w:pPr>
        <w:spacing w:after="160" w:line="276" w:lineRule="auto"/>
      </w:pPr>
      <w:r>
        <w:t>The two high-severity findings concern comprehension: readers should not have to reconstruct a processing record from separate sections. The highest-value fix is a purpose-level matrix delivered through a layered notice.</w:t>
      </w:r>
    </w:p>
    <w:p>
      <w:r>
        <w:br w:type="page"/>
      </w:r>
    </w:p>
    <w:p>
      <w:pPr>
        <w:pStyle w:val="Heading1"/>
        <w:keepNext/>
      </w:pPr>
      <w:r>
        <w:t>5 Detailed Findings</w:t>
      </w:r>
    </w:p>
    <w:p>
      <w:pPr>
        <w:pStyle w:val="Heading2"/>
        <w:keepNext/>
      </w:pPr>
      <w:r>
        <w:t>F-01 Notice governance and freshness</w:t>
      </w:r>
    </w:p>
    <w:p>
      <w:pPr>
        <w:spacing w:after="160" w:line="276" w:lineRule="auto"/>
      </w:pPr>
      <w:r>
        <w:t>The page displays July 2022 as its last review date. Age alone does not establish inaccuracy, but a healthcare group with multiple entities, digital services, vendors, and data channels should be able to demonstrate periodic validation and event-driven updates.</w:t>
      </w:r>
    </w:p>
    <w:p>
      <w:pPr>
        <w:spacing w:after="160" w:line="276" w:lineRule="auto"/>
      </w:pPr>
      <w:r>
        <w:t>Recommendation: assign a policy owner, legal approver, operational validators, annual review date, and mandatory triggers for new services, entities, vendors, transfers, data uses, retention rules, or automation.</w:t>
      </w:r>
    </w:p>
    <w:p>
      <w:pPr>
        <w:pStyle w:val="Heading2"/>
        <w:keepNext/>
      </w:pPr>
      <w:r>
        <w:t>F-02 Multi-audience cognitive load</w:t>
      </w:r>
    </w:p>
    <w:p>
      <w:pPr>
        <w:spacing w:after="160" w:line="276" w:lineRule="auto"/>
      </w:pPr>
      <w:r>
        <w:t>Patients, website visitors, job applicants, employees, suppliers, research participants, callers, app users, and CCTV visitors encounter materially different processing. Combining them in one continuous document reduces relevance and makes essential information harder to find.</w:t>
      </w:r>
    </w:p>
    <w:p>
      <w:pPr>
        <w:spacing w:after="160" w:line="276" w:lineRule="auto"/>
      </w:pPr>
      <w:r>
        <w:t>Recommendation: provide audience modules, short first-layer summaries, and contextual notices at the collection point, all linked to a controlled full policy.</w:t>
      </w:r>
    </w:p>
    <w:p>
      <w:pPr>
        <w:pStyle w:val="Heading2"/>
        <w:keepNext/>
      </w:pPr>
      <w:r>
        <w:t>F-03 Weak purpose-level traceability</w:t>
      </w:r>
    </w:p>
    <w:p>
      <w:pPr>
        <w:spacing w:after="160" w:line="276" w:lineRule="auto"/>
      </w:pPr>
      <w:r>
        <w:t>The notice contains data categories, purposes, legal bases, recipients, transfers, retention, and rights, but readers must infer many relationships across sections. A public processing matrix would make the logic auditable and easier to maintain.</w:t>
      </w:r>
    </w:p>
    <w:p>
      <w:r>
        <w:br w:type="page"/>
      </w:r>
    </w:p>
    <w:p>
      <w:pPr>
        <w:pStyle w:val="Heading1"/>
        <w:keepNext/>
      </w:pPr>
      <w:r>
        <w:t>6 Detailed Findings Continued</w:t>
      </w:r>
    </w:p>
    <w:p>
      <w:pPr>
        <w:pStyle w:val="Heading2"/>
        <w:keepNext/>
      </w:pPr>
      <w:r>
        <w:t>F-04 Entity and controller clarity</w:t>
      </w:r>
    </w:p>
    <w:p>
      <w:pPr>
        <w:spacing w:after="160" w:line="276" w:lineRule="auto"/>
      </w:pPr>
      <w:r>
        <w:t>The policy lists group and associated companies and gives central contact details. For a specific appointment, laboratory, clinic, digital service, recruitment process, or research activity, the reader may still struggle to determine the responsible controller and whether roles are separate or shared.</w:t>
      </w:r>
    </w:p>
    <w:p>
      <w:pPr>
        <w:pStyle w:val="Heading2"/>
        <w:keepNext/>
      </w:pPr>
      <w:r>
        <w:t>F-05 Retention predictability</w:t>
      </w:r>
    </w:p>
    <w:p>
      <w:pPr>
        <w:spacing w:after="160" w:line="276" w:lineRule="auto"/>
      </w:pPr>
      <w:r>
        <w:t>Several periods are concrete, including medical records and candidate applications. Other processing relies on purpose duration, legal requirements, or claims. Those criteria can be valid, but a compact retention schedule would make the trigger, period, legal source, and disposal event more predictable.</w:t>
      </w:r>
    </w:p>
    <w:p>
      <w:pPr>
        <w:pStyle w:val="Heading2"/>
        <w:keepNext/>
      </w:pPr>
      <w:r>
        <w:t>F-06 Transfer transparency</w:t>
      </w:r>
    </w:p>
    <w:p>
      <w:pPr>
        <w:spacing w:after="160" w:line="276" w:lineRule="auto"/>
      </w:pPr>
      <w:r>
        <w:t>The policy explains adequacy decisions, appropriate safeguards, and exceptional derogations. It should also identify the transfer contexts more directly and explain how a person can obtain information or a copy of the relevant safeguard, subject to lawful redactions.</w:t>
      </w:r>
    </w:p>
    <w:p>
      <w:pPr>
        <w:pStyle w:val="Heading2"/>
        <w:keepNext/>
      </w:pPr>
      <w:r>
        <w:t>F-07 Special-category legal logic</w:t>
      </w:r>
    </w:p>
    <w:p>
      <w:pPr>
        <w:spacing w:after="160" w:line="276" w:lineRule="auto"/>
      </w:pPr>
      <w:r>
        <w:t>Healthcare processing often requires both an Article 6 lawful basis and an Article 9 condition. Presenting both fields for each purpose would avoid ambiguity, especially where consent is described as a fallback or is used for a distinct activity such as research participation or marketing.</w:t>
      </w:r>
    </w:p>
    <w:p>
      <w:r>
        <w:br w:type="page"/>
      </w:r>
    </w:p>
    <w:p>
      <w:pPr>
        <w:pStyle w:val="Heading1"/>
        <w:keepNext/>
      </w:pPr>
      <w:r>
        <w:t>7 Detailed Findings Continued</w:t>
      </w:r>
    </w:p>
    <w:p>
      <w:pPr>
        <w:pStyle w:val="Heading2"/>
        <w:keepNext/>
      </w:pPr>
      <w:r>
        <w:t>F-08 Notice architecture across channels</w:t>
      </w:r>
    </w:p>
    <w:p>
      <w:pPr>
        <w:spacing w:after="160" w:line="276" w:lineRule="auto"/>
      </w:pPr>
      <w:r>
        <w:t>Careers, cookies, call recording, CCTV, applications, research, and digital-health services need contextual information. A central inventory should identify each notice, owner, audience, collection point, version, legal review, and link to the full policy.</w:t>
      </w:r>
    </w:p>
    <w:p>
      <w:pPr>
        <w:pStyle w:val="Heading2"/>
        <w:keepNext/>
      </w:pPr>
      <w:r>
        <w:t>F-09 Automated decisions change control</w:t>
      </w:r>
    </w:p>
    <w:p>
      <w:pPr>
        <w:spacing w:after="160" w:line="276" w:lineRule="auto"/>
      </w:pPr>
      <w:r>
        <w:t>The statement that automated decision-making is not used is clear. A governance rule should require assessment and notice revision before any future system makes or materially influences decisions with legal or similarly significant effects.</w:t>
      </w:r>
    </w:p>
    <w:p>
      <w:pPr>
        <w:pStyle w:val="Heading2"/>
        <w:keepNext/>
      </w:pPr>
      <w:r>
        <w:t>F-10 Rights journey</w:t>
      </w:r>
    </w:p>
    <w:p>
      <w:pPr>
        <w:spacing w:after="160" w:line="276" w:lineRule="auto"/>
      </w:pPr>
      <w:r>
        <w:t>Rights and timelines are described, and the DPO route is visible. Usability would improve through a rights hub explaining the request steps, identity verification, expected response, secure delivery, restriction limits, and escalation path.</w:t>
      </w:r>
    </w:p>
    <w:p>
      <w:pPr>
        <w:pStyle w:val="Heading2"/>
        <w:keepNext/>
      </w:pPr>
      <w:r>
        <w:t>Interpretive caution</w:t>
      </w:r>
    </w:p>
    <w:p>
      <w:pPr>
        <w:spacing w:after="160" w:line="276" w:lineRule="auto"/>
      </w:pPr>
      <w:r>
        <w:t>None of these findings proves that the organisation lacks internal controls. They identify where the public explanation can become easier to understand, validate, and maintain.</w:t>
      </w:r>
    </w:p>
    <w:p>
      <w:r>
        <w:br w:type="page"/>
      </w:r>
    </w:p>
    <w:p>
      <w:pPr>
        <w:pStyle w:val="Heading1"/>
        <w:keepNext/>
      </w:pPr>
      <w:r>
        <w:t>8 Target Notice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440"/>
            <w:vAlign w:val="center"/>
            <w:tcMar>
              <w:top w:w="100" w:type="dxa"/>
              <w:start w:w="120" w:type="dxa"/>
              <w:bottom w:w="100" w:type="dxa"/>
              <w:end w:w="120" w:type="dxa"/>
            </w:tcMar>
            <w:shd w:fill="123047"/>
          </w:tcPr>
          <w:p>
            <w:pPr>
              <w:spacing w:after="0"/>
            </w:pPr>
            <w:r/>
            <w:r>
              <w:rPr>
                <w:rFonts w:ascii="Arial" w:hAnsi="Arial"/>
                <w:b/>
                <w:color w:val="FFFFFF"/>
                <w:sz w:val="18"/>
              </w:rPr>
              <w:t>Layer</w:t>
            </w:r>
          </w:p>
        </w:tc>
        <w:tc>
          <w:tcPr>
            <w:tcW w:type="dxa" w:w="2592"/>
            <w:vAlign w:val="center"/>
            <w:tcMar>
              <w:top w:w="100" w:type="dxa"/>
              <w:start w:w="120" w:type="dxa"/>
              <w:bottom w:w="100" w:type="dxa"/>
              <w:end w:w="120" w:type="dxa"/>
            </w:tcMar>
            <w:shd w:fill="123047"/>
          </w:tcPr>
          <w:p>
            <w:pPr>
              <w:spacing w:after="0"/>
            </w:pPr>
            <w:r/>
            <w:r>
              <w:rPr>
                <w:rFonts w:ascii="Arial" w:hAnsi="Arial"/>
                <w:b/>
                <w:color w:val="FFFFFF"/>
                <w:sz w:val="18"/>
              </w:rPr>
              <w:t>Purpose</w:t>
            </w:r>
          </w:p>
        </w:tc>
        <w:tc>
          <w:tcPr>
            <w:tcW w:type="dxa" w:w="5904"/>
            <w:vAlign w:val="center"/>
            <w:tcMar>
              <w:top w:w="100" w:type="dxa"/>
              <w:start w:w="120" w:type="dxa"/>
              <w:bottom w:w="100" w:type="dxa"/>
              <w:end w:w="120" w:type="dxa"/>
            </w:tcMar>
            <w:shd w:fill="123047"/>
          </w:tcPr>
          <w:p>
            <w:pPr>
              <w:spacing w:after="0"/>
            </w:pPr>
            <w:r/>
            <w:r>
              <w:rPr>
                <w:rFonts w:ascii="Arial" w:hAnsi="Arial"/>
                <w:b/>
                <w:color w:val="FFFFFF"/>
                <w:sz w:val="18"/>
              </w:rPr>
              <w:t>Core content</w:t>
            </w:r>
          </w:p>
        </w:tc>
        <w:trPr>
          <w:tblHeader/>
        </w:trPr>
      </w:tr>
      <w:tr>
        <w:tc>
          <w:tcPr>
            <w:tcW w:type="dxa" w:w="1440"/>
            <w:vAlign w:val="center"/>
            <w:tcMar>
              <w:top w:w="100" w:type="dxa"/>
              <w:start w:w="120" w:type="dxa"/>
              <w:bottom w:w="100" w:type="dxa"/>
              <w:end w:w="120" w:type="dxa"/>
            </w:tcMar>
          </w:tcPr>
          <w:p>
            <w:pPr>
              <w:spacing w:after="0"/>
            </w:pPr>
            <w:r/>
            <w:r>
              <w:rPr>
                <w:rFonts w:ascii="Arial" w:hAnsi="Arial"/>
                <w:b w:val="0"/>
                <w:color w:val="1D2630"/>
                <w:sz w:val="17"/>
              </w:rPr>
              <w:t>Layer 1</w:t>
            </w:r>
          </w:p>
        </w:tc>
        <w:tc>
          <w:tcPr>
            <w:tcW w:type="dxa" w:w="2592"/>
            <w:vAlign w:val="center"/>
            <w:tcMar>
              <w:top w:w="100" w:type="dxa"/>
              <w:start w:w="120" w:type="dxa"/>
              <w:bottom w:w="100" w:type="dxa"/>
              <w:end w:w="120" w:type="dxa"/>
            </w:tcMar>
          </w:tcPr>
          <w:p>
            <w:pPr>
              <w:spacing w:after="0"/>
            </w:pPr>
            <w:r/>
            <w:r>
              <w:rPr>
                <w:rFonts w:ascii="Arial" w:hAnsi="Arial"/>
                <w:b w:val="0"/>
                <w:color w:val="1D2630"/>
                <w:sz w:val="17"/>
              </w:rPr>
              <w:t>Immediate understanding</w:t>
            </w:r>
          </w:p>
        </w:tc>
        <w:tc>
          <w:tcPr>
            <w:tcW w:type="dxa" w:w="5904"/>
            <w:vAlign w:val="center"/>
            <w:tcMar>
              <w:top w:w="100" w:type="dxa"/>
              <w:start w:w="120" w:type="dxa"/>
              <w:bottom w:w="100" w:type="dxa"/>
              <w:end w:w="120" w:type="dxa"/>
            </w:tcMar>
          </w:tcPr>
          <w:p>
            <w:pPr>
              <w:spacing w:after="0"/>
            </w:pPr>
            <w:r/>
            <w:r>
              <w:rPr>
                <w:rFonts w:ascii="Arial" w:hAnsi="Arial"/>
                <w:b w:val="0"/>
                <w:color w:val="1D2630"/>
                <w:sz w:val="17"/>
              </w:rPr>
              <w:t>Controller, data, purpose, legal basis, key recipient, retention, rights link</w:t>
            </w:r>
          </w:p>
        </w:tc>
      </w:tr>
      <w:tr>
        <w:tc>
          <w:tcPr>
            <w:tcW w:type="dxa" w:w="1440"/>
            <w:vAlign w:val="center"/>
            <w:tcMar>
              <w:top w:w="100" w:type="dxa"/>
              <w:start w:w="120" w:type="dxa"/>
              <w:bottom w:w="100" w:type="dxa"/>
              <w:end w:w="120" w:type="dxa"/>
            </w:tcMar>
            <w:shd w:fill="F7FAFA"/>
          </w:tcPr>
          <w:p>
            <w:pPr>
              <w:spacing w:after="0"/>
            </w:pPr>
            <w:r/>
            <w:r>
              <w:rPr>
                <w:rFonts w:ascii="Arial" w:hAnsi="Arial"/>
                <w:b w:val="0"/>
                <w:color w:val="1D2630"/>
                <w:sz w:val="17"/>
              </w:rPr>
              <w:t>Layer 2</w:t>
            </w:r>
          </w:p>
        </w:tc>
        <w:tc>
          <w:tcPr>
            <w:tcW w:type="dxa" w:w="2592"/>
            <w:vAlign w:val="center"/>
            <w:tcMar>
              <w:top w:w="100" w:type="dxa"/>
              <w:start w:w="120" w:type="dxa"/>
              <w:bottom w:w="100" w:type="dxa"/>
              <w:end w:w="120" w:type="dxa"/>
            </w:tcMar>
            <w:shd w:fill="F7FAFA"/>
          </w:tcPr>
          <w:p>
            <w:pPr>
              <w:spacing w:after="0"/>
            </w:pPr>
            <w:r/>
            <w:r>
              <w:rPr>
                <w:rFonts w:ascii="Arial" w:hAnsi="Arial"/>
                <w:b w:val="0"/>
                <w:color w:val="1D2630"/>
                <w:sz w:val="17"/>
              </w:rPr>
              <w:t>Audience-specific detail</w:t>
            </w:r>
          </w:p>
        </w:tc>
        <w:tc>
          <w:tcPr>
            <w:tcW w:type="dxa" w:w="5904"/>
            <w:vAlign w:val="center"/>
            <w:tcMar>
              <w:top w:w="100" w:type="dxa"/>
              <w:start w:w="120" w:type="dxa"/>
              <w:bottom w:w="100" w:type="dxa"/>
              <w:end w:w="120" w:type="dxa"/>
            </w:tcMar>
            <w:shd w:fill="F7FAFA"/>
          </w:tcPr>
          <w:p>
            <w:pPr>
              <w:spacing w:after="0"/>
            </w:pPr>
            <w:r/>
            <w:r>
              <w:rPr>
                <w:rFonts w:ascii="Arial" w:hAnsi="Arial"/>
                <w:b w:val="0"/>
                <w:color w:val="1D2630"/>
                <w:sz w:val="17"/>
              </w:rPr>
              <w:t>Patients, digital users, research, recruitment, workforce, suppliers, CCTV and calls</w:t>
            </w:r>
          </w:p>
        </w:tc>
      </w:tr>
      <w:tr>
        <w:tc>
          <w:tcPr>
            <w:tcW w:type="dxa" w:w="1440"/>
            <w:vAlign w:val="center"/>
            <w:tcMar>
              <w:top w:w="100" w:type="dxa"/>
              <w:start w:w="120" w:type="dxa"/>
              <w:bottom w:w="100" w:type="dxa"/>
              <w:end w:w="120" w:type="dxa"/>
            </w:tcMar>
          </w:tcPr>
          <w:p>
            <w:pPr>
              <w:spacing w:after="0"/>
            </w:pPr>
            <w:r/>
            <w:r>
              <w:rPr>
                <w:rFonts w:ascii="Arial" w:hAnsi="Arial"/>
                <w:b w:val="0"/>
                <w:color w:val="1D2630"/>
                <w:sz w:val="17"/>
              </w:rPr>
              <w:t>Layer 3</w:t>
            </w:r>
          </w:p>
        </w:tc>
        <w:tc>
          <w:tcPr>
            <w:tcW w:type="dxa" w:w="2592"/>
            <w:vAlign w:val="center"/>
            <w:tcMar>
              <w:top w:w="100" w:type="dxa"/>
              <w:start w:w="120" w:type="dxa"/>
              <w:bottom w:w="100" w:type="dxa"/>
              <w:end w:w="120" w:type="dxa"/>
            </w:tcMar>
          </w:tcPr>
          <w:p>
            <w:pPr>
              <w:spacing w:after="0"/>
            </w:pPr>
            <w:r/>
            <w:r>
              <w:rPr>
                <w:rFonts w:ascii="Arial" w:hAnsi="Arial"/>
                <w:b w:val="0"/>
                <w:color w:val="1D2630"/>
                <w:sz w:val="17"/>
              </w:rPr>
              <w:t>Complete legal reference</w:t>
            </w:r>
          </w:p>
        </w:tc>
        <w:tc>
          <w:tcPr>
            <w:tcW w:type="dxa" w:w="5904"/>
            <w:vAlign w:val="center"/>
            <w:tcMar>
              <w:top w:w="100" w:type="dxa"/>
              <w:start w:w="120" w:type="dxa"/>
              <w:bottom w:w="100" w:type="dxa"/>
              <w:end w:w="120" w:type="dxa"/>
            </w:tcMar>
          </w:tcPr>
          <w:p>
            <w:pPr>
              <w:spacing w:after="0"/>
            </w:pPr>
            <w:r/>
            <w:r>
              <w:rPr>
                <w:rFonts w:ascii="Arial" w:hAnsi="Arial"/>
                <w:b w:val="0"/>
                <w:color w:val="1D2630"/>
                <w:sz w:val="17"/>
              </w:rPr>
              <w:t>Definitions, full rights, transfers, security, complaints, DPO and governance history</w:t>
            </w:r>
          </w:p>
        </w:tc>
      </w:tr>
    </w:tbl>
    <w:p>
      <w:pPr>
        <w:spacing w:after="0"/>
      </w:pPr>
    </w:p>
    <w:p>
      <w:pPr>
        <w:pStyle w:val="Heading2"/>
        <w:keepNext/>
      </w:pPr>
      <w:r>
        <w:t>Standard processing row</w:t>
      </w:r>
    </w:p>
    <w:p>
      <w:pPr>
        <w:pStyle w:val="ListBullet"/>
        <w:spacing w:after="80"/>
      </w:pPr>
      <w:r>
        <w:t>Service and responsible controller.</w:t>
      </w:r>
    </w:p>
    <w:p>
      <w:pPr>
        <w:pStyle w:val="ListBullet"/>
        <w:spacing w:after="80"/>
      </w:pPr>
      <w:r>
        <w:t>Purpose and necessity.</w:t>
      </w:r>
    </w:p>
    <w:p>
      <w:pPr>
        <w:pStyle w:val="ListBullet"/>
        <w:spacing w:after="80"/>
      </w:pPr>
      <w:r>
        <w:t>Data categories and source.</w:t>
      </w:r>
    </w:p>
    <w:p>
      <w:pPr>
        <w:pStyle w:val="ListBullet"/>
        <w:spacing w:after="80"/>
      </w:pPr>
      <w:r>
        <w:t>Article 6 basis and Article 9 condition where applicable.</w:t>
      </w:r>
    </w:p>
    <w:p>
      <w:pPr>
        <w:pStyle w:val="ListBullet"/>
        <w:spacing w:after="80"/>
      </w:pPr>
      <w:r>
        <w:t>Recipients, processors, group sharing, and international transfer mechanism.</w:t>
      </w:r>
    </w:p>
    <w:p>
      <w:pPr>
        <w:pStyle w:val="ListBullet"/>
        <w:spacing w:after="80"/>
      </w:pPr>
      <w:r>
        <w:t>Retention trigger, period, and deletion or anonymisation event.</w:t>
      </w:r>
    </w:p>
    <w:p>
      <w:pPr>
        <w:pStyle w:val="ListBullet"/>
        <w:spacing w:after="80"/>
      </w:pPr>
      <w:r>
        <w:t>Applicable rights and any statutory or contractual requirement.</w:t>
      </w:r>
    </w:p>
    <w:p>
      <w:pPr>
        <w:pStyle w:val="ListBullet"/>
        <w:spacing w:after="80"/>
      </w:pPr>
      <w:r>
        <w:t>Automated decision-making status and meaningful information where required.</w:t>
      </w:r>
    </w:p>
    <w:p>
      <w:pPr>
        <w:pStyle w:val="Heading2"/>
        <w:keepNext/>
      </w:pPr>
      <w:r>
        <w:t>Contextual delivery</w:t>
      </w:r>
    </w:p>
    <w:p>
      <w:pPr>
        <w:spacing w:after="160" w:line="276" w:lineRule="auto"/>
      </w:pPr>
      <w:r>
        <w:t>Short notices should appear next to online forms, before recorded calls, on CCTV signage, in research information sheets, within applications, and at the point where optional marketing consent is requested. Each should link directly to the relevant audience module rather than only to the top of a long policy.</w:t>
      </w:r>
    </w:p>
    <w:p>
      <w:r>
        <w:br w:type="page"/>
      </w:r>
    </w:p>
    <w:p>
      <w:pPr>
        <w:pStyle w:val="Heading1"/>
        <w:keepNext/>
      </w:pPr>
      <w:r>
        <w:t>9 Remediation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440"/>
            <w:vAlign w:val="center"/>
            <w:tcMar>
              <w:top w:w="100" w:type="dxa"/>
              <w:start w:w="120" w:type="dxa"/>
              <w:bottom w:w="100" w:type="dxa"/>
              <w:end w:w="120" w:type="dxa"/>
            </w:tcMar>
            <w:shd w:fill="123047"/>
          </w:tcPr>
          <w:p>
            <w:pPr>
              <w:spacing w:after="0"/>
            </w:pPr>
            <w:r/>
            <w:r>
              <w:rPr>
                <w:rFonts w:ascii="Arial" w:hAnsi="Arial"/>
                <w:b/>
                <w:color w:val="FFFFFF"/>
                <w:sz w:val="18"/>
              </w:rPr>
              <w:t>Period</w:t>
            </w:r>
          </w:p>
        </w:tc>
        <w:tc>
          <w:tcPr>
            <w:tcW w:type="dxa" w:w="5184"/>
            <w:vAlign w:val="center"/>
            <w:tcMar>
              <w:top w:w="100" w:type="dxa"/>
              <w:start w:w="120" w:type="dxa"/>
              <w:bottom w:w="100" w:type="dxa"/>
              <w:end w:w="120" w:type="dxa"/>
            </w:tcMar>
            <w:shd w:fill="123047"/>
          </w:tcPr>
          <w:p>
            <w:pPr>
              <w:spacing w:after="0"/>
            </w:pPr>
            <w:r/>
            <w:r>
              <w:rPr>
                <w:rFonts w:ascii="Arial" w:hAnsi="Arial"/>
                <w:b/>
                <w:color w:val="FFFFFF"/>
                <w:sz w:val="18"/>
              </w:rPr>
              <w:t>Deliverables</w:t>
            </w:r>
          </w:p>
        </w:tc>
        <w:tc>
          <w:tcPr>
            <w:tcW w:type="dxa" w:w="3312"/>
            <w:vAlign w:val="center"/>
            <w:tcMar>
              <w:top w:w="100" w:type="dxa"/>
              <w:start w:w="120" w:type="dxa"/>
              <w:bottom w:w="100" w:type="dxa"/>
              <w:end w:w="120" w:type="dxa"/>
            </w:tcMar>
            <w:shd w:fill="123047"/>
          </w:tcPr>
          <w:p>
            <w:pPr>
              <w:spacing w:after="0"/>
            </w:pPr>
            <w:r/>
            <w:r>
              <w:rPr>
                <w:rFonts w:ascii="Arial" w:hAnsi="Arial"/>
                <w:b/>
                <w:color w:val="FFFFFF"/>
                <w:sz w:val="18"/>
              </w:rPr>
              <w:t>Evidence</w:t>
            </w:r>
          </w:p>
        </w:tc>
        <w:trPr>
          <w:tblHeader/>
        </w:trPr>
      </w:tr>
      <w:tr>
        <w:tc>
          <w:tcPr>
            <w:tcW w:type="dxa" w:w="1440"/>
            <w:vAlign w:val="center"/>
            <w:tcMar>
              <w:top w:w="100" w:type="dxa"/>
              <w:start w:w="120" w:type="dxa"/>
              <w:bottom w:w="100" w:type="dxa"/>
              <w:end w:w="120" w:type="dxa"/>
            </w:tcMar>
          </w:tcPr>
          <w:p>
            <w:pPr>
              <w:spacing w:after="0"/>
            </w:pPr>
            <w:r/>
            <w:r>
              <w:rPr>
                <w:rFonts w:ascii="Arial" w:hAnsi="Arial"/>
                <w:b w:val="0"/>
                <w:color w:val="1D2630"/>
                <w:sz w:val="17"/>
              </w:rPr>
              <w:t>0-30 days</w:t>
            </w:r>
          </w:p>
        </w:tc>
        <w:tc>
          <w:tcPr>
            <w:tcW w:type="dxa" w:w="5184"/>
            <w:vAlign w:val="center"/>
            <w:tcMar>
              <w:top w:w="100" w:type="dxa"/>
              <w:start w:w="120" w:type="dxa"/>
              <w:bottom w:w="100" w:type="dxa"/>
              <w:end w:w="120" w:type="dxa"/>
            </w:tcMar>
          </w:tcPr>
          <w:p>
            <w:pPr>
              <w:spacing w:after="0"/>
            </w:pPr>
            <w:r/>
            <w:r>
              <w:rPr>
                <w:rFonts w:ascii="Arial" w:hAnsi="Arial"/>
                <w:b w:val="0"/>
                <w:color w:val="1D2630"/>
                <w:sz w:val="17"/>
              </w:rPr>
              <w:t>Entity and notice inventory; owners; automated-decision validation; retention-source review</w:t>
            </w:r>
          </w:p>
        </w:tc>
        <w:tc>
          <w:tcPr>
            <w:tcW w:type="dxa" w:w="3312"/>
            <w:vAlign w:val="center"/>
            <w:tcMar>
              <w:top w:w="100" w:type="dxa"/>
              <w:start w:w="120" w:type="dxa"/>
              <w:bottom w:w="100" w:type="dxa"/>
              <w:end w:w="120" w:type="dxa"/>
            </w:tcMar>
          </w:tcPr>
          <w:p>
            <w:pPr>
              <w:spacing w:after="0"/>
            </w:pPr>
            <w:r/>
            <w:r>
              <w:rPr>
                <w:rFonts w:ascii="Arial" w:hAnsi="Arial"/>
                <w:b w:val="0"/>
                <w:color w:val="1D2630"/>
                <w:sz w:val="17"/>
              </w:rPr>
              <w:t>Approved inventory and accountable owners</w:t>
            </w:r>
          </w:p>
        </w:tc>
      </w:tr>
      <w:tr>
        <w:tc>
          <w:tcPr>
            <w:tcW w:type="dxa" w:w="1440"/>
            <w:vAlign w:val="center"/>
            <w:tcMar>
              <w:top w:w="100" w:type="dxa"/>
              <w:start w:w="120" w:type="dxa"/>
              <w:bottom w:w="100" w:type="dxa"/>
              <w:end w:w="120" w:type="dxa"/>
            </w:tcMar>
            <w:shd w:fill="F7FAFA"/>
          </w:tcPr>
          <w:p>
            <w:pPr>
              <w:spacing w:after="0"/>
            </w:pPr>
            <w:r/>
            <w:r>
              <w:rPr>
                <w:rFonts w:ascii="Arial" w:hAnsi="Arial"/>
                <w:b w:val="0"/>
                <w:color w:val="1D2630"/>
                <w:sz w:val="17"/>
              </w:rPr>
              <w:t>31-60 days</w:t>
            </w:r>
          </w:p>
        </w:tc>
        <w:tc>
          <w:tcPr>
            <w:tcW w:type="dxa" w:w="5184"/>
            <w:vAlign w:val="center"/>
            <w:tcMar>
              <w:top w:w="100" w:type="dxa"/>
              <w:start w:w="120" w:type="dxa"/>
              <w:bottom w:w="100" w:type="dxa"/>
              <w:end w:w="120" w:type="dxa"/>
            </w:tcMar>
            <w:shd w:fill="F7FAFA"/>
          </w:tcPr>
          <w:p>
            <w:pPr>
              <w:spacing w:after="0"/>
            </w:pPr>
            <w:r/>
            <w:r>
              <w:rPr>
                <w:rFonts w:ascii="Arial" w:hAnsi="Arial"/>
                <w:b w:val="0"/>
                <w:color w:val="1D2630"/>
                <w:sz w:val="17"/>
              </w:rPr>
              <w:t>Purpose-level matrix; Article 6/9 mapping; audience modules; cross-channel reconciliation</w:t>
            </w:r>
          </w:p>
        </w:tc>
        <w:tc>
          <w:tcPr>
            <w:tcW w:type="dxa" w:w="3312"/>
            <w:vAlign w:val="center"/>
            <w:tcMar>
              <w:top w:w="100" w:type="dxa"/>
              <w:start w:w="120" w:type="dxa"/>
              <w:bottom w:w="100" w:type="dxa"/>
              <w:end w:w="120" w:type="dxa"/>
            </w:tcMar>
            <w:shd w:fill="F7FAFA"/>
          </w:tcPr>
          <w:p>
            <w:pPr>
              <w:spacing w:after="0"/>
            </w:pPr>
            <w:r/>
            <w:r>
              <w:rPr>
                <w:rFonts w:ascii="Arial" w:hAnsi="Arial"/>
                <w:b w:val="0"/>
                <w:color w:val="1D2630"/>
                <w:sz w:val="17"/>
              </w:rPr>
              <w:t>Reviewed processing map and draft layered notice</w:t>
            </w:r>
          </w:p>
        </w:tc>
      </w:tr>
      <w:tr>
        <w:tc>
          <w:tcPr>
            <w:tcW w:type="dxa" w:w="1440"/>
            <w:vAlign w:val="center"/>
            <w:tcMar>
              <w:top w:w="100" w:type="dxa"/>
              <w:start w:w="120" w:type="dxa"/>
              <w:bottom w:w="100" w:type="dxa"/>
              <w:end w:w="120" w:type="dxa"/>
            </w:tcMar>
          </w:tcPr>
          <w:p>
            <w:pPr>
              <w:spacing w:after="0"/>
            </w:pPr>
            <w:r/>
            <w:r>
              <w:rPr>
                <w:rFonts w:ascii="Arial" w:hAnsi="Arial"/>
                <w:b w:val="0"/>
                <w:color w:val="1D2630"/>
                <w:sz w:val="17"/>
              </w:rPr>
              <w:t>61-90 days</w:t>
            </w:r>
          </w:p>
        </w:tc>
        <w:tc>
          <w:tcPr>
            <w:tcW w:type="dxa" w:w="5184"/>
            <w:vAlign w:val="center"/>
            <w:tcMar>
              <w:top w:w="100" w:type="dxa"/>
              <w:start w:w="120" w:type="dxa"/>
              <w:bottom w:w="100" w:type="dxa"/>
              <w:end w:w="120" w:type="dxa"/>
            </w:tcMar>
          </w:tcPr>
          <w:p>
            <w:pPr>
              <w:spacing w:after="0"/>
            </w:pPr>
            <w:r/>
            <w:r>
              <w:rPr>
                <w:rFonts w:ascii="Arial" w:hAnsi="Arial"/>
                <w:b w:val="0"/>
                <w:color w:val="1D2630"/>
                <w:sz w:val="17"/>
              </w:rPr>
              <w:t>Publication; contextual notices; rights hub; accessibility and user testing</w:t>
            </w:r>
          </w:p>
        </w:tc>
        <w:tc>
          <w:tcPr>
            <w:tcW w:type="dxa" w:w="3312"/>
            <w:vAlign w:val="center"/>
            <w:tcMar>
              <w:top w:w="100" w:type="dxa"/>
              <w:start w:w="120" w:type="dxa"/>
              <w:bottom w:w="100" w:type="dxa"/>
              <w:end w:w="120" w:type="dxa"/>
            </w:tcMar>
          </w:tcPr>
          <w:p>
            <w:pPr>
              <w:spacing w:after="0"/>
            </w:pPr>
            <w:r/>
            <w:r>
              <w:rPr>
                <w:rFonts w:ascii="Arial" w:hAnsi="Arial"/>
                <w:b w:val="0"/>
                <w:color w:val="1D2630"/>
                <w:sz w:val="17"/>
              </w:rPr>
              <w:t>Release approval, test results and change log</w:t>
            </w:r>
          </w:p>
        </w:tc>
      </w:tr>
      <w:tr>
        <w:tc>
          <w:tcPr>
            <w:tcW w:type="dxa" w:w="1440"/>
            <w:vAlign w:val="center"/>
            <w:tcMar>
              <w:top w:w="100" w:type="dxa"/>
              <w:start w:w="120" w:type="dxa"/>
              <w:bottom w:w="100" w:type="dxa"/>
              <w:end w:w="120" w:type="dxa"/>
            </w:tcMar>
            <w:shd w:fill="F7FAFA"/>
          </w:tcPr>
          <w:p>
            <w:pPr>
              <w:spacing w:after="0"/>
            </w:pPr>
            <w:r/>
            <w:r>
              <w:rPr>
                <w:rFonts w:ascii="Arial" w:hAnsi="Arial"/>
                <w:b w:val="0"/>
                <w:color w:val="1D2630"/>
                <w:sz w:val="17"/>
              </w:rPr>
              <w:t>Ongoing</w:t>
            </w:r>
          </w:p>
        </w:tc>
        <w:tc>
          <w:tcPr>
            <w:tcW w:type="dxa" w:w="5184"/>
            <w:vAlign w:val="center"/>
            <w:tcMar>
              <w:top w:w="100" w:type="dxa"/>
              <w:start w:w="120" w:type="dxa"/>
              <w:bottom w:w="100" w:type="dxa"/>
              <w:end w:w="120" w:type="dxa"/>
            </w:tcMar>
            <w:shd w:fill="F7FAFA"/>
          </w:tcPr>
          <w:p>
            <w:pPr>
              <w:spacing w:after="0"/>
            </w:pPr>
            <w:r/>
            <w:r>
              <w:rPr>
                <w:rFonts w:ascii="Arial" w:hAnsi="Arial"/>
                <w:b w:val="0"/>
                <w:color w:val="1D2630"/>
                <w:sz w:val="17"/>
              </w:rPr>
              <w:t>Annual and event-driven review</w:t>
            </w:r>
          </w:p>
        </w:tc>
        <w:tc>
          <w:tcPr>
            <w:tcW w:type="dxa" w:w="3312"/>
            <w:vAlign w:val="center"/>
            <w:tcMar>
              <w:top w:w="100" w:type="dxa"/>
              <w:start w:w="120" w:type="dxa"/>
              <w:bottom w:w="100" w:type="dxa"/>
              <w:end w:w="120" w:type="dxa"/>
            </w:tcMar>
            <w:shd w:fill="F7FAFA"/>
          </w:tcPr>
          <w:p>
            <w:pPr>
              <w:spacing w:after="0"/>
            </w:pPr>
            <w:r/>
            <w:r>
              <w:rPr>
                <w:rFonts w:ascii="Arial" w:hAnsi="Arial"/>
                <w:b w:val="0"/>
                <w:color w:val="1D2630"/>
                <w:sz w:val="17"/>
              </w:rPr>
              <w:t>Review record, issue log and version history</w:t>
            </w:r>
          </w:p>
        </w:tc>
      </w:tr>
    </w:tbl>
    <w:p>
      <w:pPr>
        <w:spacing w:after="0"/>
      </w:pPr>
    </w:p>
    <w:p>
      <w:pPr>
        <w:pStyle w:val="Heading2"/>
        <w:keepNext/>
      </w:pPr>
      <w:r>
        <w:t>Recommended ownership</w:t>
      </w:r>
    </w:p>
    <w:p>
      <w:pPr>
        <w:spacing w:after="160" w:line="276" w:lineRule="auto"/>
      </w:pPr>
      <w:r>
        <w:t>The DPO should advise and monitor. Business owners should validate purposes and operations. Legal should confirm statutory grounds and wording. Information security should validate control descriptions. Digital and communications teams should implement accessibility and contextual delivery. Final accountability remains with the relevant controller.</w:t>
      </w:r>
    </w:p>
    <w:p>
      <w:r>
        <w:br w:type="page"/>
      </w:r>
    </w:p>
    <w:p>
      <w:pPr>
        <w:pStyle w:val="Heading1"/>
        <w:keepNext/>
      </w:pPr>
      <w:r>
        <w:t>10 Conclusion</w:t>
      </w:r>
    </w:p>
    <w:p>
      <w:pPr>
        <w:spacing w:after="160" w:line="276" w:lineRule="auto"/>
      </w:pPr>
      <w:r>
        <w:t>The reviewed notice is materially stronger than a minimal compliance statement. It recognises the breadth and sensitivity of healthcare processing and gives readers substantial information about rights, security, retention, transfers, and contact routes.</w:t>
      </w:r>
    </w:p>
    <w:p>
      <w:pPr>
        <w:spacing w:after="160" w:line="276" w:lineRule="auto"/>
      </w:pPr>
      <w:r>
        <w:t>Its next maturity step is architectural. A layered design and purpose-level processing map would make existing disclosures easier to understand and would also improve internal maintenance: each operational change could be traced to a defined public disclosure row, owner, and review event.</w:t>
      </w:r>
    </w:p>
    <w:p>
      <w:pPr>
        <w:spacing w:after="160" w:line="276" w:lineRule="auto"/>
      </w:pPr>
      <w:r>
        <w:t>The recommended outcome is a controlled notice system rather than a single static document: concise summaries, audience modules, contextual notices, a complete legal layer, a rights hub, and documented review governance.</w:t>
      </w:r>
    </w:p>
    <w:p>
      <w:pPr>
        <w:pStyle w:val="Heading2"/>
        <w:keepNext/>
      </w:pPr>
      <w:r>
        <w:t>Final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3456"/>
            <w:vAlign w:val="center"/>
            <w:tcMar>
              <w:top w:w="100" w:type="dxa"/>
              <w:start w:w="120" w:type="dxa"/>
              <w:bottom w:w="100" w:type="dxa"/>
              <w:end w:w="120" w:type="dxa"/>
            </w:tcMar>
            <w:shd w:fill="123047"/>
          </w:tcPr>
          <w:p>
            <w:pPr>
              <w:spacing w:after="0"/>
            </w:pPr>
            <w:r/>
            <w:r>
              <w:rPr>
                <w:rFonts w:ascii="Arial" w:hAnsi="Arial"/>
                <w:b/>
                <w:color w:val="FFFFFF"/>
                <w:sz w:val="18"/>
              </w:rPr>
              <w:t>Dimension</w:t>
            </w:r>
          </w:p>
        </w:tc>
        <w:tc>
          <w:tcPr>
            <w:tcW w:type="dxa" w:w="6480"/>
            <w:vAlign w:val="center"/>
            <w:tcMar>
              <w:top w:w="100" w:type="dxa"/>
              <w:start w:w="120" w:type="dxa"/>
              <w:bottom w:w="100" w:type="dxa"/>
              <w:end w:w="120" w:type="dxa"/>
            </w:tcMar>
            <w:shd w:fill="123047"/>
          </w:tcPr>
          <w:p>
            <w:pPr>
              <w:spacing w:after="0"/>
            </w:pPr>
            <w:r/>
            <w:r>
              <w:rPr>
                <w:rFonts w:ascii="Arial" w:hAnsi="Arial"/>
                <w:b/>
                <w:color w:val="FFFFFF"/>
                <w:sz w:val="18"/>
              </w:rPr>
              <w:t>Result</w:t>
            </w:r>
          </w:p>
        </w:tc>
        <w:trPr>
          <w:tblHeader/>
        </w:trPr>
      </w:tr>
      <w:tr>
        <w:tc>
          <w:tcPr>
            <w:tcW w:type="dxa" w:w="3456"/>
            <w:vAlign w:val="center"/>
            <w:tcMar>
              <w:top w:w="100" w:type="dxa"/>
              <w:start w:w="120" w:type="dxa"/>
              <w:bottom w:w="100" w:type="dxa"/>
              <w:end w:w="120" w:type="dxa"/>
            </w:tcMar>
          </w:tcPr>
          <w:p>
            <w:pPr>
              <w:spacing w:after="0"/>
            </w:pPr>
            <w:r/>
            <w:r>
              <w:rPr>
                <w:rFonts w:ascii="Arial" w:hAnsi="Arial"/>
                <w:b w:val="0"/>
                <w:color w:val="1D2630"/>
                <w:sz w:val="17"/>
              </w:rPr>
              <w:t>Transparency maturity</w:t>
            </w:r>
          </w:p>
        </w:tc>
        <w:tc>
          <w:tcPr>
            <w:tcW w:type="dxa" w:w="6480"/>
            <w:vAlign w:val="center"/>
            <w:tcMar>
              <w:top w:w="100" w:type="dxa"/>
              <w:start w:w="120" w:type="dxa"/>
              <w:bottom w:w="100" w:type="dxa"/>
              <w:end w:w="120" w:type="dxa"/>
            </w:tcMar>
          </w:tcPr>
          <w:p>
            <w:pPr>
              <w:spacing w:after="0"/>
            </w:pPr>
            <w:r/>
            <w:r>
              <w:rPr>
                <w:rFonts w:ascii="Arial" w:hAnsi="Arial"/>
                <w:b w:val="0"/>
                <w:color w:val="1D2630"/>
                <w:sz w:val="17"/>
              </w:rPr>
              <w:t>7.1 / 10</w:t>
            </w:r>
          </w:p>
        </w:tc>
      </w:tr>
      <w:tr>
        <w:tc>
          <w:tcPr>
            <w:tcW w:type="dxa" w:w="3456"/>
            <w:vAlign w:val="center"/>
            <w:tcMar>
              <w:top w:w="100" w:type="dxa"/>
              <w:start w:w="120" w:type="dxa"/>
              <w:bottom w:w="100" w:type="dxa"/>
              <w:end w:w="120" w:type="dxa"/>
            </w:tcMar>
            <w:shd w:fill="F7FAFA"/>
          </w:tcPr>
          <w:p>
            <w:pPr>
              <w:spacing w:after="0"/>
            </w:pPr>
            <w:r/>
            <w:r>
              <w:rPr>
                <w:rFonts w:ascii="Arial" w:hAnsi="Arial"/>
                <w:b w:val="0"/>
                <w:color w:val="1D2630"/>
                <w:sz w:val="17"/>
              </w:rPr>
              <w:t>Substantive coverage</w:t>
            </w:r>
          </w:p>
        </w:tc>
        <w:tc>
          <w:tcPr>
            <w:tcW w:type="dxa" w:w="6480"/>
            <w:vAlign w:val="center"/>
            <w:tcMar>
              <w:top w:w="100" w:type="dxa"/>
              <w:start w:w="120" w:type="dxa"/>
              <w:bottom w:w="100" w:type="dxa"/>
              <w:end w:w="120" w:type="dxa"/>
            </w:tcMar>
            <w:shd w:fill="F7FAFA"/>
          </w:tcPr>
          <w:p>
            <w:pPr>
              <w:spacing w:after="0"/>
            </w:pPr>
            <w:r/>
            <w:r>
              <w:rPr>
                <w:rFonts w:ascii="Arial" w:hAnsi="Arial"/>
                <w:b w:val="0"/>
                <w:color w:val="1D2630"/>
                <w:sz w:val="17"/>
              </w:rPr>
              <w:t>Strong</w:t>
            </w:r>
          </w:p>
        </w:tc>
      </w:tr>
      <w:tr>
        <w:tc>
          <w:tcPr>
            <w:tcW w:type="dxa" w:w="3456"/>
            <w:vAlign w:val="center"/>
            <w:tcMar>
              <w:top w:w="100" w:type="dxa"/>
              <w:start w:w="120" w:type="dxa"/>
              <w:bottom w:w="100" w:type="dxa"/>
              <w:end w:w="120" w:type="dxa"/>
            </w:tcMar>
          </w:tcPr>
          <w:p>
            <w:pPr>
              <w:spacing w:after="0"/>
            </w:pPr>
            <w:r/>
            <w:r>
              <w:rPr>
                <w:rFonts w:ascii="Arial" w:hAnsi="Arial"/>
                <w:b w:val="0"/>
                <w:color w:val="1D2630"/>
                <w:sz w:val="17"/>
              </w:rPr>
              <w:t>Reader navigation</w:t>
            </w:r>
          </w:p>
        </w:tc>
        <w:tc>
          <w:tcPr>
            <w:tcW w:type="dxa" w:w="6480"/>
            <w:vAlign w:val="center"/>
            <w:tcMar>
              <w:top w:w="100" w:type="dxa"/>
              <w:start w:w="120" w:type="dxa"/>
              <w:bottom w:w="100" w:type="dxa"/>
              <w:end w:w="120" w:type="dxa"/>
            </w:tcMar>
          </w:tcPr>
          <w:p>
            <w:pPr>
              <w:spacing w:after="0"/>
            </w:pPr>
            <w:r/>
            <w:r>
              <w:rPr>
                <w:rFonts w:ascii="Arial" w:hAnsi="Arial"/>
                <w:b w:val="0"/>
                <w:color w:val="1D2630"/>
                <w:sz w:val="17"/>
              </w:rPr>
              <w:t>Needs improvement</w:t>
            </w:r>
          </w:p>
        </w:tc>
      </w:tr>
      <w:tr>
        <w:tc>
          <w:tcPr>
            <w:tcW w:type="dxa" w:w="3456"/>
            <w:vAlign w:val="center"/>
            <w:tcMar>
              <w:top w:w="100" w:type="dxa"/>
              <w:start w:w="120" w:type="dxa"/>
              <w:bottom w:w="100" w:type="dxa"/>
              <w:end w:w="120" w:type="dxa"/>
            </w:tcMar>
            <w:shd w:fill="F7FAFA"/>
          </w:tcPr>
          <w:p>
            <w:pPr>
              <w:spacing w:after="0"/>
            </w:pPr>
            <w:r/>
            <w:r>
              <w:rPr>
                <w:rFonts w:ascii="Arial" w:hAnsi="Arial"/>
                <w:b w:val="0"/>
                <w:color w:val="1D2630"/>
                <w:sz w:val="17"/>
              </w:rPr>
              <w:t>Purpose-level traceability</w:t>
            </w:r>
          </w:p>
        </w:tc>
        <w:tc>
          <w:tcPr>
            <w:tcW w:type="dxa" w:w="6480"/>
            <w:vAlign w:val="center"/>
            <w:tcMar>
              <w:top w:w="100" w:type="dxa"/>
              <w:start w:w="120" w:type="dxa"/>
              <w:bottom w:w="100" w:type="dxa"/>
              <w:end w:w="120" w:type="dxa"/>
            </w:tcMar>
            <w:shd w:fill="F7FAFA"/>
          </w:tcPr>
          <w:p>
            <w:pPr>
              <w:spacing w:after="0"/>
            </w:pPr>
            <w:r/>
            <w:r>
              <w:rPr>
                <w:rFonts w:ascii="Arial" w:hAnsi="Arial"/>
                <w:b w:val="0"/>
                <w:color w:val="1D2630"/>
                <w:sz w:val="17"/>
              </w:rPr>
              <w:t>Priority improvement</w:t>
            </w:r>
          </w:p>
        </w:tc>
      </w:tr>
      <w:tr>
        <w:tc>
          <w:tcPr>
            <w:tcW w:type="dxa" w:w="3456"/>
            <w:vAlign w:val="center"/>
            <w:tcMar>
              <w:top w:w="100" w:type="dxa"/>
              <w:start w:w="120" w:type="dxa"/>
              <w:bottom w:w="100" w:type="dxa"/>
              <w:end w:w="120" w:type="dxa"/>
            </w:tcMar>
          </w:tcPr>
          <w:p>
            <w:pPr>
              <w:spacing w:after="0"/>
            </w:pPr>
            <w:r/>
            <w:r>
              <w:rPr>
                <w:rFonts w:ascii="Arial" w:hAnsi="Arial"/>
                <w:b w:val="0"/>
                <w:color w:val="1D2630"/>
                <w:sz w:val="17"/>
              </w:rPr>
              <w:t>Governance freshness</w:t>
            </w:r>
          </w:p>
        </w:tc>
        <w:tc>
          <w:tcPr>
            <w:tcW w:type="dxa" w:w="6480"/>
            <w:vAlign w:val="center"/>
            <w:tcMar>
              <w:top w:w="100" w:type="dxa"/>
              <w:start w:w="120" w:type="dxa"/>
              <w:bottom w:w="100" w:type="dxa"/>
              <w:end w:w="120" w:type="dxa"/>
            </w:tcMar>
          </w:tcPr>
          <w:p>
            <w:pPr>
              <w:spacing w:after="0"/>
            </w:pPr>
            <w:r/>
            <w:r>
              <w:rPr>
                <w:rFonts w:ascii="Arial" w:hAnsi="Arial"/>
                <w:b w:val="0"/>
                <w:color w:val="1D2630"/>
                <w:sz w:val="17"/>
              </w:rPr>
              <w:t>Refresh recommended</w:t>
            </w:r>
          </w:p>
        </w:tc>
      </w:tr>
      <w:tr>
        <w:tc>
          <w:tcPr>
            <w:tcW w:type="dxa" w:w="3456"/>
            <w:vAlign w:val="center"/>
            <w:tcMar>
              <w:top w:w="100" w:type="dxa"/>
              <w:start w:w="120" w:type="dxa"/>
              <w:bottom w:w="100" w:type="dxa"/>
              <w:end w:w="120" w:type="dxa"/>
            </w:tcMar>
            <w:shd w:fill="F7FAFA"/>
          </w:tcPr>
          <w:p>
            <w:pPr>
              <w:spacing w:after="0"/>
            </w:pPr>
            <w:r/>
            <w:r>
              <w:rPr>
                <w:rFonts w:ascii="Arial" w:hAnsi="Arial"/>
                <w:b w:val="0"/>
                <w:color w:val="1D2630"/>
                <w:sz w:val="17"/>
              </w:rPr>
              <w:t>Legal conclusion</w:t>
            </w:r>
          </w:p>
        </w:tc>
        <w:tc>
          <w:tcPr>
            <w:tcW w:type="dxa" w:w="6480"/>
            <w:vAlign w:val="center"/>
            <w:tcMar>
              <w:top w:w="100" w:type="dxa"/>
              <w:start w:w="120" w:type="dxa"/>
              <w:bottom w:w="100" w:type="dxa"/>
              <w:end w:w="120" w:type="dxa"/>
            </w:tcMar>
            <w:shd w:fill="F7FAFA"/>
          </w:tcPr>
          <w:p>
            <w:pPr>
              <w:spacing w:after="0"/>
            </w:pPr>
            <w:r/>
            <w:r>
              <w:rPr>
                <w:rFonts w:ascii="Arial" w:hAnsi="Arial"/>
                <w:b w:val="0"/>
                <w:color w:val="1D2630"/>
                <w:sz w:val="17"/>
              </w:rPr>
              <w:t>Not assessed from public evidence alone</w:t>
            </w:r>
          </w:p>
        </w:tc>
      </w:tr>
    </w:tbl>
    <w:p>
      <w:pPr>
        <w:spacing w:after="0"/>
      </w:pPr>
    </w:p>
    <w:p>
      <w:r>
        <w:br w:type="page"/>
      </w:r>
    </w:p>
    <w:p>
      <w:pPr>
        <w:pStyle w:val="Heading1"/>
        <w:keepNext/>
      </w:pPr>
      <w:r>
        <w:t>References</w:t>
      </w:r>
    </w:p>
    <w:p>
      <w:pPr>
        <w:spacing w:after="180"/>
      </w:pPr>
      <w:r>
        <w:rPr>
          <w:b/>
        </w:rPr>
        <w:t xml:space="preserve">1. BIOIATRIKI Healthcare Group. </w:t>
      </w:r>
      <w:r>
        <w:t>Data Protection Privacy Policy.</w:t>
        <w:br/>
        <w:t>https://bioiatriki.gr/en/data-protection-privacy-policy/</w:t>
      </w:r>
    </w:p>
    <w:p>
      <w:pPr>
        <w:spacing w:after="180"/>
      </w:pPr>
      <w:r>
        <w:rPr>
          <w:b/>
        </w:rPr>
        <w:t xml:space="preserve">2. European Union. </w:t>
      </w:r>
      <w:r>
        <w:t>General Data Protection Regulation EU 2016/679.</w:t>
        <w:br/>
        <w:t>https://eur-lex.europa.eu/eli/reg/2016/679/oj/eng</w:t>
      </w:r>
    </w:p>
    <w:p>
      <w:pPr>
        <w:spacing w:after="180"/>
      </w:pPr>
      <w:r>
        <w:rPr>
          <w:b/>
        </w:rPr>
        <w:t xml:space="preserve">3. European Data Protection Board. </w:t>
      </w:r>
      <w:r>
        <w:t>Guidelines on transparency under Regulation 2016/679.</w:t>
        <w:br/>
        <w:t>https://www.edpb.europa.eu/documents/guideline/article-29-working-party-guidelines-on-transparency-under-regulation-2016679_en</w:t>
      </w:r>
    </w:p>
    <w:p>
      <w:pPr>
        <w:spacing w:after="180"/>
      </w:pPr>
      <w:r>
        <w:rPr>
          <w:b/>
        </w:rPr>
        <w:t xml:space="preserve">4. European Data Protection Board. </w:t>
      </w:r>
      <w:r>
        <w:t>Guidelines 4/2019 on Article 25 Data Protection by Design and by Default.</w:t>
        <w:br/>
        <w:t>https://www.edpb.europa.eu/our-work-tools/general-guidance/guidelines-recommendations-best-practices_en?page=4</w:t>
      </w:r>
    </w:p>
    <w:p>
      <w:pPr>
        <w:spacing w:after="180"/>
      </w:pPr>
      <w:r>
        <w:rPr>
          <w:b/>
        </w:rPr>
        <w:t xml:space="preserve">5. Hellenic Data Protection Authority. </w:t>
      </w:r>
      <w:r>
        <w:t>Data protection policies and notices.</w:t>
        <w:br/>
        <w:t>https://www.dpa.gr/en/by-design/data-protection-policies-and-notices</w:t>
      </w:r>
    </w:p>
    <w:p>
      <w:pPr>
        <w:spacing w:after="180"/>
      </w:pPr>
      <w:r>
        <w:rPr>
          <w:b/>
        </w:rPr>
        <w:t xml:space="preserve">6. Hellenic Data Protection Authority. </w:t>
      </w:r>
      <w:r>
        <w:t>Health data.</w:t>
        <w:br/>
        <w:t>https://www.dpa.gr/el/enimerwtiko/thematikes_enotites/eidikeskatigories/dedomenaugeias</w:t>
      </w:r>
    </w:p>
    <w:p>
      <w:pPr>
        <w:pStyle w:val="Heading2"/>
        <w:keepNext/>
      </w:pPr>
      <w:r>
        <w:t>Assessment status</w:t>
      </w:r>
    </w:p>
    <w:p>
      <w:pPr>
        <w:spacing w:after="160" w:line="276" w:lineRule="auto"/>
      </w:pPr>
      <w:r>
        <w:t>Sources and public status were checked on 15 October 2026. This report paraphrases the reviewed policy and does not reproduce it in full.</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B75"/>
        <w:sz w:val="16"/>
      </w:rPr>
      <w:t>Spyridon Grouztidis  |  Healthcare Privacy Notice GDPR Analysis  |  15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1D26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Privacy Notice GDPR Analysis</dc:title>
  <dc:subject>GDPR transparency maturity assessment</dc:subject>
  <dc:creator>Spyridon Grouztidis</dc:creator>
  <cp:keywords>GDPR, privacy notice, healthcare, transparency, governance</cp:keywords>
  <dc:description>generated by python-docx</dc:description>
  <cp:lastModifiedBy/>
  <cp:revision>1</cp:revision>
  <dcterms:created xsi:type="dcterms:W3CDTF">2013-12-23T23:15:00Z</dcterms:created>
  <dcterms:modified xsi:type="dcterms:W3CDTF">2013-12-23T23:15:00Z</dcterms:modified>
  <cp:category/>
</cp:coreProperties>
</file>