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Privacy Threat Modeling with LINDDUN</w:t>
      </w:r>
    </w:p>
    <w:p>
      <w:pPr>
        <w:spacing w:after="80"/>
      </w:pPr>
      <w:r>
        <w:rPr>
          <w:b/>
          <w:color w:val="172554"/>
          <w:sz w:val="32"/>
        </w:rPr>
        <w:t>University Student Information Subsystem</w:t>
      </w:r>
    </w:p>
    <w:p>
      <w:pPr>
        <w:spacing w:after="240"/>
      </w:pPr>
      <w:r>
        <w:rPr>
          <w:color w:val="4B5563"/>
          <w:sz w:val="20"/>
        </w:rPr>
        <w:t>English public portfolio edition</w:t>
        <w:br/>
        <w:t>Prepared by Spyridon Grouztidis</w:t>
        <w:br/>
        <w:t>15 October 2026</w:t>
      </w:r>
    </w:p>
    <w:p>
      <w:pPr>
        <w:jc w:val="center"/>
      </w:pPr>
      <w:r>
        <w:drawing>
          <wp:inline xmlns:a="http://schemas.openxmlformats.org/drawingml/2006/main" xmlns:pic="http://schemas.openxmlformats.org/drawingml/2006/picture">
            <wp:extent cx="6309360" cy="3550902"/>
            <wp:docPr id="1" name="Picture 1"/>
            <wp:cNvGraphicFramePr>
              <a:graphicFrameLocks noChangeAspect="1"/>
            </wp:cNvGraphicFramePr>
            <a:graphic>
              <a:graphicData uri="http://schemas.openxmlformats.org/drawingml/2006/picture">
                <pic:pic>
                  <pic:nvPicPr>
                    <pic:cNvPr id="0" name="linddun-threat-model-cover.png"/>
                    <pic:cNvPicPr/>
                  </pic:nvPicPr>
                  <pic:blipFill>
                    <a:blip r:embed="rId11"/>
                    <a:stretch>
                      <a:fillRect/>
                    </a:stretch>
                  </pic:blipFill>
                  <pic:spPr>
                    <a:xfrm>
                      <a:off x="0" y="0"/>
                      <a:ext cx="6309360" cy="3550902"/>
                    </a:xfrm>
                    <a:prstGeom prst="rect"/>
                  </pic:spPr>
                </pic:pic>
              </a:graphicData>
            </a:graphic>
          </wp:inline>
        </w:drawing>
      </w:r>
    </w:p>
    <w:p>
      <w:pPr>
        <w:spacing w:before="200"/>
      </w:pPr>
      <w:r>
        <w:rPr>
          <w:b/>
        </w:rPr>
        <w:t xml:space="preserve">Purpose. </w:t>
      </w:r>
      <w:r>
        <w:t>This report shows how a data-flow model becomes a traceable privacy threat register, prioritized control plan, and verification program. It is based on an academic scenario and does not describe a production system.</w:t>
      </w:r>
    </w:p>
    <w:p>
      <w:r>
        <w:br w:type="page"/>
      </w:r>
    </w:p>
    <w:p>
      <w:pPr>
        <w:pStyle w:val="Heading1"/>
        <w:keepNext/>
      </w:pPr>
      <w:r>
        <w:t>Executive Summary</w:t>
      </w:r>
    </w:p>
    <w:p>
      <w:r>
        <w:t>The student subsystem concentrates identity, contact, enrollment, grade, and activity data across a central database, cloud backup, statistical interface, SMS provider, and personal devices. This creates several privacy risks that security controls alone do not resolve. The most serious scenario is re-identification through combined student records, scored 20 out of 25. Cloud backup, stable cross-context identifiers, and incomplete processor assurance also create high-priority exposure.</w:t>
      </w:r>
    </w:p>
    <w:p>
      <w:r>
        <w:t>The recommended design limits the attributes and identifiers available to each purpose, restricts privileged access at field level, protects backup keys under university control, suppresses statistics for small cohorts, and replaces unmanaged Bluetooth transfer with an authenticated encrypted export. Layered notices and just-in-time explanations make cloud, SMS, analytics, and delegated processing visible to students.</w:t>
      </w:r>
    </w:p>
    <w:p>
      <w:r>
        <w:t>The original assignment covered Identifiability and Unawareness. This public edition keeps those eight scenarios and adds a separate portfolio extension across the remaining LINDDUN categories. Added scenarios are never presented as original team findings.</w:t>
      </w:r>
    </w:p>
    <w:p>
      <w:pPr>
        <w:pStyle w:val="Heading2"/>
        <w:keepNext/>
      </w:pPr>
      <w:r>
        <w:t>Key Decisions</w:t>
      </w:r>
    </w:p>
    <w:p>
      <w:pPr>
        <w:pStyle w:val="ListBullet"/>
      </w:pPr>
      <w:r>
        <w:t>Treat the central student database as the first redesign priority because it combines the broadest data set with repeated operational access.</w:t>
      </w:r>
    </w:p>
    <w:p>
      <w:pPr>
        <w:pStyle w:val="ListBullet"/>
      </w:pPr>
      <w:r>
        <w:t>Require aggregation thresholds and disclosure review before releasing statistics to the central evaluation service.</w:t>
      </w:r>
    </w:p>
    <w:p>
      <w:pPr>
        <w:pStyle w:val="ListBullet"/>
      </w:pPr>
      <w:r>
        <w:t>Move backup encryption keys and privileged backup administration under separate university control.</w:t>
      </w:r>
    </w:p>
    <w:p>
      <w:pPr>
        <w:pStyle w:val="ListBullet"/>
      </w:pPr>
      <w:r>
        <w:t>Make processor, retention, and deletion evidence part of the system acceptance criteria.</w:t>
      </w:r>
    </w:p>
    <w:p>
      <w:pPr>
        <w:pStyle w:val="ListBullet"/>
      </w:pPr>
      <w:r>
        <w:t>Retest residual risk after implementation rather than assuming a control is effective from its design description.</w:t>
      </w:r>
    </w:p>
    <w:p>
      <w:pPr>
        <w:pStyle w:val="Heading2"/>
        <w:keepNext/>
      </w:pPr>
      <w:r>
        <w:t>Priority Risk Snapshot</w:t>
      </w:r>
    </w:p>
    <w:tbl>
      <w:tblPr>
        <w:tblStyle w:val="TableGrid"/>
        <w:tblW w:type="auto" w:w="0"/>
        <w:jc w:val="center"/>
        <w:tblLayout w:type="fixed"/>
        <w:tblLook w:firstColumn="1" w:firstRow="1" w:lastColumn="0" w:lastRow="0" w:noHBand="0" w:noVBand="1" w:val="04A0"/>
      </w:tblPr>
      <w:tblGrid>
        <w:gridCol w:w="1999"/>
        <w:gridCol w:w="1999"/>
        <w:gridCol w:w="1999"/>
        <w:gridCol w:w="1999"/>
        <w:gridCol w:w="1999"/>
      </w:tblGrid>
      <w:tr>
        <w:trPr>
          <w:tblHeader w:val="true"/>
        </w:trPr>
        <w:tc>
          <w:tcPr>
            <w:tcW w:type="dxa" w:w="691"/>
            <w:shd w:fill="172554"/>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jc w:val="center"/>
            </w:pPr>
            <w:r>
              <w:rPr>
                <w:rFonts w:ascii="Aptos" w:hAnsi="Aptos"/>
                <w:b/>
                <w:color w:val="FFFFFF"/>
                <w:sz w:val="16"/>
              </w:rPr>
              <w:t>ID</w:t>
            </w:r>
          </w:p>
        </w:tc>
        <w:tc>
          <w:tcPr>
            <w:tcW w:type="dxa" w:w="1440"/>
            <w:shd w:fill="172554"/>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jc w:val="center"/>
            </w:pPr>
            <w:r>
              <w:rPr>
                <w:rFonts w:ascii="Aptos" w:hAnsi="Aptos"/>
                <w:b/>
                <w:color w:val="FFFFFF"/>
                <w:sz w:val="16"/>
              </w:rPr>
              <w:t>Category</w:t>
            </w:r>
          </w:p>
        </w:tc>
        <w:tc>
          <w:tcPr>
            <w:tcW w:type="dxa" w:w="5760"/>
            <w:shd w:fill="172554"/>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jc w:val="center"/>
            </w:pPr>
            <w:r>
              <w:rPr>
                <w:rFonts w:ascii="Aptos" w:hAnsi="Aptos"/>
                <w:b/>
                <w:color w:val="FFFFFF"/>
                <w:sz w:val="16"/>
              </w:rPr>
              <w:t>Scenario</w:t>
            </w:r>
          </w:p>
        </w:tc>
        <w:tc>
          <w:tcPr>
            <w:tcW w:type="dxa" w:w="792"/>
            <w:shd w:fill="172554"/>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jc w:val="center"/>
            </w:pPr>
            <w:r>
              <w:rPr>
                <w:rFonts w:ascii="Aptos" w:hAnsi="Aptos"/>
                <w:b/>
                <w:color w:val="FFFFFF"/>
                <w:sz w:val="16"/>
              </w:rPr>
              <w:t>Score</w:t>
            </w:r>
          </w:p>
        </w:tc>
        <w:tc>
          <w:tcPr>
            <w:tcW w:type="dxa" w:w="1008"/>
            <w:shd w:fill="172554"/>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jc w:val="center"/>
            </w:pPr>
            <w:r>
              <w:rPr>
                <w:rFonts w:ascii="Aptos" w:hAnsi="Aptos"/>
                <w:b/>
                <w:color w:val="FFFFFF"/>
                <w:sz w:val="16"/>
              </w:rPr>
              <w:t>Priority</w:t>
            </w:r>
          </w:p>
        </w:tc>
      </w:tr>
      <w:tr>
        <w:trPr>
          <w:cantSplit/>
        </w:trPr>
        <w:tc>
          <w:tcPr>
            <w:tcW w:type="dxa" w:w="691"/>
            <w:shd w:fill="FFFF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6"/>
              </w:rPr>
              <w:t>I-01</w:t>
            </w:r>
          </w:p>
        </w:tc>
        <w:tc>
          <w:tcPr>
            <w:tcW w:type="dxa" w:w="1440"/>
            <w:shd w:fill="FFFF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6"/>
              </w:rPr>
              <w:t>Identifiability</w:t>
            </w:r>
          </w:p>
        </w:tc>
        <w:tc>
          <w:tcPr>
            <w:tcW w:type="dxa" w:w="5760"/>
            <w:shd w:fill="FFFF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6"/>
              </w:rPr>
              <w:t>Combined identity contact enrollment and grade data re-identify a student from the central database</w:t>
            </w:r>
          </w:p>
        </w:tc>
        <w:tc>
          <w:tcPr>
            <w:tcW w:type="dxa" w:w="792"/>
            <w:shd w:fill="FFFF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6"/>
              </w:rPr>
              <w:t>20</w:t>
            </w:r>
          </w:p>
        </w:tc>
        <w:tc>
          <w:tcPr>
            <w:tcW w:type="dxa" w:w="1008"/>
            <w:shd w:fill="FFFF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6"/>
              </w:rPr>
              <w:t>Critical</w:t>
            </w:r>
          </w:p>
        </w:tc>
      </w:tr>
      <w:tr>
        <w:trPr>
          <w:cantSplit/>
        </w:trPr>
        <w:tc>
          <w:tcPr>
            <w:tcW w:type="dxa" w:w="691"/>
            <w:shd w:fill="EFF6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6"/>
              </w:rPr>
              <w:t>L-01</w:t>
            </w:r>
          </w:p>
        </w:tc>
        <w:tc>
          <w:tcPr>
            <w:tcW w:type="dxa" w:w="1440"/>
            <w:shd w:fill="EFF6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6"/>
              </w:rPr>
              <w:t>Linkability</w:t>
            </w:r>
          </w:p>
        </w:tc>
        <w:tc>
          <w:tcPr>
            <w:tcW w:type="dxa" w:w="5760"/>
            <w:shd w:fill="EFF6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6"/>
              </w:rPr>
              <w:t>A stable student identifier links portal activity academic records and audit events across purposes</w:t>
            </w:r>
          </w:p>
        </w:tc>
        <w:tc>
          <w:tcPr>
            <w:tcW w:type="dxa" w:w="792"/>
            <w:shd w:fill="EFF6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6"/>
              </w:rPr>
              <w:t>16</w:t>
            </w:r>
          </w:p>
        </w:tc>
        <w:tc>
          <w:tcPr>
            <w:tcW w:type="dxa" w:w="1008"/>
            <w:shd w:fill="EFF6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6"/>
              </w:rPr>
              <w:t>High</w:t>
            </w:r>
          </w:p>
        </w:tc>
      </w:tr>
      <w:tr>
        <w:trPr>
          <w:cantSplit/>
        </w:trPr>
        <w:tc>
          <w:tcPr>
            <w:tcW w:type="dxa" w:w="691"/>
            <w:shd w:fill="FFFF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6"/>
              </w:rPr>
              <w:t>U-01</w:t>
            </w:r>
          </w:p>
        </w:tc>
        <w:tc>
          <w:tcPr>
            <w:tcW w:type="dxa" w:w="1440"/>
            <w:shd w:fill="FFFF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6"/>
              </w:rPr>
              <w:t>Unawareness</w:t>
            </w:r>
          </w:p>
        </w:tc>
        <w:tc>
          <w:tcPr>
            <w:tcW w:type="dxa" w:w="5760"/>
            <w:shd w:fill="FFFF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6"/>
              </w:rPr>
              <w:t>Students do not receive clear notice that their records are copied to a cloud service</w:t>
            </w:r>
          </w:p>
        </w:tc>
        <w:tc>
          <w:tcPr>
            <w:tcW w:type="dxa" w:w="792"/>
            <w:shd w:fill="FFFF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6"/>
              </w:rPr>
              <w:t>16</w:t>
            </w:r>
          </w:p>
        </w:tc>
        <w:tc>
          <w:tcPr>
            <w:tcW w:type="dxa" w:w="1008"/>
            <w:shd w:fill="FFFF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6"/>
              </w:rPr>
              <w:t>High</w:t>
            </w:r>
          </w:p>
        </w:tc>
      </w:tr>
      <w:tr>
        <w:trPr>
          <w:cantSplit/>
        </w:trPr>
        <w:tc>
          <w:tcPr>
            <w:tcW w:type="dxa" w:w="691"/>
            <w:shd w:fill="EFF6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6"/>
              </w:rPr>
              <w:t>I-04</w:t>
            </w:r>
          </w:p>
        </w:tc>
        <w:tc>
          <w:tcPr>
            <w:tcW w:type="dxa" w:w="1440"/>
            <w:shd w:fill="EFF6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6"/>
              </w:rPr>
              <w:t>Identifiability</w:t>
            </w:r>
          </w:p>
        </w:tc>
        <w:tc>
          <w:tcPr>
            <w:tcW w:type="dxa" w:w="5760"/>
            <w:shd w:fill="EFF6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6"/>
              </w:rPr>
              <w:t>A complete cloud backup exposes recognizable student records if provider access or configuration fails</w:t>
            </w:r>
          </w:p>
        </w:tc>
        <w:tc>
          <w:tcPr>
            <w:tcW w:type="dxa" w:w="792"/>
            <w:shd w:fill="EFF6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6"/>
              </w:rPr>
              <w:t>15</w:t>
            </w:r>
          </w:p>
        </w:tc>
        <w:tc>
          <w:tcPr>
            <w:tcW w:type="dxa" w:w="1008"/>
            <w:shd w:fill="EFF6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6"/>
              </w:rPr>
              <w:t>High</w:t>
            </w:r>
          </w:p>
        </w:tc>
      </w:tr>
      <w:tr>
        <w:trPr>
          <w:cantSplit/>
        </w:trPr>
        <w:tc>
          <w:tcPr>
            <w:tcW w:type="dxa" w:w="691"/>
            <w:shd w:fill="FFFF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6"/>
              </w:rPr>
              <w:t>DD-02</w:t>
            </w:r>
          </w:p>
        </w:tc>
        <w:tc>
          <w:tcPr>
            <w:tcW w:type="dxa" w:w="1440"/>
            <w:shd w:fill="FFFF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6"/>
              </w:rPr>
              <w:t>Data Disclosure</w:t>
            </w:r>
          </w:p>
        </w:tc>
        <w:tc>
          <w:tcPr>
            <w:tcW w:type="dxa" w:w="5760"/>
            <w:shd w:fill="FFFF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6"/>
              </w:rPr>
              <w:t>A cloud backup incident exposes complete student records</w:t>
            </w:r>
          </w:p>
        </w:tc>
        <w:tc>
          <w:tcPr>
            <w:tcW w:type="dxa" w:w="792"/>
            <w:shd w:fill="FFFF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6"/>
              </w:rPr>
              <w:t>15</w:t>
            </w:r>
          </w:p>
        </w:tc>
        <w:tc>
          <w:tcPr>
            <w:tcW w:type="dxa" w:w="1008"/>
            <w:shd w:fill="FFFF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6"/>
              </w:rPr>
              <w:t>High</w:t>
            </w:r>
          </w:p>
        </w:tc>
      </w:tr>
      <w:tr>
        <w:trPr>
          <w:cantSplit/>
        </w:trPr>
        <w:tc>
          <w:tcPr>
            <w:tcW w:type="dxa" w:w="691"/>
            <w:shd w:fill="EFF6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6"/>
              </w:rPr>
              <w:t>NC-02</w:t>
            </w:r>
          </w:p>
        </w:tc>
        <w:tc>
          <w:tcPr>
            <w:tcW w:type="dxa" w:w="1440"/>
            <w:shd w:fill="EFF6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6"/>
              </w:rPr>
              <w:t>Non-compliance</w:t>
            </w:r>
          </w:p>
        </w:tc>
        <w:tc>
          <w:tcPr>
            <w:tcW w:type="dxa" w:w="5760"/>
            <w:shd w:fill="EFF6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6"/>
              </w:rPr>
              <w:t>Cloud and SMS processing lacks complete evidence for contracts transfers subprocessors and deletion</w:t>
            </w:r>
          </w:p>
        </w:tc>
        <w:tc>
          <w:tcPr>
            <w:tcW w:type="dxa" w:w="792"/>
            <w:shd w:fill="EFF6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6"/>
              </w:rPr>
              <w:t>15</w:t>
            </w:r>
          </w:p>
        </w:tc>
        <w:tc>
          <w:tcPr>
            <w:tcW w:type="dxa" w:w="1008"/>
            <w:shd w:fill="EFF6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6"/>
              </w:rPr>
              <w:t>High</w:t>
            </w:r>
          </w:p>
        </w:tc>
      </w:tr>
      <w:tr>
        <w:trPr>
          <w:cantSplit/>
        </w:trPr>
        <w:tc>
          <w:tcPr>
            <w:tcW w:type="dxa" w:w="691"/>
            <w:shd w:fill="FFFF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6"/>
              </w:rPr>
              <w:t>L-02</w:t>
            </w:r>
          </w:p>
        </w:tc>
        <w:tc>
          <w:tcPr>
            <w:tcW w:type="dxa" w:w="1440"/>
            <w:shd w:fill="FFFF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6"/>
              </w:rPr>
              <w:t>Linkability</w:t>
            </w:r>
          </w:p>
        </w:tc>
        <w:tc>
          <w:tcPr>
            <w:tcW w:type="dxa" w:w="5760"/>
            <w:shd w:fill="FFFF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6"/>
              </w:rPr>
              <w:t>Production records and cloud backups remain linkable through direct identifiers and stable row keys</w:t>
            </w:r>
          </w:p>
        </w:tc>
        <w:tc>
          <w:tcPr>
            <w:tcW w:type="dxa" w:w="792"/>
            <w:shd w:fill="FFFF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6"/>
              </w:rPr>
              <w:t>12</w:t>
            </w:r>
          </w:p>
        </w:tc>
        <w:tc>
          <w:tcPr>
            <w:tcW w:type="dxa" w:w="1008"/>
            <w:shd w:fill="FFFF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6"/>
              </w:rPr>
              <w:t>High</w:t>
            </w:r>
          </w:p>
        </w:tc>
      </w:tr>
    </w:tbl>
    <w:p>
      <w:pPr>
        <w:spacing w:after="40"/>
      </w:pPr>
    </w:p>
    <w:p>
      <w:r>
        <w:br w:type="page"/>
      </w:r>
    </w:p>
    <w:p>
      <w:pPr>
        <w:pStyle w:val="Heading1"/>
        <w:keepNext/>
      </w:pPr>
      <w:r>
        <w:t>1 System Context and Scope</w:t>
      </w:r>
    </w:p>
    <w:p>
      <w:r>
        <w:t>The modeled service supports student records and academic administration. Students use a web interface to view and update information. Instructors and registry staff access approved records, administrators manage privileges, a central evaluation service requests statistics, a cloud provider stores backups, and an SMS provider delivers verification messages.</w:t>
      </w:r>
    </w:p>
    <w:p>
      <w:pPr>
        <w:pStyle w:val="Heading2"/>
        <w:keepNext/>
      </w:pPr>
      <w:r>
        <w:t>1.1 Data Subjects and Actors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792"/>
            <w:shd w:fill="172554"/>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jc w:val="center"/>
            </w:pPr>
            <w:r>
              <w:rPr>
                <w:rFonts w:ascii="Aptos" w:hAnsi="Aptos"/>
                <w:b/>
                <w:color w:val="FFFFFF"/>
                <w:sz w:val="17"/>
              </w:rPr>
              <w:t>ID</w:t>
            </w:r>
          </w:p>
        </w:tc>
        <w:tc>
          <w:tcPr>
            <w:tcW w:type="dxa" w:w="2448"/>
            <w:shd w:fill="172554"/>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jc w:val="center"/>
            </w:pPr>
            <w:r>
              <w:rPr>
                <w:rFonts w:ascii="Aptos" w:hAnsi="Aptos"/>
                <w:b/>
                <w:color w:val="FFFFFF"/>
                <w:sz w:val="17"/>
              </w:rPr>
              <w:t>Actor</w:t>
            </w:r>
          </w:p>
        </w:tc>
        <w:tc>
          <w:tcPr>
            <w:tcW w:type="dxa" w:w="6624"/>
            <w:shd w:fill="172554"/>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jc w:val="center"/>
            </w:pPr>
            <w:r>
              <w:rPr>
                <w:rFonts w:ascii="Aptos" w:hAnsi="Aptos"/>
                <w:b/>
                <w:color w:val="FFFFFF"/>
                <w:sz w:val="17"/>
              </w:rPr>
              <w:t>Role</w:t>
            </w:r>
          </w:p>
        </w:tc>
      </w:tr>
      <w:tr>
        <w:trPr>
          <w:cantSplit/>
        </w:trPr>
        <w:tc>
          <w:tcPr>
            <w:tcW w:type="dxa" w:w="792"/>
            <w:shd w:fill="FFFF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7"/>
              </w:rPr>
              <w:t>E1</w:t>
            </w:r>
          </w:p>
        </w:tc>
        <w:tc>
          <w:tcPr>
            <w:tcW w:type="dxa" w:w="2448"/>
            <w:shd w:fill="FFFF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7"/>
              </w:rPr>
              <w:t>Students</w:t>
            </w:r>
          </w:p>
        </w:tc>
        <w:tc>
          <w:tcPr>
            <w:tcW w:type="dxa" w:w="6624"/>
            <w:shd w:fill="FFFF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7"/>
              </w:rPr>
              <w:t>Primary data subjects and account holders</w:t>
            </w:r>
          </w:p>
        </w:tc>
      </w:tr>
      <w:tr>
        <w:trPr>
          <w:cantSplit/>
        </w:trPr>
        <w:tc>
          <w:tcPr>
            <w:tcW w:type="dxa" w:w="792"/>
            <w:shd w:fill="EFF6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7"/>
              </w:rPr>
              <w:t>E2</w:t>
            </w:r>
          </w:p>
        </w:tc>
        <w:tc>
          <w:tcPr>
            <w:tcW w:type="dxa" w:w="2448"/>
            <w:shd w:fill="EFF6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7"/>
              </w:rPr>
              <w:t>Instructors</w:t>
            </w:r>
          </w:p>
        </w:tc>
        <w:tc>
          <w:tcPr>
            <w:tcW w:type="dxa" w:w="6624"/>
            <w:shd w:fill="EFF6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7"/>
              </w:rPr>
              <w:t>Authorized users with limited academic purpose</w:t>
            </w:r>
          </w:p>
        </w:tc>
      </w:tr>
      <w:tr>
        <w:trPr>
          <w:cantSplit/>
        </w:trPr>
        <w:tc>
          <w:tcPr>
            <w:tcW w:type="dxa" w:w="792"/>
            <w:shd w:fill="FFFF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7"/>
              </w:rPr>
              <w:t>E3</w:t>
            </w:r>
          </w:p>
        </w:tc>
        <w:tc>
          <w:tcPr>
            <w:tcW w:type="dxa" w:w="2448"/>
            <w:shd w:fill="FFFF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7"/>
              </w:rPr>
              <w:t>Registry operator</w:t>
            </w:r>
          </w:p>
        </w:tc>
        <w:tc>
          <w:tcPr>
            <w:tcW w:type="dxa" w:w="6624"/>
            <w:shd w:fill="FFFF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7"/>
              </w:rPr>
              <w:t>Processes exceptional or delegated requests</w:t>
            </w:r>
          </w:p>
        </w:tc>
      </w:tr>
      <w:tr>
        <w:trPr>
          <w:cantSplit/>
        </w:trPr>
        <w:tc>
          <w:tcPr>
            <w:tcW w:type="dxa" w:w="792"/>
            <w:shd w:fill="EFF6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7"/>
              </w:rPr>
              <w:t>E4</w:t>
            </w:r>
          </w:p>
        </w:tc>
        <w:tc>
          <w:tcPr>
            <w:tcW w:type="dxa" w:w="2448"/>
            <w:shd w:fill="EFF6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7"/>
              </w:rPr>
              <w:t>Subsystem administrator</w:t>
            </w:r>
          </w:p>
        </w:tc>
        <w:tc>
          <w:tcPr>
            <w:tcW w:type="dxa" w:w="6624"/>
            <w:shd w:fill="EFF6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7"/>
              </w:rPr>
              <w:t>Manages accounts and privileges</w:t>
            </w:r>
          </w:p>
        </w:tc>
      </w:tr>
      <w:tr>
        <w:trPr>
          <w:cantSplit/>
        </w:trPr>
        <w:tc>
          <w:tcPr>
            <w:tcW w:type="dxa" w:w="792"/>
            <w:shd w:fill="FFFF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7"/>
              </w:rPr>
              <w:t>E5</w:t>
            </w:r>
          </w:p>
        </w:tc>
        <w:tc>
          <w:tcPr>
            <w:tcW w:type="dxa" w:w="2448"/>
            <w:shd w:fill="FFFF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7"/>
              </w:rPr>
              <w:t>Evaluation administrator</w:t>
            </w:r>
          </w:p>
        </w:tc>
        <w:tc>
          <w:tcPr>
            <w:tcW w:type="dxa" w:w="6624"/>
            <w:shd w:fill="FFFF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7"/>
              </w:rPr>
              <w:t>Receives approved statistics or confirmations</w:t>
            </w:r>
          </w:p>
        </w:tc>
      </w:tr>
      <w:tr>
        <w:trPr>
          <w:cantSplit/>
        </w:trPr>
        <w:tc>
          <w:tcPr>
            <w:tcW w:type="dxa" w:w="792"/>
            <w:shd w:fill="EFF6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7"/>
              </w:rPr>
              <w:t>E6</w:t>
            </w:r>
          </w:p>
        </w:tc>
        <w:tc>
          <w:tcPr>
            <w:tcW w:type="dxa" w:w="2448"/>
            <w:shd w:fill="EFF6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7"/>
              </w:rPr>
              <w:t>SMS provider</w:t>
            </w:r>
          </w:p>
        </w:tc>
        <w:tc>
          <w:tcPr>
            <w:tcW w:type="dxa" w:w="6624"/>
            <w:shd w:fill="EFF6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7"/>
              </w:rPr>
              <w:t>External service provider receiving limited metadata</w:t>
            </w:r>
          </w:p>
        </w:tc>
      </w:tr>
      <w:tr>
        <w:trPr>
          <w:cantSplit/>
        </w:trPr>
        <w:tc>
          <w:tcPr>
            <w:tcW w:type="dxa" w:w="792"/>
            <w:shd w:fill="FFFF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7"/>
              </w:rPr>
              <w:t>E7</w:t>
            </w:r>
          </w:p>
        </w:tc>
        <w:tc>
          <w:tcPr>
            <w:tcW w:type="dxa" w:w="2448"/>
            <w:shd w:fill="FFFF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7"/>
              </w:rPr>
              <w:t>Cloud provider</w:t>
            </w:r>
          </w:p>
        </w:tc>
        <w:tc>
          <w:tcPr>
            <w:tcW w:type="dxa" w:w="6624"/>
            <w:shd w:fill="FFFF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7"/>
              </w:rPr>
              <w:t>External service provider storing backups</w:t>
            </w:r>
          </w:p>
        </w:tc>
      </w:tr>
    </w:tbl>
    <w:p>
      <w:pPr>
        <w:spacing w:after="40"/>
      </w:pPr>
    </w:p>
    <w:p>
      <w:pPr>
        <w:pStyle w:val="Heading2"/>
        <w:keepNext/>
      </w:pPr>
      <w:r>
        <w:t>1.2 Personal Data and Privacy Objectives</w:t>
      </w:r>
    </w:p>
    <w:p>
      <w:r>
        <w:t>The system processes identity and contact details, academic identity documents, enrollment and study status, grades and transcripts, verification metadata, usage records, and audit events. Statistical outputs may also reveal individuals when a cohort is small.</w:t>
      </w:r>
    </w:p>
    <w:p>
      <w:pPr>
        <w:pStyle w:val="ListBullet"/>
      </w:pPr>
      <w:r>
        <w:t>Prevent unnecessary correlation of student activity across contexts.</w:t>
      </w:r>
    </w:p>
    <w:p>
      <w:pPr>
        <w:pStyle w:val="ListBullet"/>
      </w:pPr>
      <w:r>
        <w:t>Prevent direct or indirect identification beyond an authorized purpose.</w:t>
      </w:r>
    </w:p>
    <w:p>
      <w:pPr>
        <w:pStyle w:val="ListBullet"/>
      </w:pPr>
      <w:r>
        <w:t>Limit disclosure of academic and contact data.</w:t>
      </w:r>
    </w:p>
    <w:p>
      <w:pPr>
        <w:pStyle w:val="ListBullet"/>
      </w:pPr>
      <w:r>
        <w:t>Explain processing where it affects the student and support effective rights.</w:t>
      </w:r>
    </w:p>
    <w:p>
      <w:pPr>
        <w:pStyle w:val="ListBullet"/>
      </w:pPr>
      <w:r>
        <w:t>Demonstrate purpose, retention, processor, access, and deletion controls.</w:t>
      </w:r>
    </w:p>
    <w:p>
      <w:pPr>
        <w:pStyle w:val="Heading2"/>
        <w:keepNext/>
      </w:pPr>
      <w:r>
        <w:t>1.3 Trust Boundaries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792"/>
            <w:shd w:fill="172554"/>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jc w:val="center"/>
            </w:pPr>
            <w:r>
              <w:rPr>
                <w:rFonts w:ascii="Aptos" w:hAnsi="Aptos"/>
                <w:b/>
                <w:color w:val="FFFFFF"/>
                <w:sz w:val="17"/>
              </w:rPr>
              <w:t>ID</w:t>
            </w:r>
          </w:p>
        </w:tc>
        <w:tc>
          <w:tcPr>
            <w:tcW w:type="dxa" w:w="3744"/>
            <w:shd w:fill="172554"/>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jc w:val="center"/>
            </w:pPr>
            <w:r>
              <w:rPr>
                <w:rFonts w:ascii="Aptos" w:hAnsi="Aptos"/>
                <w:b/>
                <w:color w:val="FFFFFF"/>
                <w:sz w:val="17"/>
              </w:rPr>
              <w:t>Boundary</w:t>
            </w:r>
          </w:p>
        </w:tc>
        <w:tc>
          <w:tcPr>
            <w:tcW w:type="dxa" w:w="5328"/>
            <w:shd w:fill="172554"/>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jc w:val="center"/>
            </w:pPr>
            <w:r>
              <w:rPr>
                <w:rFonts w:ascii="Aptos" w:hAnsi="Aptos"/>
                <w:b/>
                <w:color w:val="FFFFFF"/>
                <w:sz w:val="17"/>
              </w:rPr>
              <w:t>Privacy concern</w:t>
            </w:r>
          </w:p>
        </w:tc>
      </w:tr>
      <w:tr>
        <w:trPr>
          <w:cantSplit/>
        </w:trPr>
        <w:tc>
          <w:tcPr>
            <w:tcW w:type="dxa" w:w="792"/>
            <w:shd w:fill="FFFF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7"/>
              </w:rPr>
              <w:t>TB1</w:t>
            </w:r>
          </w:p>
        </w:tc>
        <w:tc>
          <w:tcPr>
            <w:tcW w:type="dxa" w:w="3744"/>
            <w:shd w:fill="FFFF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7"/>
              </w:rPr>
              <w:t>User device to university service</w:t>
            </w:r>
          </w:p>
        </w:tc>
        <w:tc>
          <w:tcPr>
            <w:tcW w:type="dxa" w:w="5328"/>
            <w:shd w:fill="FFFF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7"/>
              </w:rPr>
              <w:t>Authentication, interception, session correlation</w:t>
            </w:r>
          </w:p>
        </w:tc>
      </w:tr>
      <w:tr>
        <w:trPr>
          <w:cantSplit/>
        </w:trPr>
        <w:tc>
          <w:tcPr>
            <w:tcW w:type="dxa" w:w="792"/>
            <w:shd w:fill="EFF6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7"/>
              </w:rPr>
              <w:t>TB2</w:t>
            </w:r>
          </w:p>
        </w:tc>
        <w:tc>
          <w:tcPr>
            <w:tcW w:type="dxa" w:w="3744"/>
            <w:shd w:fill="EFF6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7"/>
              </w:rPr>
              <w:t>Student subsystem to central evaluation service</w:t>
            </w:r>
          </w:p>
        </w:tc>
        <w:tc>
          <w:tcPr>
            <w:tcW w:type="dxa" w:w="5328"/>
            <w:shd w:fill="EFF6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7"/>
              </w:rPr>
              <w:t>Purpose limitation and re-identification in small groups</w:t>
            </w:r>
          </w:p>
        </w:tc>
      </w:tr>
      <w:tr>
        <w:trPr>
          <w:cantSplit/>
        </w:trPr>
        <w:tc>
          <w:tcPr>
            <w:tcW w:type="dxa" w:w="792"/>
            <w:shd w:fill="FFFF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7"/>
              </w:rPr>
              <w:t>TB3</w:t>
            </w:r>
          </w:p>
        </w:tc>
        <w:tc>
          <w:tcPr>
            <w:tcW w:type="dxa" w:w="3744"/>
            <w:shd w:fill="FFFF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7"/>
              </w:rPr>
              <w:t>University environment to cloud provider</w:t>
            </w:r>
          </w:p>
        </w:tc>
        <w:tc>
          <w:tcPr>
            <w:tcW w:type="dxa" w:w="5328"/>
            <w:shd w:fill="FFFF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7"/>
              </w:rPr>
              <w:t>Encryption, processor assurance, transfer, retention</w:t>
            </w:r>
          </w:p>
        </w:tc>
      </w:tr>
      <w:tr>
        <w:trPr>
          <w:cantSplit/>
        </w:trPr>
        <w:tc>
          <w:tcPr>
            <w:tcW w:type="dxa" w:w="792"/>
            <w:shd w:fill="EFF6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7"/>
              </w:rPr>
              <w:t>TB4</w:t>
            </w:r>
          </w:p>
        </w:tc>
        <w:tc>
          <w:tcPr>
            <w:tcW w:type="dxa" w:w="3744"/>
            <w:shd w:fill="EFF6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7"/>
              </w:rPr>
              <w:t>Student subsystem to SMS provider</w:t>
            </w:r>
          </w:p>
        </w:tc>
        <w:tc>
          <w:tcPr>
            <w:tcW w:type="dxa" w:w="5328"/>
            <w:shd w:fill="EFF6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7"/>
              </w:rPr>
              <w:t>Third-party metadata and awareness</w:t>
            </w:r>
          </w:p>
        </w:tc>
      </w:tr>
      <w:tr>
        <w:trPr>
          <w:cantSplit/>
        </w:trPr>
        <w:tc>
          <w:tcPr>
            <w:tcW w:type="dxa" w:w="792"/>
            <w:shd w:fill="FFFF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7"/>
              </w:rPr>
              <w:t>TB5</w:t>
            </w:r>
          </w:p>
        </w:tc>
        <w:tc>
          <w:tcPr>
            <w:tcW w:type="dxa" w:w="3744"/>
            <w:shd w:fill="FFFF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7"/>
              </w:rPr>
              <w:t>Personal computer to smartphone</w:t>
            </w:r>
          </w:p>
        </w:tc>
        <w:tc>
          <w:tcPr>
            <w:tcW w:type="dxa" w:w="5328"/>
            <w:shd w:fill="FFFF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7"/>
              </w:rPr>
              <w:t>Unmanaged endpoint and local disclosure</w:t>
            </w:r>
          </w:p>
        </w:tc>
      </w:tr>
    </w:tbl>
    <w:p>
      <w:pPr>
        <w:spacing w:after="40"/>
      </w:pPr>
    </w:p>
    <w:p>
      <w:r>
        <w:br w:type="page"/>
      </w:r>
    </w:p>
    <w:p>
      <w:pPr>
        <w:pStyle w:val="Heading1"/>
        <w:keepNext/>
      </w:pPr>
      <w:r>
        <w:t>2 Data Flow Model</w:t>
      </w:r>
    </w:p>
    <w:p>
      <w:r>
        <w:t>The data-flow inventory provides the common reference for threat elicitation. Each flow identifies its purpose, trust boundary, retention assumption, and privacy concern.</w:t>
      </w:r>
    </w:p>
    <w:tbl>
      <w:tblPr>
        <w:tblStyle w:val="TableGrid"/>
        <w:tblW w:type="auto" w:w="0"/>
        <w:jc w:val="center"/>
        <w:tblLayout w:type="fixed"/>
        <w:tblLook w:firstColumn="1" w:firstRow="1" w:lastColumn="0" w:lastRow="0" w:noHBand="0" w:noVBand="1" w:val="04A0"/>
      </w:tblPr>
      <w:tblGrid>
        <w:gridCol w:w="1999"/>
        <w:gridCol w:w="1999"/>
        <w:gridCol w:w="1999"/>
        <w:gridCol w:w="1999"/>
        <w:gridCol w:w="1999"/>
      </w:tblGrid>
      <w:tr>
        <w:trPr>
          <w:tblHeader w:val="true"/>
        </w:trPr>
        <w:tc>
          <w:tcPr>
            <w:tcW w:type="dxa" w:w="691"/>
            <w:shd w:fill="172554"/>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jc w:val="center"/>
            </w:pPr>
            <w:r>
              <w:rPr>
                <w:rFonts w:ascii="Aptos" w:hAnsi="Aptos"/>
                <w:b/>
                <w:color w:val="FFFFFF"/>
                <w:sz w:val="15"/>
              </w:rPr>
              <w:t>Flow</w:t>
            </w:r>
          </w:p>
        </w:tc>
        <w:tc>
          <w:tcPr>
            <w:tcW w:type="dxa" w:w="2232"/>
            <w:shd w:fill="172554"/>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jc w:val="center"/>
            </w:pPr>
            <w:r>
              <w:rPr>
                <w:rFonts w:ascii="Aptos" w:hAnsi="Aptos"/>
                <w:b/>
                <w:color w:val="FFFFFF"/>
                <w:sz w:val="15"/>
              </w:rPr>
              <w:t>Source</w:t>
            </w:r>
          </w:p>
        </w:tc>
        <w:tc>
          <w:tcPr>
            <w:tcW w:type="dxa" w:w="2304"/>
            <w:shd w:fill="172554"/>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jc w:val="center"/>
            </w:pPr>
            <w:r>
              <w:rPr>
                <w:rFonts w:ascii="Aptos" w:hAnsi="Aptos"/>
                <w:b/>
                <w:color w:val="FFFFFF"/>
                <w:sz w:val="15"/>
              </w:rPr>
              <w:t>Destination</w:t>
            </w:r>
          </w:p>
        </w:tc>
        <w:tc>
          <w:tcPr>
            <w:tcW w:type="dxa" w:w="3960"/>
            <w:shd w:fill="172554"/>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jc w:val="center"/>
            </w:pPr>
            <w:r>
              <w:rPr>
                <w:rFonts w:ascii="Aptos" w:hAnsi="Aptos"/>
                <w:b/>
                <w:color w:val="FFFFFF"/>
                <w:sz w:val="15"/>
              </w:rPr>
              <w:t>Data</w:t>
            </w:r>
          </w:p>
        </w:tc>
        <w:tc>
          <w:tcPr>
            <w:tcW w:type="dxa" w:w="936"/>
            <w:shd w:fill="172554"/>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jc w:val="center"/>
            </w:pPr>
            <w:r>
              <w:rPr>
                <w:rFonts w:ascii="Aptos" w:hAnsi="Aptos"/>
                <w:b/>
                <w:color w:val="FFFFFF"/>
                <w:sz w:val="15"/>
              </w:rPr>
              <w:t>Boundary</w:t>
            </w:r>
          </w:p>
        </w:tc>
      </w:tr>
      <w:tr>
        <w:trPr>
          <w:cantSplit/>
        </w:trPr>
        <w:tc>
          <w:tcPr>
            <w:tcW w:type="dxa" w:w="691"/>
            <w:shd w:fill="FFFF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F1</w:t>
            </w:r>
          </w:p>
        </w:tc>
        <w:tc>
          <w:tcPr>
            <w:tcW w:type="dxa" w:w="2232"/>
            <w:shd w:fill="FFFF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Students instructors registry staff and administrators</w:t>
            </w:r>
          </w:p>
        </w:tc>
        <w:tc>
          <w:tcPr>
            <w:tcW w:type="dxa" w:w="2304"/>
            <w:shd w:fill="FFFF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Student portal and API</w:t>
            </w:r>
          </w:p>
        </w:tc>
        <w:tc>
          <w:tcPr>
            <w:tcW w:type="dxa" w:w="3960"/>
            <w:shd w:fill="FFFF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Credentials profile requests and academic records</w:t>
            </w:r>
          </w:p>
        </w:tc>
        <w:tc>
          <w:tcPr>
            <w:tcW w:type="dxa" w:w="936"/>
            <w:shd w:fill="FFFF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TB1</w:t>
            </w:r>
          </w:p>
        </w:tc>
      </w:tr>
      <w:tr>
        <w:trPr>
          <w:cantSplit/>
        </w:trPr>
        <w:tc>
          <w:tcPr>
            <w:tcW w:type="dxa" w:w="691"/>
            <w:shd w:fill="EFF6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F2</w:t>
            </w:r>
          </w:p>
        </w:tc>
        <w:tc>
          <w:tcPr>
            <w:tcW w:type="dxa" w:w="2232"/>
            <w:shd w:fill="EFF6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Student subsystem server</w:t>
            </w:r>
          </w:p>
        </w:tc>
        <w:tc>
          <w:tcPr>
            <w:tcW w:type="dxa" w:w="2304"/>
            <w:shd w:fill="EFF6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Student database</w:t>
            </w:r>
          </w:p>
        </w:tc>
        <w:tc>
          <w:tcPr>
            <w:tcW w:type="dxa" w:w="3960"/>
            <w:shd w:fill="EFF6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Identity contact enrollment grades and audit events</w:t>
            </w:r>
          </w:p>
        </w:tc>
        <w:tc>
          <w:tcPr>
            <w:tcW w:type="dxa" w:w="936"/>
            <w:shd w:fill="EFF6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Internal privileged boundary</w:t>
            </w:r>
          </w:p>
        </w:tc>
      </w:tr>
      <w:tr>
        <w:trPr>
          <w:cantSplit/>
        </w:trPr>
        <w:tc>
          <w:tcPr>
            <w:tcW w:type="dxa" w:w="691"/>
            <w:shd w:fill="FFFF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F3</w:t>
            </w:r>
          </w:p>
        </w:tc>
        <w:tc>
          <w:tcPr>
            <w:tcW w:type="dxa" w:w="2232"/>
            <w:shd w:fill="FFFF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Student subsystem server</w:t>
            </w:r>
          </w:p>
        </w:tc>
        <w:tc>
          <w:tcPr>
            <w:tcW w:type="dxa" w:w="2304"/>
            <w:shd w:fill="FFFF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Cloud backup</w:t>
            </w:r>
          </w:p>
        </w:tc>
        <w:tc>
          <w:tcPr>
            <w:tcW w:type="dxa" w:w="3960"/>
            <w:shd w:fill="FFFF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Full or incremental database backup</w:t>
            </w:r>
          </w:p>
        </w:tc>
        <w:tc>
          <w:tcPr>
            <w:tcW w:type="dxa" w:w="936"/>
            <w:shd w:fill="FFFF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TB3</w:t>
            </w:r>
          </w:p>
        </w:tc>
      </w:tr>
      <w:tr>
        <w:trPr>
          <w:cantSplit/>
        </w:trPr>
        <w:tc>
          <w:tcPr>
            <w:tcW w:type="dxa" w:w="691"/>
            <w:shd w:fill="EFF6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F4</w:t>
            </w:r>
          </w:p>
        </w:tc>
        <w:tc>
          <w:tcPr>
            <w:tcW w:type="dxa" w:w="2232"/>
            <w:shd w:fill="EFF6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Student subsystem server</w:t>
            </w:r>
          </w:p>
        </w:tc>
        <w:tc>
          <w:tcPr>
            <w:tcW w:type="dxa" w:w="2304"/>
            <w:shd w:fill="EFF6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Central evaluation interface</w:t>
            </w:r>
          </w:p>
        </w:tc>
        <w:tc>
          <w:tcPr>
            <w:tcW w:type="dxa" w:w="3960"/>
            <w:shd w:fill="EFF6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Statistics and confirmation results</w:t>
            </w:r>
          </w:p>
        </w:tc>
        <w:tc>
          <w:tcPr>
            <w:tcW w:type="dxa" w:w="936"/>
            <w:shd w:fill="EFF6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TB2</w:t>
            </w:r>
          </w:p>
        </w:tc>
      </w:tr>
      <w:tr>
        <w:trPr>
          <w:cantSplit/>
        </w:trPr>
        <w:tc>
          <w:tcPr>
            <w:tcW w:type="dxa" w:w="691"/>
            <w:shd w:fill="FFFF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F5</w:t>
            </w:r>
          </w:p>
        </w:tc>
        <w:tc>
          <w:tcPr>
            <w:tcW w:type="dxa" w:w="2232"/>
            <w:shd w:fill="FFFF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Student subsystem server</w:t>
            </w:r>
          </w:p>
        </w:tc>
        <w:tc>
          <w:tcPr>
            <w:tcW w:type="dxa" w:w="2304"/>
            <w:shd w:fill="FFFF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SMS gateway and provider</w:t>
            </w:r>
          </w:p>
        </w:tc>
        <w:tc>
          <w:tcPr>
            <w:tcW w:type="dxa" w:w="3960"/>
            <w:shd w:fill="FFFF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Phone number one-time code and delivery metadata</w:t>
            </w:r>
          </w:p>
        </w:tc>
        <w:tc>
          <w:tcPr>
            <w:tcW w:type="dxa" w:w="936"/>
            <w:shd w:fill="FFFF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TB4</w:t>
            </w:r>
          </w:p>
        </w:tc>
      </w:tr>
      <w:tr>
        <w:trPr>
          <w:cantSplit/>
        </w:trPr>
        <w:tc>
          <w:tcPr>
            <w:tcW w:type="dxa" w:w="691"/>
            <w:shd w:fill="EFF6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F6</w:t>
            </w:r>
          </w:p>
        </w:tc>
        <w:tc>
          <w:tcPr>
            <w:tcW w:type="dxa" w:w="2232"/>
            <w:shd w:fill="EFF6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Student personal computer</w:t>
            </w:r>
          </w:p>
        </w:tc>
        <w:tc>
          <w:tcPr>
            <w:tcW w:type="dxa" w:w="2304"/>
            <w:shd w:fill="EFF6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Student smartphone</w:t>
            </w:r>
          </w:p>
        </w:tc>
        <w:tc>
          <w:tcPr>
            <w:tcW w:type="dxa" w:w="3960"/>
            <w:shd w:fill="EFF6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Academic identity and transcript files</w:t>
            </w:r>
          </w:p>
        </w:tc>
        <w:tc>
          <w:tcPr>
            <w:tcW w:type="dxa" w:w="936"/>
            <w:shd w:fill="EFF6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TB5</w:t>
            </w:r>
          </w:p>
        </w:tc>
      </w:tr>
      <w:tr>
        <w:trPr>
          <w:cantSplit/>
        </w:trPr>
        <w:tc>
          <w:tcPr>
            <w:tcW w:type="dxa" w:w="691"/>
            <w:shd w:fill="FFFF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F7</w:t>
            </w:r>
          </w:p>
        </w:tc>
        <w:tc>
          <w:tcPr>
            <w:tcW w:type="dxa" w:w="2232"/>
            <w:shd w:fill="FFFF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Student portal and API</w:t>
            </w:r>
          </w:p>
        </w:tc>
        <w:tc>
          <w:tcPr>
            <w:tcW w:type="dxa" w:w="2304"/>
            <w:shd w:fill="FFFF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Audit log service</w:t>
            </w:r>
          </w:p>
        </w:tc>
        <w:tc>
          <w:tcPr>
            <w:tcW w:type="dxa" w:w="3960"/>
            <w:shd w:fill="FFFF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Account identifier action timestamp and device metadata</w:t>
            </w:r>
          </w:p>
        </w:tc>
        <w:tc>
          <w:tcPr>
            <w:tcW w:type="dxa" w:w="936"/>
            <w:shd w:fill="FFFF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Internal privileged boundary</w:t>
            </w:r>
          </w:p>
        </w:tc>
      </w:tr>
    </w:tbl>
    <w:p>
      <w:pPr>
        <w:spacing w:after="40"/>
      </w:pPr>
    </w:p>
    <w:p>
      <w:pPr>
        <w:pStyle w:val="Heading2"/>
        <w:keepNext/>
      </w:pPr>
      <w:r>
        <w:t>2.1 Assumptions</w:t>
      </w:r>
    </w:p>
    <w:p>
      <w:pPr>
        <w:pStyle w:val="ListBullet"/>
      </w:pPr>
      <w:r>
        <w:t>The model represents a teaching scenario and has not been validated against a live deployment.</w:t>
      </w:r>
    </w:p>
    <w:p>
      <w:pPr>
        <w:pStyle w:val="ListBullet"/>
      </w:pPr>
      <w:r>
        <w:t>The central evaluation service should receive aggregate information unless an approved purpose requires identifiable data.</w:t>
      </w:r>
    </w:p>
    <w:p>
      <w:pPr>
        <w:pStyle w:val="ListBullet"/>
      </w:pPr>
      <w:r>
        <w:t>Cloud backup and SMS delivery involve third-party processing.</w:t>
      </w:r>
    </w:p>
    <w:p>
      <w:pPr>
        <w:pStyle w:val="ListBullet"/>
      </w:pPr>
      <w:r>
        <w:t>Bluetooth transfer occurs outside managed university infrastructure.</w:t>
      </w:r>
    </w:p>
    <w:p>
      <w:pPr>
        <w:pStyle w:val="ListBullet"/>
      </w:pPr>
      <w:r>
        <w:t>A stated control receives no risk reduction until verification evidence exists.</w:t>
      </w:r>
    </w:p>
    <w:p>
      <w:pPr>
        <w:pStyle w:val="Heading1"/>
        <w:keepNext/>
      </w:pPr>
      <w:r>
        <w:t>3 LINDDUN Method</w:t>
      </w:r>
    </w:p>
    <w:p>
      <w:r>
        <w:t>LINDDUN is a threat-driven privacy engineering method. The assessment starts with a data-flow diagram, maps relevant threat categories to DFD elements, develops concrete misuse or failure scenarios, prioritizes them, and converts them into privacy requirements. The seven categories used here are Linkability, Identifiability, Non-repudiation, Detectability, Data Disclosure, Unawareness, and Non-compliance [1–4].</w:t>
      </w:r>
    </w:p>
    <w:p>
      <w:r>
        <w:br w:type="page"/>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160"/>
            <w:shd w:fill="172554"/>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jc w:val="center"/>
            </w:pPr>
            <w:r>
              <w:rPr>
                <w:rFonts w:ascii="Aptos" w:hAnsi="Aptos"/>
                <w:b/>
                <w:color w:val="FFFFFF"/>
                <w:sz w:val="18"/>
              </w:rPr>
              <w:t>Category</w:t>
            </w:r>
          </w:p>
        </w:tc>
        <w:tc>
          <w:tcPr>
            <w:tcW w:type="dxa" w:w="7776"/>
            <w:shd w:fill="172554"/>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jc w:val="center"/>
            </w:pPr>
            <w:r>
              <w:rPr>
                <w:rFonts w:ascii="Aptos" w:hAnsi="Aptos"/>
                <w:b/>
                <w:color w:val="FFFFFF"/>
                <w:sz w:val="18"/>
              </w:rPr>
              <w:t>Assessment question</w:t>
            </w:r>
          </w:p>
        </w:tc>
      </w:tr>
      <w:tr>
        <w:trPr>
          <w:cantSplit/>
        </w:trPr>
        <w:tc>
          <w:tcPr>
            <w:tcW w:type="dxa" w:w="2160"/>
            <w:shd w:fill="FFFF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8"/>
              </w:rPr>
              <w:t>Linkability</w:t>
            </w:r>
          </w:p>
        </w:tc>
        <w:tc>
          <w:tcPr>
            <w:tcW w:type="dxa" w:w="7776"/>
            <w:shd w:fill="FFFF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8"/>
              </w:rPr>
              <w:t>Can two items, actions, or contexts be related to the same person?</w:t>
            </w:r>
          </w:p>
        </w:tc>
      </w:tr>
      <w:tr>
        <w:trPr>
          <w:cantSplit/>
        </w:trPr>
        <w:tc>
          <w:tcPr>
            <w:tcW w:type="dxa" w:w="2160"/>
            <w:shd w:fill="EFF6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8"/>
              </w:rPr>
              <w:t>Identifiability</w:t>
            </w:r>
          </w:p>
        </w:tc>
        <w:tc>
          <w:tcPr>
            <w:tcW w:type="dxa" w:w="7776"/>
            <w:shd w:fill="EFF6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8"/>
              </w:rPr>
              <w:t>Can a person be identified or re-identified from available information?</w:t>
            </w:r>
          </w:p>
        </w:tc>
      </w:tr>
      <w:tr>
        <w:trPr>
          <w:cantSplit/>
        </w:trPr>
        <w:tc>
          <w:tcPr>
            <w:tcW w:type="dxa" w:w="2160"/>
            <w:shd w:fill="FFFF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8"/>
              </w:rPr>
              <w:t>Non-repudiation</w:t>
            </w:r>
          </w:p>
        </w:tc>
        <w:tc>
          <w:tcPr>
            <w:tcW w:type="dxa" w:w="7776"/>
            <w:shd w:fill="FFFF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8"/>
              </w:rPr>
              <w:t>Does the system create unnecessary proof that a person performed an action?</w:t>
            </w:r>
          </w:p>
        </w:tc>
      </w:tr>
      <w:tr>
        <w:trPr>
          <w:cantSplit/>
        </w:trPr>
        <w:tc>
          <w:tcPr>
            <w:tcW w:type="dxa" w:w="2160"/>
            <w:shd w:fill="EFF6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8"/>
              </w:rPr>
              <w:t>Detectability</w:t>
            </w:r>
          </w:p>
        </w:tc>
        <w:tc>
          <w:tcPr>
            <w:tcW w:type="dxa" w:w="7776"/>
            <w:shd w:fill="EFF6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8"/>
              </w:rPr>
              <w:t>Can an observer detect that an item, action, or relationship exists?</w:t>
            </w:r>
          </w:p>
        </w:tc>
      </w:tr>
      <w:tr>
        <w:trPr>
          <w:cantSplit/>
        </w:trPr>
        <w:tc>
          <w:tcPr>
            <w:tcW w:type="dxa" w:w="2160"/>
            <w:shd w:fill="FFFF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8"/>
              </w:rPr>
              <w:t>Data Disclosure</w:t>
            </w:r>
          </w:p>
        </w:tc>
        <w:tc>
          <w:tcPr>
            <w:tcW w:type="dxa" w:w="7776"/>
            <w:shd w:fill="FFFF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8"/>
              </w:rPr>
              <w:t>Can personal data reach an unauthorized party or purpose?</w:t>
            </w:r>
          </w:p>
        </w:tc>
      </w:tr>
      <w:tr>
        <w:trPr>
          <w:cantSplit/>
        </w:trPr>
        <w:tc>
          <w:tcPr>
            <w:tcW w:type="dxa" w:w="2160"/>
            <w:shd w:fill="EFF6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8"/>
              </w:rPr>
              <w:t>Unawareness</w:t>
            </w:r>
          </w:p>
        </w:tc>
        <w:tc>
          <w:tcPr>
            <w:tcW w:type="dxa" w:w="7776"/>
            <w:shd w:fill="EFF6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8"/>
              </w:rPr>
              <w:t>Does the person understand the processing and its consequences?</w:t>
            </w:r>
          </w:p>
        </w:tc>
      </w:tr>
      <w:tr>
        <w:trPr>
          <w:cantSplit/>
        </w:trPr>
        <w:tc>
          <w:tcPr>
            <w:tcW w:type="dxa" w:w="2160"/>
            <w:shd w:fill="FFFF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8"/>
              </w:rPr>
              <w:t>Non-compliance</w:t>
            </w:r>
          </w:p>
        </w:tc>
        <w:tc>
          <w:tcPr>
            <w:tcW w:type="dxa" w:w="7776"/>
            <w:shd w:fill="FFFF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8"/>
              </w:rPr>
              <w:t>Can the processing fail legal, policy, or accountability duties?</w:t>
            </w:r>
          </w:p>
        </w:tc>
      </w:tr>
    </w:tbl>
    <w:p>
      <w:pPr>
        <w:spacing w:after="40"/>
      </w:pPr>
    </w:p>
    <w:p>
      <w:pPr>
        <w:pStyle w:val="Heading2"/>
        <w:keepNext/>
      </w:pPr>
      <w:r>
        <w:t>3.1 Academic and Portfolio Scope</w:t>
      </w:r>
    </w:p>
    <w:p>
      <w:r>
        <w:t>The original team assignment examined Identifiability and Unawareness because those categories were assigned to the group. The public portfolio extension adds the other categories to demonstrate a complete method workflow. The threat register records the origin of every scenario.</w:t>
      </w:r>
    </w:p>
    <w:p>
      <w:pPr>
        <w:pStyle w:val="Heading2"/>
        <w:keepNext/>
      </w:pPr>
      <w:r>
        <w:t>3.2 Risk Prioritization</w:t>
      </w:r>
    </w:p>
    <w:p>
      <w:r>
        <w:t>Likelihood and impact receive scores from 1 to 5. Their product creates a 1–25 inherent risk score. Scores of 17–25 are Critical, 10–16 High, 5–9 Medium, and 1–4 Low. Impact is judged from the perspective of the affected student. The score supports prioritization and does not replace a legal requirement or specialist review.</w:t>
      </w:r>
    </w:p>
    <w:p>
      <w:r>
        <w:br w:type="page"/>
      </w:r>
    </w:p>
    <w:p>
      <w:pPr>
        <w:pStyle w:val="Heading1"/>
        <w:keepNext/>
      </w:pPr>
      <w:r>
        <w:t>4 Threat Analysis</w:t>
      </w:r>
    </w:p>
    <w:p>
      <w:r>
        <w:t>The register contains 18 scenarios. Eight come from the original academic scope and the remaining scenarios form the public portfolio extension. The table below preserves traceability from each scenario to the affected DFD elements and proposed controls.</w:t>
      </w:r>
    </w:p>
    <w:p>
      <w:pPr>
        <w:pStyle w:val="Heading2"/>
        <w:keepNext/>
      </w:pPr>
      <w:r>
        <w:t>Linkability</w:t>
      </w:r>
    </w:p>
    <w:tbl>
      <w:tblPr>
        <w:tblStyle w:val="TableGrid"/>
        <w:tblW w:type="auto" w:w="0"/>
        <w:jc w:val="center"/>
        <w:tblLayout w:type="fixed"/>
        <w:tblLook w:firstColumn="1" w:firstRow="1" w:lastColumn="0" w:lastRow="0" w:noHBand="0" w:noVBand="1" w:val="04A0"/>
      </w:tblPr>
      <w:tblGrid>
        <w:gridCol w:w="1666"/>
        <w:gridCol w:w="1666"/>
        <w:gridCol w:w="1666"/>
        <w:gridCol w:w="1666"/>
        <w:gridCol w:w="1666"/>
        <w:gridCol w:w="1666"/>
      </w:tblGrid>
      <w:tr>
        <w:trPr>
          <w:tblHeader w:val="true"/>
        </w:trPr>
        <w:tc>
          <w:tcPr>
            <w:tcW w:type="dxa" w:w="720"/>
            <w:shd w:fill="172554"/>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jc w:val="center"/>
            </w:pPr>
            <w:r>
              <w:rPr>
                <w:rFonts w:ascii="Aptos" w:hAnsi="Aptos"/>
                <w:b/>
                <w:color w:val="FFFFFF"/>
                <w:sz w:val="15"/>
              </w:rPr>
              <w:t>ID</w:t>
            </w:r>
          </w:p>
        </w:tc>
        <w:tc>
          <w:tcPr>
            <w:tcW w:type="dxa" w:w="5400"/>
            <w:shd w:fill="172554"/>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jc w:val="center"/>
            </w:pPr>
            <w:r>
              <w:rPr>
                <w:rFonts w:ascii="Aptos" w:hAnsi="Aptos"/>
                <w:b/>
                <w:color w:val="FFFFFF"/>
                <w:sz w:val="15"/>
              </w:rPr>
              <w:t>Scenario</w:t>
            </w:r>
          </w:p>
        </w:tc>
        <w:tc>
          <w:tcPr>
            <w:tcW w:type="dxa" w:w="1152"/>
            <w:shd w:fill="172554"/>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jc w:val="center"/>
            </w:pPr>
            <w:r>
              <w:rPr>
                <w:rFonts w:ascii="Aptos" w:hAnsi="Aptos"/>
                <w:b/>
                <w:color w:val="FFFFFF"/>
                <w:sz w:val="15"/>
              </w:rPr>
              <w:t>L × I</w:t>
            </w:r>
          </w:p>
        </w:tc>
        <w:tc>
          <w:tcPr>
            <w:tcW w:type="dxa" w:w="1037"/>
            <w:shd w:fill="172554"/>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jc w:val="center"/>
            </w:pPr>
            <w:r>
              <w:rPr>
                <w:rFonts w:ascii="Aptos" w:hAnsi="Aptos"/>
                <w:b/>
                <w:color w:val="FFFFFF"/>
                <w:sz w:val="15"/>
              </w:rPr>
              <w:t>Priority</w:t>
            </w:r>
          </w:p>
        </w:tc>
        <w:tc>
          <w:tcPr>
            <w:tcW w:type="dxa" w:w="1152"/>
            <w:shd w:fill="172554"/>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jc w:val="center"/>
            </w:pPr>
            <w:r>
              <w:rPr>
                <w:rFonts w:ascii="Aptos" w:hAnsi="Aptos"/>
                <w:b/>
                <w:color w:val="FFFFFF"/>
                <w:sz w:val="15"/>
              </w:rPr>
              <w:t>Controls</w:t>
            </w:r>
          </w:p>
        </w:tc>
        <w:tc>
          <w:tcPr>
            <w:tcW w:type="dxa" w:w="1080"/>
            <w:shd w:fill="172554"/>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jc w:val="center"/>
            </w:pPr>
            <w:r>
              <w:rPr>
                <w:rFonts w:ascii="Aptos" w:hAnsi="Aptos"/>
                <w:b/>
                <w:color w:val="FFFFFF"/>
                <w:sz w:val="15"/>
              </w:rPr>
              <w:t>Origin</w:t>
            </w:r>
          </w:p>
        </w:tc>
      </w:tr>
      <w:tr>
        <w:trPr>
          <w:cantSplit/>
        </w:trPr>
        <w:tc>
          <w:tcPr>
            <w:tcW w:type="dxa" w:w="720"/>
            <w:shd w:fill="FFFF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L-01</w:t>
            </w:r>
          </w:p>
        </w:tc>
        <w:tc>
          <w:tcPr>
            <w:tcW w:type="dxa" w:w="5400"/>
            <w:shd w:fill="FFFF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A stable student identifier links portal activity academic records and audit events across purposes</w:t>
            </w:r>
          </w:p>
        </w:tc>
        <w:tc>
          <w:tcPr>
            <w:tcW w:type="dxa" w:w="1152"/>
            <w:shd w:fill="FFFF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4 × 4 = 16</w:t>
            </w:r>
          </w:p>
        </w:tc>
        <w:tc>
          <w:tcPr>
            <w:tcW w:type="dxa" w:w="1037"/>
            <w:shd w:fill="FFFF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High</w:t>
            </w:r>
          </w:p>
        </w:tc>
        <w:tc>
          <w:tcPr>
            <w:tcW w:type="dxa" w:w="1152"/>
            <w:shd w:fill="FFFF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C01 C02 C10</w:t>
            </w:r>
          </w:p>
        </w:tc>
        <w:tc>
          <w:tcPr>
            <w:tcW w:type="dxa" w:w="1080"/>
            <w:shd w:fill="FFFF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Extension</w:t>
            </w:r>
          </w:p>
        </w:tc>
      </w:tr>
      <w:tr>
        <w:trPr>
          <w:cantSplit/>
        </w:trPr>
        <w:tc>
          <w:tcPr>
            <w:tcW w:type="dxa" w:w="720"/>
            <w:shd w:fill="EFF6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L-02</w:t>
            </w:r>
          </w:p>
        </w:tc>
        <w:tc>
          <w:tcPr>
            <w:tcW w:type="dxa" w:w="5400"/>
            <w:shd w:fill="EFF6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Production records and cloud backups remain linkable through direct identifiers and stable row keys</w:t>
            </w:r>
          </w:p>
        </w:tc>
        <w:tc>
          <w:tcPr>
            <w:tcW w:type="dxa" w:w="1152"/>
            <w:shd w:fill="EFF6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3 × 4 = 12</w:t>
            </w:r>
          </w:p>
        </w:tc>
        <w:tc>
          <w:tcPr>
            <w:tcW w:type="dxa" w:w="1037"/>
            <w:shd w:fill="EFF6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High</w:t>
            </w:r>
          </w:p>
        </w:tc>
        <w:tc>
          <w:tcPr>
            <w:tcW w:type="dxa" w:w="1152"/>
            <w:shd w:fill="EFF6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C02 C04</w:t>
            </w:r>
          </w:p>
        </w:tc>
        <w:tc>
          <w:tcPr>
            <w:tcW w:type="dxa" w:w="1080"/>
            <w:shd w:fill="EFF6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Extension</w:t>
            </w:r>
          </w:p>
        </w:tc>
      </w:tr>
    </w:tbl>
    <w:p>
      <w:pPr>
        <w:spacing w:after="40"/>
      </w:pPr>
    </w:p>
    <w:p>
      <w:pPr>
        <w:pStyle w:val="Heading2"/>
        <w:keepNext/>
      </w:pPr>
      <w:r>
        <w:t>Identifiability</w:t>
      </w:r>
    </w:p>
    <w:tbl>
      <w:tblPr>
        <w:tblStyle w:val="TableGrid"/>
        <w:tblW w:type="auto" w:w="0"/>
        <w:jc w:val="center"/>
        <w:tblLayout w:type="fixed"/>
        <w:tblLook w:firstColumn="1" w:firstRow="1" w:lastColumn="0" w:lastRow="0" w:noHBand="0" w:noVBand="1" w:val="04A0"/>
      </w:tblPr>
      <w:tblGrid>
        <w:gridCol w:w="1666"/>
        <w:gridCol w:w="1666"/>
        <w:gridCol w:w="1666"/>
        <w:gridCol w:w="1666"/>
        <w:gridCol w:w="1666"/>
        <w:gridCol w:w="1666"/>
      </w:tblGrid>
      <w:tr>
        <w:trPr>
          <w:tblHeader w:val="true"/>
        </w:trPr>
        <w:tc>
          <w:tcPr>
            <w:tcW w:type="dxa" w:w="720"/>
            <w:shd w:fill="172554"/>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jc w:val="center"/>
            </w:pPr>
            <w:r>
              <w:rPr>
                <w:rFonts w:ascii="Aptos" w:hAnsi="Aptos"/>
                <w:b/>
                <w:color w:val="FFFFFF"/>
                <w:sz w:val="15"/>
              </w:rPr>
              <w:t>ID</w:t>
            </w:r>
          </w:p>
        </w:tc>
        <w:tc>
          <w:tcPr>
            <w:tcW w:type="dxa" w:w="5400"/>
            <w:shd w:fill="172554"/>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jc w:val="center"/>
            </w:pPr>
            <w:r>
              <w:rPr>
                <w:rFonts w:ascii="Aptos" w:hAnsi="Aptos"/>
                <w:b/>
                <w:color w:val="FFFFFF"/>
                <w:sz w:val="15"/>
              </w:rPr>
              <w:t>Scenario</w:t>
            </w:r>
          </w:p>
        </w:tc>
        <w:tc>
          <w:tcPr>
            <w:tcW w:type="dxa" w:w="1152"/>
            <w:shd w:fill="172554"/>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jc w:val="center"/>
            </w:pPr>
            <w:r>
              <w:rPr>
                <w:rFonts w:ascii="Aptos" w:hAnsi="Aptos"/>
                <w:b/>
                <w:color w:val="FFFFFF"/>
                <w:sz w:val="15"/>
              </w:rPr>
              <w:t>L × I</w:t>
            </w:r>
          </w:p>
        </w:tc>
        <w:tc>
          <w:tcPr>
            <w:tcW w:type="dxa" w:w="1037"/>
            <w:shd w:fill="172554"/>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jc w:val="center"/>
            </w:pPr>
            <w:r>
              <w:rPr>
                <w:rFonts w:ascii="Aptos" w:hAnsi="Aptos"/>
                <w:b/>
                <w:color w:val="FFFFFF"/>
                <w:sz w:val="15"/>
              </w:rPr>
              <w:t>Priority</w:t>
            </w:r>
          </w:p>
        </w:tc>
        <w:tc>
          <w:tcPr>
            <w:tcW w:type="dxa" w:w="1152"/>
            <w:shd w:fill="172554"/>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jc w:val="center"/>
            </w:pPr>
            <w:r>
              <w:rPr>
                <w:rFonts w:ascii="Aptos" w:hAnsi="Aptos"/>
                <w:b/>
                <w:color w:val="FFFFFF"/>
                <w:sz w:val="15"/>
              </w:rPr>
              <w:t>Controls</w:t>
            </w:r>
          </w:p>
        </w:tc>
        <w:tc>
          <w:tcPr>
            <w:tcW w:type="dxa" w:w="1080"/>
            <w:shd w:fill="172554"/>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jc w:val="center"/>
            </w:pPr>
            <w:r>
              <w:rPr>
                <w:rFonts w:ascii="Aptos" w:hAnsi="Aptos"/>
                <w:b/>
                <w:color w:val="FFFFFF"/>
                <w:sz w:val="15"/>
              </w:rPr>
              <w:t>Origin</w:t>
            </w:r>
          </w:p>
        </w:tc>
      </w:tr>
      <w:tr>
        <w:trPr>
          <w:cantSplit/>
        </w:trPr>
        <w:tc>
          <w:tcPr>
            <w:tcW w:type="dxa" w:w="720"/>
            <w:shd w:fill="FFFF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I-01</w:t>
            </w:r>
          </w:p>
        </w:tc>
        <w:tc>
          <w:tcPr>
            <w:tcW w:type="dxa" w:w="5400"/>
            <w:shd w:fill="FFFF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Combined identity contact enrollment and grade data re-identify a student from the central database</w:t>
            </w:r>
          </w:p>
        </w:tc>
        <w:tc>
          <w:tcPr>
            <w:tcW w:type="dxa" w:w="1152"/>
            <w:shd w:fill="FFFF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4 × 5 = 20</w:t>
            </w:r>
          </w:p>
        </w:tc>
        <w:tc>
          <w:tcPr>
            <w:tcW w:type="dxa" w:w="1037"/>
            <w:shd w:fill="FFFF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Critical</w:t>
            </w:r>
          </w:p>
        </w:tc>
        <w:tc>
          <w:tcPr>
            <w:tcW w:type="dxa" w:w="1152"/>
            <w:shd w:fill="FFFF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C01 C03 C10</w:t>
            </w:r>
          </w:p>
        </w:tc>
        <w:tc>
          <w:tcPr>
            <w:tcW w:type="dxa" w:w="1080"/>
            <w:shd w:fill="FFFF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Original</w:t>
            </w:r>
          </w:p>
        </w:tc>
      </w:tr>
      <w:tr>
        <w:trPr>
          <w:cantSplit/>
        </w:trPr>
        <w:tc>
          <w:tcPr>
            <w:tcW w:type="dxa" w:w="720"/>
            <w:shd w:fill="EFF6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I-02</w:t>
            </w:r>
          </w:p>
        </w:tc>
        <w:tc>
          <w:tcPr>
            <w:tcW w:type="dxa" w:w="5400"/>
            <w:shd w:fill="EFF6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Statistics for a small cohort permit inference about an individual student</w:t>
            </w:r>
          </w:p>
        </w:tc>
        <w:tc>
          <w:tcPr>
            <w:tcW w:type="dxa" w:w="1152"/>
            <w:shd w:fill="EFF6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3 × 4 = 12</w:t>
            </w:r>
          </w:p>
        </w:tc>
        <w:tc>
          <w:tcPr>
            <w:tcW w:type="dxa" w:w="1037"/>
            <w:shd w:fill="EFF6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High</w:t>
            </w:r>
          </w:p>
        </w:tc>
        <w:tc>
          <w:tcPr>
            <w:tcW w:type="dxa" w:w="1152"/>
            <w:shd w:fill="EFF6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C05 C09</w:t>
            </w:r>
          </w:p>
        </w:tc>
        <w:tc>
          <w:tcPr>
            <w:tcW w:type="dxa" w:w="1080"/>
            <w:shd w:fill="EFF6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Original</w:t>
            </w:r>
          </w:p>
        </w:tc>
      </w:tr>
      <w:tr>
        <w:trPr>
          <w:cantSplit/>
        </w:trPr>
        <w:tc>
          <w:tcPr>
            <w:tcW w:type="dxa" w:w="720"/>
            <w:shd w:fill="FFFF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I-03</w:t>
            </w:r>
          </w:p>
        </w:tc>
        <w:tc>
          <w:tcPr>
            <w:tcW w:type="dxa" w:w="5400"/>
            <w:shd w:fill="FFFF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Bluetooth transfer exposes named identity documents and transcripts on an unmanaged device</w:t>
            </w:r>
          </w:p>
        </w:tc>
        <w:tc>
          <w:tcPr>
            <w:tcW w:type="dxa" w:w="1152"/>
            <w:shd w:fill="FFFF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3 × 4 = 12</w:t>
            </w:r>
          </w:p>
        </w:tc>
        <w:tc>
          <w:tcPr>
            <w:tcW w:type="dxa" w:w="1037"/>
            <w:shd w:fill="FFFF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High</w:t>
            </w:r>
          </w:p>
        </w:tc>
        <w:tc>
          <w:tcPr>
            <w:tcW w:type="dxa" w:w="1152"/>
            <w:shd w:fill="FFFF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C06 C11</w:t>
            </w:r>
          </w:p>
        </w:tc>
        <w:tc>
          <w:tcPr>
            <w:tcW w:type="dxa" w:w="1080"/>
            <w:shd w:fill="FFFF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Original</w:t>
            </w:r>
          </w:p>
        </w:tc>
      </w:tr>
      <w:tr>
        <w:trPr>
          <w:cantSplit/>
        </w:trPr>
        <w:tc>
          <w:tcPr>
            <w:tcW w:type="dxa" w:w="720"/>
            <w:shd w:fill="EFF6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I-04</w:t>
            </w:r>
          </w:p>
        </w:tc>
        <w:tc>
          <w:tcPr>
            <w:tcW w:type="dxa" w:w="5400"/>
            <w:shd w:fill="EFF6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A complete cloud backup exposes recognizable student records if provider access or configuration fails</w:t>
            </w:r>
          </w:p>
        </w:tc>
        <w:tc>
          <w:tcPr>
            <w:tcW w:type="dxa" w:w="1152"/>
            <w:shd w:fill="EFF6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3 × 5 = 15</w:t>
            </w:r>
          </w:p>
        </w:tc>
        <w:tc>
          <w:tcPr>
            <w:tcW w:type="dxa" w:w="1037"/>
            <w:shd w:fill="EFF6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High</w:t>
            </w:r>
          </w:p>
        </w:tc>
        <w:tc>
          <w:tcPr>
            <w:tcW w:type="dxa" w:w="1152"/>
            <w:shd w:fill="EFF6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C04 C08</w:t>
            </w:r>
          </w:p>
        </w:tc>
        <w:tc>
          <w:tcPr>
            <w:tcW w:type="dxa" w:w="1080"/>
            <w:shd w:fill="EFF6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Original</w:t>
            </w:r>
          </w:p>
        </w:tc>
      </w:tr>
    </w:tbl>
    <w:p>
      <w:pPr>
        <w:spacing w:after="40"/>
      </w:pPr>
    </w:p>
    <w:p>
      <w:pPr>
        <w:pStyle w:val="Heading2"/>
        <w:keepNext/>
      </w:pPr>
      <w:r>
        <w:t>Non-repudiation</w:t>
      </w:r>
    </w:p>
    <w:tbl>
      <w:tblPr>
        <w:tblStyle w:val="TableGrid"/>
        <w:tblW w:type="auto" w:w="0"/>
        <w:jc w:val="center"/>
        <w:tblLayout w:type="fixed"/>
        <w:tblLook w:firstColumn="1" w:firstRow="1" w:lastColumn="0" w:lastRow="0" w:noHBand="0" w:noVBand="1" w:val="04A0"/>
      </w:tblPr>
      <w:tblGrid>
        <w:gridCol w:w="1666"/>
        <w:gridCol w:w="1666"/>
        <w:gridCol w:w="1666"/>
        <w:gridCol w:w="1666"/>
        <w:gridCol w:w="1666"/>
        <w:gridCol w:w="1666"/>
      </w:tblGrid>
      <w:tr>
        <w:trPr>
          <w:tblHeader w:val="true"/>
        </w:trPr>
        <w:tc>
          <w:tcPr>
            <w:tcW w:type="dxa" w:w="720"/>
            <w:shd w:fill="172554"/>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jc w:val="center"/>
            </w:pPr>
            <w:r>
              <w:rPr>
                <w:rFonts w:ascii="Aptos" w:hAnsi="Aptos"/>
                <w:b/>
                <w:color w:val="FFFFFF"/>
                <w:sz w:val="15"/>
              </w:rPr>
              <w:t>ID</w:t>
            </w:r>
          </w:p>
        </w:tc>
        <w:tc>
          <w:tcPr>
            <w:tcW w:type="dxa" w:w="5400"/>
            <w:shd w:fill="172554"/>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jc w:val="center"/>
            </w:pPr>
            <w:r>
              <w:rPr>
                <w:rFonts w:ascii="Aptos" w:hAnsi="Aptos"/>
                <w:b/>
                <w:color w:val="FFFFFF"/>
                <w:sz w:val="15"/>
              </w:rPr>
              <w:t>Scenario</w:t>
            </w:r>
          </w:p>
        </w:tc>
        <w:tc>
          <w:tcPr>
            <w:tcW w:type="dxa" w:w="1152"/>
            <w:shd w:fill="172554"/>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jc w:val="center"/>
            </w:pPr>
            <w:r>
              <w:rPr>
                <w:rFonts w:ascii="Aptos" w:hAnsi="Aptos"/>
                <w:b/>
                <w:color w:val="FFFFFF"/>
                <w:sz w:val="15"/>
              </w:rPr>
              <w:t>L × I</w:t>
            </w:r>
          </w:p>
        </w:tc>
        <w:tc>
          <w:tcPr>
            <w:tcW w:type="dxa" w:w="1037"/>
            <w:shd w:fill="172554"/>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jc w:val="center"/>
            </w:pPr>
            <w:r>
              <w:rPr>
                <w:rFonts w:ascii="Aptos" w:hAnsi="Aptos"/>
                <w:b/>
                <w:color w:val="FFFFFF"/>
                <w:sz w:val="15"/>
              </w:rPr>
              <w:t>Priority</w:t>
            </w:r>
          </w:p>
        </w:tc>
        <w:tc>
          <w:tcPr>
            <w:tcW w:type="dxa" w:w="1152"/>
            <w:shd w:fill="172554"/>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jc w:val="center"/>
            </w:pPr>
            <w:r>
              <w:rPr>
                <w:rFonts w:ascii="Aptos" w:hAnsi="Aptos"/>
                <w:b/>
                <w:color w:val="FFFFFF"/>
                <w:sz w:val="15"/>
              </w:rPr>
              <w:t>Controls</w:t>
            </w:r>
          </w:p>
        </w:tc>
        <w:tc>
          <w:tcPr>
            <w:tcW w:type="dxa" w:w="1080"/>
            <w:shd w:fill="172554"/>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jc w:val="center"/>
            </w:pPr>
            <w:r>
              <w:rPr>
                <w:rFonts w:ascii="Aptos" w:hAnsi="Aptos"/>
                <w:b/>
                <w:color w:val="FFFFFF"/>
                <w:sz w:val="15"/>
              </w:rPr>
              <w:t>Origin</w:t>
            </w:r>
          </w:p>
        </w:tc>
      </w:tr>
      <w:tr>
        <w:trPr>
          <w:cantSplit/>
        </w:trPr>
        <w:tc>
          <w:tcPr>
            <w:tcW w:type="dxa" w:w="720"/>
            <w:shd w:fill="FFFF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NR-01</w:t>
            </w:r>
          </w:p>
        </w:tc>
        <w:tc>
          <w:tcPr>
            <w:tcW w:type="dxa" w:w="5400"/>
            <w:shd w:fill="FFFF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Long-lived audit logs provide durable proof of student actions beyond security need</w:t>
            </w:r>
          </w:p>
        </w:tc>
        <w:tc>
          <w:tcPr>
            <w:tcW w:type="dxa" w:w="1152"/>
            <w:shd w:fill="FFFF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3 × 3 = 9</w:t>
            </w:r>
          </w:p>
        </w:tc>
        <w:tc>
          <w:tcPr>
            <w:tcW w:type="dxa" w:w="1037"/>
            <w:shd w:fill="FFFF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Medium</w:t>
            </w:r>
          </w:p>
        </w:tc>
        <w:tc>
          <w:tcPr>
            <w:tcW w:type="dxa" w:w="1152"/>
            <w:shd w:fill="FFFF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C07 C10</w:t>
            </w:r>
          </w:p>
        </w:tc>
        <w:tc>
          <w:tcPr>
            <w:tcW w:type="dxa" w:w="1080"/>
            <w:shd w:fill="FFFF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Extension</w:t>
            </w:r>
          </w:p>
        </w:tc>
      </w:tr>
      <w:tr>
        <w:trPr>
          <w:cantSplit/>
        </w:trPr>
        <w:tc>
          <w:tcPr>
            <w:tcW w:type="dxa" w:w="720"/>
            <w:shd w:fill="EFF6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NR-02</w:t>
            </w:r>
          </w:p>
        </w:tc>
        <w:tc>
          <w:tcPr>
            <w:tcW w:type="dxa" w:w="5400"/>
            <w:shd w:fill="EFF6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SMS delivery metadata can bind a phone number timestamp and verification event to a student</w:t>
            </w:r>
          </w:p>
        </w:tc>
        <w:tc>
          <w:tcPr>
            <w:tcW w:type="dxa" w:w="1152"/>
            <w:shd w:fill="EFF6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3 × 3 = 9</w:t>
            </w:r>
          </w:p>
        </w:tc>
        <w:tc>
          <w:tcPr>
            <w:tcW w:type="dxa" w:w="1037"/>
            <w:shd w:fill="EFF6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Medium</w:t>
            </w:r>
          </w:p>
        </w:tc>
        <w:tc>
          <w:tcPr>
            <w:tcW w:type="dxa" w:w="1152"/>
            <w:shd w:fill="EFF6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C07 C08</w:t>
            </w:r>
          </w:p>
        </w:tc>
        <w:tc>
          <w:tcPr>
            <w:tcW w:type="dxa" w:w="1080"/>
            <w:shd w:fill="EFF6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Extension</w:t>
            </w:r>
          </w:p>
        </w:tc>
      </w:tr>
    </w:tbl>
    <w:p>
      <w:pPr>
        <w:spacing w:after="40"/>
      </w:pPr>
    </w:p>
    <w:p>
      <w:pPr>
        <w:pStyle w:val="Heading2"/>
        <w:keepNext/>
      </w:pPr>
      <w:r>
        <w:t>Detectability</w:t>
      </w:r>
    </w:p>
    <w:tbl>
      <w:tblPr>
        <w:tblStyle w:val="TableGrid"/>
        <w:tblW w:type="auto" w:w="0"/>
        <w:jc w:val="center"/>
        <w:tblLayout w:type="fixed"/>
        <w:tblLook w:firstColumn="1" w:firstRow="1" w:lastColumn="0" w:lastRow="0" w:noHBand="0" w:noVBand="1" w:val="04A0"/>
      </w:tblPr>
      <w:tblGrid>
        <w:gridCol w:w="1666"/>
        <w:gridCol w:w="1666"/>
        <w:gridCol w:w="1666"/>
        <w:gridCol w:w="1666"/>
        <w:gridCol w:w="1666"/>
        <w:gridCol w:w="1666"/>
      </w:tblGrid>
      <w:tr>
        <w:trPr>
          <w:tblHeader w:val="true"/>
        </w:trPr>
        <w:tc>
          <w:tcPr>
            <w:tcW w:type="dxa" w:w="720"/>
            <w:shd w:fill="172554"/>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jc w:val="center"/>
            </w:pPr>
            <w:r>
              <w:rPr>
                <w:rFonts w:ascii="Aptos" w:hAnsi="Aptos"/>
                <w:b/>
                <w:color w:val="FFFFFF"/>
                <w:sz w:val="15"/>
              </w:rPr>
              <w:t>ID</w:t>
            </w:r>
          </w:p>
        </w:tc>
        <w:tc>
          <w:tcPr>
            <w:tcW w:type="dxa" w:w="5400"/>
            <w:shd w:fill="172554"/>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jc w:val="center"/>
            </w:pPr>
            <w:r>
              <w:rPr>
                <w:rFonts w:ascii="Aptos" w:hAnsi="Aptos"/>
                <w:b/>
                <w:color w:val="FFFFFF"/>
                <w:sz w:val="15"/>
              </w:rPr>
              <w:t>Scenario</w:t>
            </w:r>
          </w:p>
        </w:tc>
        <w:tc>
          <w:tcPr>
            <w:tcW w:type="dxa" w:w="1152"/>
            <w:shd w:fill="172554"/>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jc w:val="center"/>
            </w:pPr>
            <w:r>
              <w:rPr>
                <w:rFonts w:ascii="Aptos" w:hAnsi="Aptos"/>
                <w:b/>
                <w:color w:val="FFFFFF"/>
                <w:sz w:val="15"/>
              </w:rPr>
              <w:t>L × I</w:t>
            </w:r>
          </w:p>
        </w:tc>
        <w:tc>
          <w:tcPr>
            <w:tcW w:type="dxa" w:w="1037"/>
            <w:shd w:fill="172554"/>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jc w:val="center"/>
            </w:pPr>
            <w:r>
              <w:rPr>
                <w:rFonts w:ascii="Aptos" w:hAnsi="Aptos"/>
                <w:b/>
                <w:color w:val="FFFFFF"/>
                <w:sz w:val="15"/>
              </w:rPr>
              <w:t>Priority</w:t>
            </w:r>
          </w:p>
        </w:tc>
        <w:tc>
          <w:tcPr>
            <w:tcW w:type="dxa" w:w="1152"/>
            <w:shd w:fill="172554"/>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jc w:val="center"/>
            </w:pPr>
            <w:r>
              <w:rPr>
                <w:rFonts w:ascii="Aptos" w:hAnsi="Aptos"/>
                <w:b/>
                <w:color w:val="FFFFFF"/>
                <w:sz w:val="15"/>
              </w:rPr>
              <w:t>Controls</w:t>
            </w:r>
          </w:p>
        </w:tc>
        <w:tc>
          <w:tcPr>
            <w:tcW w:type="dxa" w:w="1080"/>
            <w:shd w:fill="172554"/>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jc w:val="center"/>
            </w:pPr>
            <w:r>
              <w:rPr>
                <w:rFonts w:ascii="Aptos" w:hAnsi="Aptos"/>
                <w:b/>
                <w:color w:val="FFFFFF"/>
                <w:sz w:val="15"/>
              </w:rPr>
              <w:t>Origin</w:t>
            </w:r>
          </w:p>
        </w:tc>
      </w:tr>
      <w:tr>
        <w:trPr>
          <w:cantSplit/>
        </w:trPr>
        <w:tc>
          <w:tcPr>
            <w:tcW w:type="dxa" w:w="720"/>
            <w:shd w:fill="FFFF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D-01</w:t>
            </w:r>
          </w:p>
        </w:tc>
        <w:tc>
          <w:tcPr>
            <w:tcW w:type="dxa" w:w="5400"/>
            <w:shd w:fill="FFFF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Traffic timing and message patterns reveal that a student used a sensitive service even when content is encrypted</w:t>
            </w:r>
          </w:p>
        </w:tc>
        <w:tc>
          <w:tcPr>
            <w:tcW w:type="dxa" w:w="1152"/>
            <w:shd w:fill="FFFF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3 × 3 = 9</w:t>
            </w:r>
          </w:p>
        </w:tc>
        <w:tc>
          <w:tcPr>
            <w:tcW w:type="dxa" w:w="1037"/>
            <w:shd w:fill="FFFF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Medium</w:t>
            </w:r>
          </w:p>
        </w:tc>
        <w:tc>
          <w:tcPr>
            <w:tcW w:type="dxa" w:w="1152"/>
            <w:shd w:fill="FFFF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C07 C11</w:t>
            </w:r>
          </w:p>
        </w:tc>
        <w:tc>
          <w:tcPr>
            <w:tcW w:type="dxa" w:w="1080"/>
            <w:shd w:fill="FFFF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Extension</w:t>
            </w:r>
          </w:p>
        </w:tc>
      </w:tr>
      <w:tr>
        <w:trPr>
          <w:cantSplit/>
        </w:trPr>
        <w:tc>
          <w:tcPr>
            <w:tcW w:type="dxa" w:w="720"/>
            <w:shd w:fill="EFF6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D-02</w:t>
            </w:r>
          </w:p>
        </w:tc>
        <w:tc>
          <w:tcPr>
            <w:tcW w:type="dxa" w:w="5400"/>
            <w:shd w:fill="EFF6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Backup size and timing reveal operational cycles and high-activity academic periods</w:t>
            </w:r>
          </w:p>
        </w:tc>
        <w:tc>
          <w:tcPr>
            <w:tcW w:type="dxa" w:w="1152"/>
            <w:shd w:fill="EFF6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2 × 2 = 4</w:t>
            </w:r>
          </w:p>
        </w:tc>
        <w:tc>
          <w:tcPr>
            <w:tcW w:type="dxa" w:w="1037"/>
            <w:shd w:fill="EFF6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Low</w:t>
            </w:r>
          </w:p>
        </w:tc>
        <w:tc>
          <w:tcPr>
            <w:tcW w:type="dxa" w:w="1152"/>
            <w:shd w:fill="EFF6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C04 C08</w:t>
            </w:r>
          </w:p>
        </w:tc>
        <w:tc>
          <w:tcPr>
            <w:tcW w:type="dxa" w:w="1080"/>
            <w:shd w:fill="EFF6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Extension</w:t>
            </w:r>
          </w:p>
        </w:tc>
      </w:tr>
    </w:tbl>
    <w:p>
      <w:pPr>
        <w:spacing w:after="40"/>
      </w:pPr>
    </w:p>
    <w:p>
      <w:pPr>
        <w:pStyle w:val="Heading2"/>
        <w:keepNext/>
      </w:pPr>
      <w:r>
        <w:t>Data Disclosure</w:t>
      </w:r>
    </w:p>
    <w:tbl>
      <w:tblPr>
        <w:tblStyle w:val="TableGrid"/>
        <w:tblW w:type="auto" w:w="0"/>
        <w:jc w:val="center"/>
        <w:tblLayout w:type="fixed"/>
        <w:tblLook w:firstColumn="1" w:firstRow="1" w:lastColumn="0" w:lastRow="0" w:noHBand="0" w:noVBand="1" w:val="04A0"/>
      </w:tblPr>
      <w:tblGrid>
        <w:gridCol w:w="1666"/>
        <w:gridCol w:w="1666"/>
        <w:gridCol w:w="1666"/>
        <w:gridCol w:w="1666"/>
        <w:gridCol w:w="1666"/>
        <w:gridCol w:w="1666"/>
      </w:tblGrid>
      <w:tr>
        <w:trPr>
          <w:tblHeader w:val="true"/>
        </w:trPr>
        <w:tc>
          <w:tcPr>
            <w:tcW w:type="dxa" w:w="720"/>
            <w:shd w:fill="172554"/>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jc w:val="center"/>
            </w:pPr>
            <w:r>
              <w:rPr>
                <w:rFonts w:ascii="Aptos" w:hAnsi="Aptos"/>
                <w:b/>
                <w:color w:val="FFFFFF"/>
                <w:sz w:val="15"/>
              </w:rPr>
              <w:t>ID</w:t>
            </w:r>
          </w:p>
        </w:tc>
        <w:tc>
          <w:tcPr>
            <w:tcW w:type="dxa" w:w="5400"/>
            <w:shd w:fill="172554"/>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jc w:val="center"/>
            </w:pPr>
            <w:r>
              <w:rPr>
                <w:rFonts w:ascii="Aptos" w:hAnsi="Aptos"/>
                <w:b/>
                <w:color w:val="FFFFFF"/>
                <w:sz w:val="15"/>
              </w:rPr>
              <w:t>Scenario</w:t>
            </w:r>
          </w:p>
        </w:tc>
        <w:tc>
          <w:tcPr>
            <w:tcW w:type="dxa" w:w="1152"/>
            <w:shd w:fill="172554"/>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jc w:val="center"/>
            </w:pPr>
            <w:r>
              <w:rPr>
                <w:rFonts w:ascii="Aptos" w:hAnsi="Aptos"/>
                <w:b/>
                <w:color w:val="FFFFFF"/>
                <w:sz w:val="15"/>
              </w:rPr>
              <w:t>L × I</w:t>
            </w:r>
          </w:p>
        </w:tc>
        <w:tc>
          <w:tcPr>
            <w:tcW w:type="dxa" w:w="1037"/>
            <w:shd w:fill="172554"/>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jc w:val="center"/>
            </w:pPr>
            <w:r>
              <w:rPr>
                <w:rFonts w:ascii="Aptos" w:hAnsi="Aptos"/>
                <w:b/>
                <w:color w:val="FFFFFF"/>
                <w:sz w:val="15"/>
              </w:rPr>
              <w:t>Priority</w:t>
            </w:r>
          </w:p>
        </w:tc>
        <w:tc>
          <w:tcPr>
            <w:tcW w:type="dxa" w:w="1152"/>
            <w:shd w:fill="172554"/>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jc w:val="center"/>
            </w:pPr>
            <w:r>
              <w:rPr>
                <w:rFonts w:ascii="Aptos" w:hAnsi="Aptos"/>
                <w:b/>
                <w:color w:val="FFFFFF"/>
                <w:sz w:val="15"/>
              </w:rPr>
              <w:t>Controls</w:t>
            </w:r>
          </w:p>
        </w:tc>
        <w:tc>
          <w:tcPr>
            <w:tcW w:type="dxa" w:w="1080"/>
            <w:shd w:fill="172554"/>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jc w:val="center"/>
            </w:pPr>
            <w:r>
              <w:rPr>
                <w:rFonts w:ascii="Aptos" w:hAnsi="Aptos"/>
                <w:b/>
                <w:color w:val="FFFFFF"/>
                <w:sz w:val="15"/>
              </w:rPr>
              <w:t>Origin</w:t>
            </w:r>
          </w:p>
        </w:tc>
      </w:tr>
      <w:tr>
        <w:trPr>
          <w:cantSplit/>
        </w:trPr>
        <w:tc>
          <w:tcPr>
            <w:tcW w:type="dxa" w:w="720"/>
            <w:shd w:fill="FFFF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DD-01</w:t>
            </w:r>
          </w:p>
        </w:tc>
        <w:tc>
          <w:tcPr>
            <w:tcW w:type="dxa" w:w="5400"/>
            <w:shd w:fill="FFFF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Academic identity and transcript files leak during or after Bluetooth transfer</w:t>
            </w:r>
          </w:p>
        </w:tc>
        <w:tc>
          <w:tcPr>
            <w:tcW w:type="dxa" w:w="1152"/>
            <w:shd w:fill="FFFF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3 × 4 = 12</w:t>
            </w:r>
          </w:p>
        </w:tc>
        <w:tc>
          <w:tcPr>
            <w:tcW w:type="dxa" w:w="1037"/>
            <w:shd w:fill="FFFF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High</w:t>
            </w:r>
          </w:p>
        </w:tc>
        <w:tc>
          <w:tcPr>
            <w:tcW w:type="dxa" w:w="1152"/>
            <w:shd w:fill="FFFF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C06 C11</w:t>
            </w:r>
          </w:p>
        </w:tc>
        <w:tc>
          <w:tcPr>
            <w:tcW w:type="dxa" w:w="1080"/>
            <w:shd w:fill="FFFF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Extension</w:t>
            </w:r>
          </w:p>
        </w:tc>
      </w:tr>
      <w:tr>
        <w:trPr>
          <w:cantSplit/>
        </w:trPr>
        <w:tc>
          <w:tcPr>
            <w:tcW w:type="dxa" w:w="720"/>
            <w:shd w:fill="EFF6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DD-02</w:t>
            </w:r>
          </w:p>
        </w:tc>
        <w:tc>
          <w:tcPr>
            <w:tcW w:type="dxa" w:w="5400"/>
            <w:shd w:fill="EFF6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A cloud backup incident exposes complete student records</w:t>
            </w:r>
          </w:p>
        </w:tc>
        <w:tc>
          <w:tcPr>
            <w:tcW w:type="dxa" w:w="1152"/>
            <w:shd w:fill="EFF6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3 × 5 = 15</w:t>
            </w:r>
          </w:p>
        </w:tc>
        <w:tc>
          <w:tcPr>
            <w:tcW w:type="dxa" w:w="1037"/>
            <w:shd w:fill="EFF6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High</w:t>
            </w:r>
          </w:p>
        </w:tc>
        <w:tc>
          <w:tcPr>
            <w:tcW w:type="dxa" w:w="1152"/>
            <w:shd w:fill="EFF6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C04 C08 C12</w:t>
            </w:r>
          </w:p>
        </w:tc>
        <w:tc>
          <w:tcPr>
            <w:tcW w:type="dxa" w:w="1080"/>
            <w:shd w:fill="EFF6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Extension</w:t>
            </w:r>
          </w:p>
        </w:tc>
      </w:tr>
    </w:tbl>
    <w:p>
      <w:pPr>
        <w:spacing w:after="40"/>
      </w:pPr>
    </w:p>
    <w:p>
      <w:pPr>
        <w:pStyle w:val="Heading2"/>
        <w:keepNext/>
      </w:pPr>
      <w:r>
        <w:t>Unawareness</w:t>
      </w:r>
    </w:p>
    <w:tbl>
      <w:tblPr>
        <w:tblStyle w:val="TableGrid"/>
        <w:tblW w:type="auto" w:w="0"/>
        <w:jc w:val="center"/>
        <w:tblLayout w:type="fixed"/>
        <w:tblLook w:firstColumn="1" w:firstRow="1" w:lastColumn="0" w:lastRow="0" w:noHBand="0" w:noVBand="1" w:val="04A0"/>
      </w:tblPr>
      <w:tblGrid>
        <w:gridCol w:w="1666"/>
        <w:gridCol w:w="1666"/>
        <w:gridCol w:w="1666"/>
        <w:gridCol w:w="1666"/>
        <w:gridCol w:w="1666"/>
        <w:gridCol w:w="1666"/>
      </w:tblGrid>
      <w:tr>
        <w:trPr>
          <w:tblHeader w:val="true"/>
        </w:trPr>
        <w:tc>
          <w:tcPr>
            <w:tcW w:type="dxa" w:w="720"/>
            <w:shd w:fill="172554"/>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jc w:val="center"/>
            </w:pPr>
            <w:r>
              <w:rPr>
                <w:rFonts w:ascii="Aptos" w:hAnsi="Aptos"/>
                <w:b/>
                <w:color w:val="FFFFFF"/>
                <w:sz w:val="15"/>
              </w:rPr>
              <w:t>ID</w:t>
            </w:r>
          </w:p>
        </w:tc>
        <w:tc>
          <w:tcPr>
            <w:tcW w:type="dxa" w:w="5400"/>
            <w:shd w:fill="172554"/>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jc w:val="center"/>
            </w:pPr>
            <w:r>
              <w:rPr>
                <w:rFonts w:ascii="Aptos" w:hAnsi="Aptos"/>
                <w:b/>
                <w:color w:val="FFFFFF"/>
                <w:sz w:val="15"/>
              </w:rPr>
              <w:t>Scenario</w:t>
            </w:r>
          </w:p>
        </w:tc>
        <w:tc>
          <w:tcPr>
            <w:tcW w:type="dxa" w:w="1152"/>
            <w:shd w:fill="172554"/>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jc w:val="center"/>
            </w:pPr>
            <w:r>
              <w:rPr>
                <w:rFonts w:ascii="Aptos" w:hAnsi="Aptos"/>
                <w:b/>
                <w:color w:val="FFFFFF"/>
                <w:sz w:val="15"/>
              </w:rPr>
              <w:t>L × I</w:t>
            </w:r>
          </w:p>
        </w:tc>
        <w:tc>
          <w:tcPr>
            <w:tcW w:type="dxa" w:w="1037"/>
            <w:shd w:fill="172554"/>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jc w:val="center"/>
            </w:pPr>
            <w:r>
              <w:rPr>
                <w:rFonts w:ascii="Aptos" w:hAnsi="Aptos"/>
                <w:b/>
                <w:color w:val="FFFFFF"/>
                <w:sz w:val="15"/>
              </w:rPr>
              <w:t>Priority</w:t>
            </w:r>
          </w:p>
        </w:tc>
        <w:tc>
          <w:tcPr>
            <w:tcW w:type="dxa" w:w="1152"/>
            <w:shd w:fill="172554"/>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jc w:val="center"/>
            </w:pPr>
            <w:r>
              <w:rPr>
                <w:rFonts w:ascii="Aptos" w:hAnsi="Aptos"/>
                <w:b/>
                <w:color w:val="FFFFFF"/>
                <w:sz w:val="15"/>
              </w:rPr>
              <w:t>Controls</w:t>
            </w:r>
          </w:p>
        </w:tc>
        <w:tc>
          <w:tcPr>
            <w:tcW w:type="dxa" w:w="1080"/>
            <w:shd w:fill="172554"/>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jc w:val="center"/>
            </w:pPr>
            <w:r>
              <w:rPr>
                <w:rFonts w:ascii="Aptos" w:hAnsi="Aptos"/>
                <w:b/>
                <w:color w:val="FFFFFF"/>
                <w:sz w:val="15"/>
              </w:rPr>
              <w:t>Origin</w:t>
            </w:r>
          </w:p>
        </w:tc>
      </w:tr>
      <w:tr>
        <w:trPr>
          <w:cantSplit/>
        </w:trPr>
        <w:tc>
          <w:tcPr>
            <w:tcW w:type="dxa" w:w="720"/>
            <w:shd w:fill="FFFF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U-01</w:t>
            </w:r>
          </w:p>
        </w:tc>
        <w:tc>
          <w:tcPr>
            <w:tcW w:type="dxa" w:w="5400"/>
            <w:shd w:fill="FFFF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Students do not receive clear notice that their records are copied to a cloud service</w:t>
            </w:r>
          </w:p>
        </w:tc>
        <w:tc>
          <w:tcPr>
            <w:tcW w:type="dxa" w:w="1152"/>
            <w:shd w:fill="FFFF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4 × 4 = 16</w:t>
            </w:r>
          </w:p>
        </w:tc>
        <w:tc>
          <w:tcPr>
            <w:tcW w:type="dxa" w:w="1037"/>
            <w:shd w:fill="FFFF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High</w:t>
            </w:r>
          </w:p>
        </w:tc>
        <w:tc>
          <w:tcPr>
            <w:tcW w:type="dxa" w:w="1152"/>
            <w:shd w:fill="FFFF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C09</w:t>
            </w:r>
          </w:p>
        </w:tc>
        <w:tc>
          <w:tcPr>
            <w:tcW w:type="dxa" w:w="1080"/>
            <w:shd w:fill="FFFF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Original</w:t>
            </w:r>
          </w:p>
        </w:tc>
      </w:tr>
      <w:tr>
        <w:trPr>
          <w:cantSplit/>
        </w:trPr>
        <w:tc>
          <w:tcPr>
            <w:tcW w:type="dxa" w:w="720"/>
            <w:shd w:fill="EFF6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U-02</w:t>
            </w:r>
          </w:p>
        </w:tc>
        <w:tc>
          <w:tcPr>
            <w:tcW w:type="dxa" w:w="5400"/>
            <w:shd w:fill="EFF6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Students do not understand what the SMS provider receives or retains</w:t>
            </w:r>
          </w:p>
        </w:tc>
        <w:tc>
          <w:tcPr>
            <w:tcW w:type="dxa" w:w="1152"/>
            <w:shd w:fill="EFF6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3 × 3 = 9</w:t>
            </w:r>
          </w:p>
        </w:tc>
        <w:tc>
          <w:tcPr>
            <w:tcW w:type="dxa" w:w="1037"/>
            <w:shd w:fill="EFF6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Medium</w:t>
            </w:r>
          </w:p>
        </w:tc>
        <w:tc>
          <w:tcPr>
            <w:tcW w:type="dxa" w:w="1152"/>
            <w:shd w:fill="EFF6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C09</w:t>
            </w:r>
          </w:p>
        </w:tc>
        <w:tc>
          <w:tcPr>
            <w:tcW w:type="dxa" w:w="1080"/>
            <w:shd w:fill="EFF6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Original</w:t>
            </w:r>
          </w:p>
        </w:tc>
      </w:tr>
      <w:tr>
        <w:trPr>
          <w:cantSplit/>
        </w:trPr>
        <w:tc>
          <w:tcPr>
            <w:tcW w:type="dxa" w:w="720"/>
            <w:shd w:fill="FFFF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U-03</w:t>
            </w:r>
          </w:p>
        </w:tc>
        <w:tc>
          <w:tcPr>
            <w:tcW w:type="dxa" w:w="5400"/>
            <w:shd w:fill="FFFF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Instructors do not understand the limits on their access to student data</w:t>
            </w:r>
          </w:p>
        </w:tc>
        <w:tc>
          <w:tcPr>
            <w:tcW w:type="dxa" w:w="1152"/>
            <w:shd w:fill="FFFF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3 × 3 = 9</w:t>
            </w:r>
          </w:p>
        </w:tc>
        <w:tc>
          <w:tcPr>
            <w:tcW w:type="dxa" w:w="1037"/>
            <w:shd w:fill="FFFF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Medium</w:t>
            </w:r>
          </w:p>
        </w:tc>
        <w:tc>
          <w:tcPr>
            <w:tcW w:type="dxa" w:w="1152"/>
            <w:shd w:fill="FFFF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C03 C10</w:t>
            </w:r>
          </w:p>
        </w:tc>
        <w:tc>
          <w:tcPr>
            <w:tcW w:type="dxa" w:w="1080"/>
            <w:shd w:fill="FFFF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Original</w:t>
            </w:r>
          </w:p>
        </w:tc>
      </w:tr>
      <w:tr>
        <w:trPr>
          <w:cantSplit/>
        </w:trPr>
        <w:tc>
          <w:tcPr>
            <w:tcW w:type="dxa" w:w="720"/>
            <w:shd w:fill="EFF6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U-04</w:t>
            </w:r>
          </w:p>
        </w:tc>
        <w:tc>
          <w:tcPr>
            <w:tcW w:type="dxa" w:w="5400"/>
            <w:shd w:fill="EFF6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Students are not informed when registry staff process requests on their behalf</w:t>
            </w:r>
          </w:p>
        </w:tc>
        <w:tc>
          <w:tcPr>
            <w:tcW w:type="dxa" w:w="1152"/>
            <w:shd w:fill="EFF6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2 × 3 = 6</w:t>
            </w:r>
          </w:p>
        </w:tc>
        <w:tc>
          <w:tcPr>
            <w:tcW w:type="dxa" w:w="1037"/>
            <w:shd w:fill="EFF6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Medium</w:t>
            </w:r>
          </w:p>
        </w:tc>
        <w:tc>
          <w:tcPr>
            <w:tcW w:type="dxa" w:w="1152"/>
            <w:shd w:fill="EFF6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C09 C10</w:t>
            </w:r>
          </w:p>
        </w:tc>
        <w:tc>
          <w:tcPr>
            <w:tcW w:type="dxa" w:w="1080"/>
            <w:shd w:fill="EFF6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Original</w:t>
            </w:r>
          </w:p>
        </w:tc>
      </w:tr>
    </w:tbl>
    <w:p>
      <w:pPr>
        <w:spacing w:after="40"/>
      </w:pPr>
    </w:p>
    <w:p>
      <w:pPr>
        <w:pStyle w:val="Heading2"/>
        <w:keepNext/>
      </w:pPr>
      <w:r>
        <w:t>Non-compliance</w:t>
      </w:r>
    </w:p>
    <w:tbl>
      <w:tblPr>
        <w:tblStyle w:val="TableGrid"/>
        <w:tblW w:type="auto" w:w="0"/>
        <w:jc w:val="center"/>
        <w:tblLayout w:type="fixed"/>
        <w:tblLook w:firstColumn="1" w:firstRow="1" w:lastColumn="0" w:lastRow="0" w:noHBand="0" w:noVBand="1" w:val="04A0"/>
      </w:tblPr>
      <w:tblGrid>
        <w:gridCol w:w="1666"/>
        <w:gridCol w:w="1666"/>
        <w:gridCol w:w="1666"/>
        <w:gridCol w:w="1666"/>
        <w:gridCol w:w="1666"/>
        <w:gridCol w:w="1666"/>
      </w:tblGrid>
      <w:tr>
        <w:trPr>
          <w:tblHeader w:val="true"/>
        </w:trPr>
        <w:tc>
          <w:tcPr>
            <w:tcW w:type="dxa" w:w="720"/>
            <w:shd w:fill="172554"/>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jc w:val="center"/>
            </w:pPr>
            <w:r>
              <w:rPr>
                <w:rFonts w:ascii="Aptos" w:hAnsi="Aptos"/>
                <w:b/>
                <w:color w:val="FFFFFF"/>
                <w:sz w:val="15"/>
              </w:rPr>
              <w:t>ID</w:t>
            </w:r>
          </w:p>
        </w:tc>
        <w:tc>
          <w:tcPr>
            <w:tcW w:type="dxa" w:w="5400"/>
            <w:shd w:fill="172554"/>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jc w:val="center"/>
            </w:pPr>
            <w:r>
              <w:rPr>
                <w:rFonts w:ascii="Aptos" w:hAnsi="Aptos"/>
                <w:b/>
                <w:color w:val="FFFFFF"/>
                <w:sz w:val="15"/>
              </w:rPr>
              <w:t>Scenario</w:t>
            </w:r>
          </w:p>
        </w:tc>
        <w:tc>
          <w:tcPr>
            <w:tcW w:type="dxa" w:w="1152"/>
            <w:shd w:fill="172554"/>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jc w:val="center"/>
            </w:pPr>
            <w:r>
              <w:rPr>
                <w:rFonts w:ascii="Aptos" w:hAnsi="Aptos"/>
                <w:b/>
                <w:color w:val="FFFFFF"/>
                <w:sz w:val="15"/>
              </w:rPr>
              <w:t>L × I</w:t>
            </w:r>
          </w:p>
        </w:tc>
        <w:tc>
          <w:tcPr>
            <w:tcW w:type="dxa" w:w="1037"/>
            <w:shd w:fill="172554"/>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jc w:val="center"/>
            </w:pPr>
            <w:r>
              <w:rPr>
                <w:rFonts w:ascii="Aptos" w:hAnsi="Aptos"/>
                <w:b/>
                <w:color w:val="FFFFFF"/>
                <w:sz w:val="15"/>
              </w:rPr>
              <w:t>Priority</w:t>
            </w:r>
          </w:p>
        </w:tc>
        <w:tc>
          <w:tcPr>
            <w:tcW w:type="dxa" w:w="1152"/>
            <w:shd w:fill="172554"/>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jc w:val="center"/>
            </w:pPr>
            <w:r>
              <w:rPr>
                <w:rFonts w:ascii="Aptos" w:hAnsi="Aptos"/>
                <w:b/>
                <w:color w:val="FFFFFF"/>
                <w:sz w:val="15"/>
              </w:rPr>
              <w:t>Controls</w:t>
            </w:r>
          </w:p>
        </w:tc>
        <w:tc>
          <w:tcPr>
            <w:tcW w:type="dxa" w:w="1080"/>
            <w:shd w:fill="172554"/>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jc w:val="center"/>
            </w:pPr>
            <w:r>
              <w:rPr>
                <w:rFonts w:ascii="Aptos" w:hAnsi="Aptos"/>
                <w:b/>
                <w:color w:val="FFFFFF"/>
                <w:sz w:val="15"/>
              </w:rPr>
              <w:t>Origin</w:t>
            </w:r>
          </w:p>
        </w:tc>
      </w:tr>
      <w:tr>
        <w:trPr>
          <w:cantSplit/>
        </w:trPr>
        <w:tc>
          <w:tcPr>
            <w:tcW w:type="dxa" w:w="720"/>
            <w:shd w:fill="FFFF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NC-01</w:t>
            </w:r>
          </w:p>
        </w:tc>
        <w:tc>
          <w:tcPr>
            <w:tcW w:type="dxa" w:w="5400"/>
            <w:shd w:fill="FFFF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Retention and access rules are not demonstrably mapped to each data class and purpose</w:t>
            </w:r>
          </w:p>
        </w:tc>
        <w:tc>
          <w:tcPr>
            <w:tcW w:type="dxa" w:w="1152"/>
            <w:shd w:fill="FFFF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3 × 4 = 12</w:t>
            </w:r>
          </w:p>
        </w:tc>
        <w:tc>
          <w:tcPr>
            <w:tcW w:type="dxa" w:w="1037"/>
            <w:shd w:fill="FFFF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High</w:t>
            </w:r>
          </w:p>
        </w:tc>
        <w:tc>
          <w:tcPr>
            <w:tcW w:type="dxa" w:w="1152"/>
            <w:shd w:fill="FFFF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C07 C10 C12</w:t>
            </w:r>
          </w:p>
        </w:tc>
        <w:tc>
          <w:tcPr>
            <w:tcW w:type="dxa" w:w="1080"/>
            <w:shd w:fill="FFFF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Extension</w:t>
            </w:r>
          </w:p>
        </w:tc>
      </w:tr>
      <w:tr>
        <w:trPr>
          <w:cantSplit/>
        </w:trPr>
        <w:tc>
          <w:tcPr>
            <w:tcW w:type="dxa" w:w="720"/>
            <w:shd w:fill="EFF6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NC-02</w:t>
            </w:r>
          </w:p>
        </w:tc>
        <w:tc>
          <w:tcPr>
            <w:tcW w:type="dxa" w:w="5400"/>
            <w:shd w:fill="EFF6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Cloud and SMS processing lacks complete evidence for contracts transfers subprocessors and deletion</w:t>
            </w:r>
          </w:p>
        </w:tc>
        <w:tc>
          <w:tcPr>
            <w:tcW w:type="dxa" w:w="1152"/>
            <w:shd w:fill="EFF6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3 × 5 = 15</w:t>
            </w:r>
          </w:p>
        </w:tc>
        <w:tc>
          <w:tcPr>
            <w:tcW w:type="dxa" w:w="1037"/>
            <w:shd w:fill="EFF6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High</w:t>
            </w:r>
          </w:p>
        </w:tc>
        <w:tc>
          <w:tcPr>
            <w:tcW w:type="dxa" w:w="1152"/>
            <w:shd w:fill="EFF6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C08 C12</w:t>
            </w:r>
          </w:p>
        </w:tc>
        <w:tc>
          <w:tcPr>
            <w:tcW w:type="dxa" w:w="1080"/>
            <w:shd w:fill="EFF6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Extension</w:t>
            </w:r>
          </w:p>
        </w:tc>
      </w:tr>
    </w:tbl>
    <w:p>
      <w:pPr>
        <w:spacing w:after="40"/>
      </w:pPr>
    </w:p>
    <w:p>
      <w:pPr>
        <w:pStyle w:val="Heading1"/>
        <w:keepNext/>
      </w:pPr>
      <w:r>
        <w:t>5 Privacy Requirements and Mitigations</w:t>
      </w:r>
    </w:p>
    <w:p>
      <w:r>
        <w:t>Each material threat becomes a requirement that the design can implement and the verification plan can test. The control portfolio uses the privacy design strategies of minimizing, hiding, separating, aggregating, informing, controlling, enforcing, and demonstrating [6].</w:t>
      </w:r>
    </w:p>
    <w:tbl>
      <w:tblPr>
        <w:tblStyle w:val="TableGrid"/>
        <w:tblW w:type="auto" w:w="0"/>
        <w:jc w:val="center"/>
        <w:tblLayout w:type="fixed"/>
        <w:tblLook w:firstColumn="1" w:firstRow="1" w:lastColumn="0" w:lastRow="0" w:noHBand="0" w:noVBand="1" w:val="04A0"/>
      </w:tblPr>
      <w:tblGrid>
        <w:gridCol w:w="1999"/>
        <w:gridCol w:w="1999"/>
        <w:gridCol w:w="1999"/>
        <w:gridCol w:w="1999"/>
        <w:gridCol w:w="1999"/>
      </w:tblGrid>
      <w:tr>
        <w:trPr>
          <w:tblHeader w:val="true"/>
        </w:trPr>
        <w:tc>
          <w:tcPr>
            <w:tcW w:type="dxa" w:w="691"/>
            <w:shd w:fill="172554"/>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jc w:val="center"/>
            </w:pPr>
            <w:r>
              <w:rPr>
                <w:rFonts w:ascii="Aptos" w:hAnsi="Aptos"/>
                <w:b/>
                <w:color w:val="FFFFFF"/>
                <w:sz w:val="15"/>
              </w:rPr>
              <w:t>ID</w:t>
            </w:r>
          </w:p>
        </w:tc>
        <w:tc>
          <w:tcPr>
            <w:tcW w:type="dxa" w:w="4752"/>
            <w:shd w:fill="172554"/>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jc w:val="center"/>
            </w:pPr>
            <w:r>
              <w:rPr>
                <w:rFonts w:ascii="Aptos" w:hAnsi="Aptos"/>
                <w:b/>
                <w:color w:val="FFFFFF"/>
                <w:sz w:val="15"/>
              </w:rPr>
              <w:t>Control</w:t>
            </w:r>
          </w:p>
        </w:tc>
        <w:tc>
          <w:tcPr>
            <w:tcW w:type="dxa" w:w="1800"/>
            <w:shd w:fill="172554"/>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jc w:val="center"/>
            </w:pPr>
            <w:r>
              <w:rPr>
                <w:rFonts w:ascii="Aptos" w:hAnsi="Aptos"/>
                <w:b/>
                <w:color w:val="FFFFFF"/>
                <w:sz w:val="15"/>
              </w:rPr>
              <w:t>Strategy</w:t>
            </w:r>
          </w:p>
        </w:tc>
        <w:tc>
          <w:tcPr>
            <w:tcW w:type="dxa" w:w="1872"/>
            <w:shd w:fill="172554"/>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jc w:val="center"/>
            </w:pPr>
            <w:r>
              <w:rPr>
                <w:rFonts w:ascii="Aptos" w:hAnsi="Aptos"/>
                <w:b/>
                <w:color w:val="FFFFFF"/>
                <w:sz w:val="15"/>
              </w:rPr>
              <w:t>Owner</w:t>
            </w:r>
          </w:p>
        </w:tc>
        <w:tc>
          <w:tcPr>
            <w:tcW w:type="dxa" w:w="1008"/>
            <w:shd w:fill="172554"/>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jc w:val="center"/>
            </w:pPr>
            <w:r>
              <w:rPr>
                <w:rFonts w:ascii="Aptos" w:hAnsi="Aptos"/>
                <w:b/>
                <w:color w:val="FFFFFF"/>
                <w:sz w:val="15"/>
              </w:rPr>
              <w:t>Priority</w:t>
            </w:r>
          </w:p>
        </w:tc>
      </w:tr>
      <w:tr>
        <w:trPr>
          <w:cantSplit/>
        </w:trPr>
        <w:tc>
          <w:tcPr>
            <w:tcW w:type="dxa" w:w="691"/>
            <w:shd w:fill="FFFF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C01</w:t>
            </w:r>
          </w:p>
        </w:tc>
        <w:tc>
          <w:tcPr>
            <w:tcW w:type="dxa" w:w="4752"/>
            <w:shd w:fill="FFFF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Collect and expose only required attributes</w:t>
            </w:r>
          </w:p>
        </w:tc>
        <w:tc>
          <w:tcPr>
            <w:tcW w:type="dxa" w:w="1800"/>
            <w:shd w:fill="FFFF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Minimize</w:t>
            </w:r>
          </w:p>
        </w:tc>
        <w:tc>
          <w:tcPr>
            <w:tcW w:type="dxa" w:w="1872"/>
            <w:shd w:fill="FFFF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Product and data owners</w:t>
            </w:r>
          </w:p>
        </w:tc>
        <w:tc>
          <w:tcPr>
            <w:tcW w:type="dxa" w:w="1008"/>
            <w:shd w:fill="FFFF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Critical</w:t>
            </w:r>
          </w:p>
        </w:tc>
      </w:tr>
      <w:tr>
        <w:trPr>
          <w:cantSplit/>
        </w:trPr>
        <w:tc>
          <w:tcPr>
            <w:tcW w:type="dxa" w:w="691"/>
            <w:shd w:fill="EFF6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C02</w:t>
            </w:r>
          </w:p>
        </w:tc>
        <w:tc>
          <w:tcPr>
            <w:tcW w:type="dxa" w:w="4752"/>
            <w:shd w:fill="EFF6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Use purpose-scoped pseudonymous identifiers</w:t>
            </w:r>
          </w:p>
        </w:tc>
        <w:tc>
          <w:tcPr>
            <w:tcW w:type="dxa" w:w="1800"/>
            <w:shd w:fill="EFF6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Separate and minimize</w:t>
            </w:r>
          </w:p>
        </w:tc>
        <w:tc>
          <w:tcPr>
            <w:tcW w:type="dxa" w:w="1872"/>
            <w:shd w:fill="EFF6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Solution architect</w:t>
            </w:r>
          </w:p>
        </w:tc>
        <w:tc>
          <w:tcPr>
            <w:tcW w:type="dxa" w:w="1008"/>
            <w:shd w:fill="EFF6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High</w:t>
            </w:r>
          </w:p>
        </w:tc>
      </w:tr>
      <w:tr>
        <w:trPr>
          <w:cantSplit/>
        </w:trPr>
        <w:tc>
          <w:tcPr>
            <w:tcW w:type="dxa" w:w="691"/>
            <w:shd w:fill="FFFF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C03</w:t>
            </w:r>
          </w:p>
        </w:tc>
        <w:tc>
          <w:tcPr>
            <w:tcW w:type="dxa" w:w="4752"/>
            <w:shd w:fill="FFFF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Enforce role and field level authorization</w:t>
            </w:r>
          </w:p>
        </w:tc>
        <w:tc>
          <w:tcPr>
            <w:tcW w:type="dxa" w:w="1800"/>
            <w:shd w:fill="FFFF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Control and enforce</w:t>
            </w:r>
          </w:p>
        </w:tc>
        <w:tc>
          <w:tcPr>
            <w:tcW w:type="dxa" w:w="1872"/>
            <w:shd w:fill="FFFF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IAM owner</w:t>
            </w:r>
          </w:p>
        </w:tc>
        <w:tc>
          <w:tcPr>
            <w:tcW w:type="dxa" w:w="1008"/>
            <w:shd w:fill="FFFF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Critical</w:t>
            </w:r>
          </w:p>
        </w:tc>
      </w:tr>
      <w:tr>
        <w:trPr>
          <w:cantSplit/>
        </w:trPr>
        <w:tc>
          <w:tcPr>
            <w:tcW w:type="dxa" w:w="691"/>
            <w:shd w:fill="EFF6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C04</w:t>
            </w:r>
          </w:p>
        </w:tc>
        <w:tc>
          <w:tcPr>
            <w:tcW w:type="dxa" w:w="4752"/>
            <w:shd w:fill="EFF6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Encrypt and isolate backups under university key control</w:t>
            </w:r>
          </w:p>
        </w:tc>
        <w:tc>
          <w:tcPr>
            <w:tcW w:type="dxa" w:w="1800"/>
            <w:shd w:fill="EFF6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Hide and separate</w:t>
            </w:r>
          </w:p>
        </w:tc>
        <w:tc>
          <w:tcPr>
            <w:tcW w:type="dxa" w:w="1872"/>
            <w:shd w:fill="EFF6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Infrastructure owner</w:t>
            </w:r>
          </w:p>
        </w:tc>
        <w:tc>
          <w:tcPr>
            <w:tcW w:type="dxa" w:w="1008"/>
            <w:shd w:fill="EFF6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Critical</w:t>
            </w:r>
          </w:p>
        </w:tc>
      </w:tr>
      <w:tr>
        <w:trPr>
          <w:cantSplit/>
        </w:trPr>
        <w:tc>
          <w:tcPr>
            <w:tcW w:type="dxa" w:w="691"/>
            <w:shd w:fill="FFFF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C05</w:t>
            </w:r>
          </w:p>
        </w:tc>
        <w:tc>
          <w:tcPr>
            <w:tcW w:type="dxa" w:w="4752"/>
            <w:shd w:fill="FFFF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Suppress or generalize small-cohort statistics</w:t>
            </w:r>
          </w:p>
        </w:tc>
        <w:tc>
          <w:tcPr>
            <w:tcW w:type="dxa" w:w="1800"/>
            <w:shd w:fill="FFFF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Aggregate and minimize</w:t>
            </w:r>
          </w:p>
        </w:tc>
        <w:tc>
          <w:tcPr>
            <w:tcW w:type="dxa" w:w="1872"/>
            <w:shd w:fill="FFFF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Analytics owner</w:t>
            </w:r>
          </w:p>
        </w:tc>
        <w:tc>
          <w:tcPr>
            <w:tcW w:type="dxa" w:w="1008"/>
            <w:shd w:fill="FFFF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High</w:t>
            </w:r>
          </w:p>
        </w:tc>
      </w:tr>
      <w:tr>
        <w:trPr>
          <w:cantSplit/>
        </w:trPr>
        <w:tc>
          <w:tcPr>
            <w:tcW w:type="dxa" w:w="691"/>
            <w:shd w:fill="EFF6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C06</w:t>
            </w:r>
          </w:p>
        </w:tc>
        <w:tc>
          <w:tcPr>
            <w:tcW w:type="dxa" w:w="4752"/>
            <w:shd w:fill="EFF6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Replace Bluetooth with encrypted expiring export</w:t>
            </w:r>
          </w:p>
        </w:tc>
        <w:tc>
          <w:tcPr>
            <w:tcW w:type="dxa" w:w="1800"/>
            <w:shd w:fill="EFF6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Hide and control</w:t>
            </w:r>
          </w:p>
        </w:tc>
        <w:tc>
          <w:tcPr>
            <w:tcW w:type="dxa" w:w="1872"/>
            <w:shd w:fill="EFF6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Product owner</w:t>
            </w:r>
          </w:p>
        </w:tc>
        <w:tc>
          <w:tcPr>
            <w:tcW w:type="dxa" w:w="1008"/>
            <w:shd w:fill="EFF6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High</w:t>
            </w:r>
          </w:p>
        </w:tc>
      </w:tr>
      <w:tr>
        <w:trPr>
          <w:cantSplit/>
        </w:trPr>
        <w:tc>
          <w:tcPr>
            <w:tcW w:type="dxa" w:w="691"/>
            <w:shd w:fill="FFFF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C07</w:t>
            </w:r>
          </w:p>
        </w:tc>
        <w:tc>
          <w:tcPr>
            <w:tcW w:type="dxa" w:w="4752"/>
            <w:shd w:fill="FFFF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Apply purpose-based retention to records logs SMS and backups</w:t>
            </w:r>
          </w:p>
        </w:tc>
        <w:tc>
          <w:tcPr>
            <w:tcW w:type="dxa" w:w="1800"/>
            <w:shd w:fill="FFFF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Minimize and enforce</w:t>
            </w:r>
          </w:p>
        </w:tc>
        <w:tc>
          <w:tcPr>
            <w:tcW w:type="dxa" w:w="1872"/>
            <w:shd w:fill="FFFF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Data owner and DPO</w:t>
            </w:r>
          </w:p>
        </w:tc>
        <w:tc>
          <w:tcPr>
            <w:tcW w:type="dxa" w:w="1008"/>
            <w:shd w:fill="FFFF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High</w:t>
            </w:r>
          </w:p>
        </w:tc>
      </w:tr>
      <w:tr>
        <w:trPr>
          <w:cantSplit/>
        </w:trPr>
        <w:tc>
          <w:tcPr>
            <w:tcW w:type="dxa" w:w="691"/>
            <w:shd w:fill="EFF6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C08</w:t>
            </w:r>
          </w:p>
        </w:tc>
        <w:tc>
          <w:tcPr>
            <w:tcW w:type="dxa" w:w="4752"/>
            <w:shd w:fill="EFF6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Govern cloud and SMS processors with current evidence</w:t>
            </w:r>
          </w:p>
        </w:tc>
        <w:tc>
          <w:tcPr>
            <w:tcW w:type="dxa" w:w="1800"/>
            <w:shd w:fill="EFF6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Enforce and demonstrate</w:t>
            </w:r>
          </w:p>
        </w:tc>
        <w:tc>
          <w:tcPr>
            <w:tcW w:type="dxa" w:w="1872"/>
            <w:shd w:fill="EFF6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Procurement and DPO</w:t>
            </w:r>
          </w:p>
        </w:tc>
        <w:tc>
          <w:tcPr>
            <w:tcW w:type="dxa" w:w="1008"/>
            <w:shd w:fill="EFF6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High</w:t>
            </w:r>
          </w:p>
        </w:tc>
      </w:tr>
      <w:tr>
        <w:trPr>
          <w:cantSplit/>
        </w:trPr>
        <w:tc>
          <w:tcPr>
            <w:tcW w:type="dxa" w:w="691"/>
            <w:shd w:fill="FFFF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C09</w:t>
            </w:r>
          </w:p>
        </w:tc>
        <w:tc>
          <w:tcPr>
            <w:tcW w:type="dxa" w:w="4752"/>
            <w:shd w:fill="FFFF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Provide layered and just-in-time notices</w:t>
            </w:r>
          </w:p>
        </w:tc>
        <w:tc>
          <w:tcPr>
            <w:tcW w:type="dxa" w:w="1800"/>
            <w:shd w:fill="FFFF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Inform</w:t>
            </w:r>
          </w:p>
        </w:tc>
        <w:tc>
          <w:tcPr>
            <w:tcW w:type="dxa" w:w="1872"/>
            <w:shd w:fill="FFFF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Privacy and UX owners</w:t>
            </w:r>
          </w:p>
        </w:tc>
        <w:tc>
          <w:tcPr>
            <w:tcW w:type="dxa" w:w="1008"/>
            <w:shd w:fill="FFFF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High</w:t>
            </w:r>
          </w:p>
        </w:tc>
      </w:tr>
      <w:tr>
        <w:trPr>
          <w:cantSplit/>
        </w:trPr>
        <w:tc>
          <w:tcPr>
            <w:tcW w:type="dxa" w:w="691"/>
            <w:shd w:fill="EFF6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C10</w:t>
            </w:r>
          </w:p>
        </w:tc>
        <w:tc>
          <w:tcPr>
            <w:tcW w:type="dxa" w:w="4752"/>
            <w:shd w:fill="EFF6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Review privileged access and expose appropriate activity history</w:t>
            </w:r>
          </w:p>
        </w:tc>
        <w:tc>
          <w:tcPr>
            <w:tcW w:type="dxa" w:w="1800"/>
            <w:shd w:fill="EFF6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Control and demonstrate</w:t>
            </w:r>
          </w:p>
        </w:tc>
        <w:tc>
          <w:tcPr>
            <w:tcW w:type="dxa" w:w="1872"/>
            <w:shd w:fill="EFF6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Security operations</w:t>
            </w:r>
          </w:p>
        </w:tc>
        <w:tc>
          <w:tcPr>
            <w:tcW w:type="dxa" w:w="1008"/>
            <w:shd w:fill="EFF6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High</w:t>
            </w:r>
          </w:p>
        </w:tc>
      </w:tr>
      <w:tr>
        <w:trPr>
          <w:cantSplit/>
        </w:trPr>
        <w:tc>
          <w:tcPr>
            <w:tcW w:type="dxa" w:w="691"/>
            <w:shd w:fill="FFFF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C11</w:t>
            </w:r>
          </w:p>
        </w:tc>
        <w:tc>
          <w:tcPr>
            <w:tcW w:type="dxa" w:w="4752"/>
            <w:shd w:fill="FFFF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Remove unnecessary content and metadata from exports and messages</w:t>
            </w:r>
          </w:p>
        </w:tc>
        <w:tc>
          <w:tcPr>
            <w:tcW w:type="dxa" w:w="1800"/>
            <w:shd w:fill="FFFF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Hide and minimize</w:t>
            </w:r>
          </w:p>
        </w:tc>
        <w:tc>
          <w:tcPr>
            <w:tcW w:type="dxa" w:w="1872"/>
            <w:shd w:fill="FFFF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Engineering owner</w:t>
            </w:r>
          </w:p>
        </w:tc>
        <w:tc>
          <w:tcPr>
            <w:tcW w:type="dxa" w:w="1008"/>
            <w:shd w:fill="FFFF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Medium</w:t>
            </w:r>
          </w:p>
        </w:tc>
      </w:tr>
      <w:tr>
        <w:trPr>
          <w:cantSplit/>
        </w:trPr>
        <w:tc>
          <w:tcPr>
            <w:tcW w:type="dxa" w:w="691"/>
            <w:shd w:fill="EFF6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C12</w:t>
            </w:r>
          </w:p>
        </w:tc>
        <w:tc>
          <w:tcPr>
            <w:tcW w:type="dxa" w:w="4752"/>
            <w:shd w:fill="EFF6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Maintain assurance evidence and residual-risk decisions</w:t>
            </w:r>
          </w:p>
        </w:tc>
        <w:tc>
          <w:tcPr>
            <w:tcW w:type="dxa" w:w="1800"/>
            <w:shd w:fill="EFF6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Demonstrate</w:t>
            </w:r>
          </w:p>
        </w:tc>
        <w:tc>
          <w:tcPr>
            <w:tcW w:type="dxa" w:w="1872"/>
            <w:shd w:fill="EFF6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System owner and DPO</w:t>
            </w:r>
          </w:p>
        </w:tc>
        <w:tc>
          <w:tcPr>
            <w:tcW w:type="dxa" w:w="1008"/>
            <w:shd w:fill="EFF6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High</w:t>
            </w:r>
          </w:p>
        </w:tc>
      </w:tr>
    </w:tbl>
    <w:p>
      <w:pPr>
        <w:spacing w:after="40"/>
      </w:pPr>
    </w:p>
    <w:p>
      <w:pPr>
        <w:pStyle w:val="Heading2"/>
        <w:keepNext/>
      </w:pPr>
      <w:r>
        <w:t>5.1 Recommended Delivery Sequence</w:t>
      </w:r>
    </w:p>
    <w:p>
      <w:r>
        <w:t>Phase 1 reduces concentrated exposure through data minimization, field-level authorization, and backup protection. Phase 2 limits linkage, statistical re-identification, unmanaged export, and retention. Phase 3 establishes provider assurance, user-facing transparency, access review, test evidence, and residual-risk approval.</w:t>
      </w:r>
    </w:p>
    <w:p>
      <w:pPr>
        <w:pStyle w:val="Heading1"/>
        <w:keepNext/>
      </w:pPr>
      <w:r>
        <w:t>6 Verification Plan</w:t>
      </w:r>
    </w:p>
    <w:p>
      <w:r>
        <w:t>A control should reduce risk only after its acceptance criterion passes. The verification plan below connects technical, product, governance, and privacy evidence.</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720"/>
            <w:shd w:fill="172554"/>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jc w:val="center"/>
            </w:pPr>
            <w:r>
              <w:rPr>
                <w:rFonts w:ascii="Aptos" w:hAnsi="Aptos"/>
                <w:b/>
                <w:color w:val="FFFFFF"/>
                <w:sz w:val="15"/>
              </w:rPr>
              <w:t>Test</w:t>
            </w:r>
          </w:p>
        </w:tc>
        <w:tc>
          <w:tcPr>
            <w:tcW w:type="dxa" w:w="893"/>
            <w:shd w:fill="172554"/>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jc w:val="center"/>
            </w:pPr>
            <w:r>
              <w:rPr>
                <w:rFonts w:ascii="Aptos" w:hAnsi="Aptos"/>
                <w:b/>
                <w:color w:val="FFFFFF"/>
                <w:sz w:val="15"/>
              </w:rPr>
              <w:t>Control</w:t>
            </w:r>
          </w:p>
        </w:tc>
        <w:tc>
          <w:tcPr>
            <w:tcW w:type="dxa" w:w="3960"/>
            <w:shd w:fill="172554"/>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jc w:val="center"/>
            </w:pPr>
            <w:r>
              <w:rPr>
                <w:rFonts w:ascii="Aptos" w:hAnsi="Aptos"/>
                <w:b/>
                <w:color w:val="FFFFFF"/>
                <w:sz w:val="15"/>
              </w:rPr>
              <w:t>Procedure</w:t>
            </w:r>
          </w:p>
        </w:tc>
        <w:tc>
          <w:tcPr>
            <w:tcW w:type="dxa" w:w="4824"/>
            <w:shd w:fill="172554"/>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jc w:val="center"/>
            </w:pPr>
            <w:r>
              <w:rPr>
                <w:rFonts w:ascii="Aptos" w:hAnsi="Aptos"/>
                <w:b/>
                <w:color w:val="FFFFFF"/>
                <w:sz w:val="15"/>
              </w:rPr>
              <w:t>Acceptance criterion</w:t>
            </w:r>
          </w:p>
        </w:tc>
      </w:tr>
      <w:tr>
        <w:trPr>
          <w:cantSplit/>
        </w:trPr>
        <w:tc>
          <w:tcPr>
            <w:tcW w:type="dxa" w:w="720"/>
            <w:shd w:fill="FFFF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V01</w:t>
            </w:r>
          </w:p>
        </w:tc>
        <w:tc>
          <w:tcPr>
            <w:tcW w:type="dxa" w:w="893"/>
            <w:shd w:fill="FFFF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C01</w:t>
            </w:r>
          </w:p>
        </w:tc>
        <w:tc>
          <w:tcPr>
            <w:tcW w:type="dxa" w:w="3960"/>
            <w:shd w:fill="FFFF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Compare each field with the approved purpose inventory</w:t>
            </w:r>
          </w:p>
        </w:tc>
        <w:tc>
          <w:tcPr>
            <w:tcW w:type="dxa" w:w="4824"/>
            <w:shd w:fill="FFFF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No unapproved attribute appears</w:t>
            </w:r>
          </w:p>
        </w:tc>
      </w:tr>
      <w:tr>
        <w:trPr>
          <w:cantSplit/>
        </w:trPr>
        <w:tc>
          <w:tcPr>
            <w:tcW w:type="dxa" w:w="720"/>
            <w:shd w:fill="EFF6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V02</w:t>
            </w:r>
          </w:p>
        </w:tc>
        <w:tc>
          <w:tcPr>
            <w:tcW w:type="dxa" w:w="893"/>
            <w:shd w:fill="EFF6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C02</w:t>
            </w:r>
          </w:p>
        </w:tc>
        <w:tc>
          <w:tcPr>
            <w:tcW w:type="dxa" w:w="3960"/>
            <w:shd w:fill="EFF6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Attempt cross-context identifier correlation</w:t>
            </w:r>
          </w:p>
        </w:tc>
        <w:tc>
          <w:tcPr>
            <w:tcW w:type="dxa" w:w="4824"/>
            <w:shd w:fill="EFF6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Linkage requires a separately controlled mapping</w:t>
            </w:r>
          </w:p>
        </w:tc>
      </w:tr>
      <w:tr>
        <w:trPr>
          <w:cantSplit/>
        </w:trPr>
        <w:tc>
          <w:tcPr>
            <w:tcW w:type="dxa" w:w="720"/>
            <w:shd w:fill="FFFF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V03</w:t>
            </w:r>
          </w:p>
        </w:tc>
        <w:tc>
          <w:tcPr>
            <w:tcW w:type="dxa" w:w="893"/>
            <w:shd w:fill="FFFF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C03</w:t>
            </w:r>
          </w:p>
        </w:tc>
        <w:tc>
          <w:tcPr>
            <w:tcW w:type="dxa" w:w="3960"/>
            <w:shd w:fill="FFFF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Run positive and negative role tests</w:t>
            </w:r>
          </w:p>
        </w:tc>
        <w:tc>
          <w:tcPr>
            <w:tcW w:type="dxa" w:w="4824"/>
            <w:shd w:fill="FFFF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Unauthorized requests are denied and logged</w:t>
            </w:r>
          </w:p>
        </w:tc>
      </w:tr>
      <w:tr>
        <w:trPr>
          <w:cantSplit/>
        </w:trPr>
        <w:tc>
          <w:tcPr>
            <w:tcW w:type="dxa" w:w="720"/>
            <w:shd w:fill="EFF6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V04</w:t>
            </w:r>
          </w:p>
        </w:tc>
        <w:tc>
          <w:tcPr>
            <w:tcW w:type="dxa" w:w="893"/>
            <w:shd w:fill="EFF6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C04</w:t>
            </w:r>
          </w:p>
        </w:tc>
        <w:tc>
          <w:tcPr>
            <w:tcW w:type="dxa" w:w="3960"/>
            <w:shd w:fill="EFF6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Review encryption key custody and restore path</w:t>
            </w:r>
          </w:p>
        </w:tc>
        <w:tc>
          <w:tcPr>
            <w:tcW w:type="dxa" w:w="4824"/>
            <w:shd w:fill="EFF6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Backup is unreadable without university key access</w:t>
            </w:r>
          </w:p>
        </w:tc>
      </w:tr>
      <w:tr>
        <w:trPr>
          <w:cantSplit/>
        </w:trPr>
        <w:tc>
          <w:tcPr>
            <w:tcW w:type="dxa" w:w="720"/>
            <w:shd w:fill="FFFF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V05</w:t>
            </w:r>
          </w:p>
        </w:tc>
        <w:tc>
          <w:tcPr>
            <w:tcW w:type="dxa" w:w="893"/>
            <w:shd w:fill="FFFF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C05</w:t>
            </w:r>
          </w:p>
        </w:tc>
        <w:tc>
          <w:tcPr>
            <w:tcW w:type="dxa" w:w="3960"/>
            <w:shd w:fill="FFFF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Query small and intersecting cohorts</w:t>
            </w:r>
          </w:p>
        </w:tc>
        <w:tc>
          <w:tcPr>
            <w:tcW w:type="dxa" w:w="4824"/>
            <w:shd w:fill="FFFF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Outputs below threshold are suppressed or generalized</w:t>
            </w:r>
          </w:p>
        </w:tc>
      </w:tr>
      <w:tr>
        <w:trPr>
          <w:cantSplit/>
        </w:trPr>
        <w:tc>
          <w:tcPr>
            <w:tcW w:type="dxa" w:w="720"/>
            <w:shd w:fill="EFF6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V06</w:t>
            </w:r>
          </w:p>
        </w:tc>
        <w:tc>
          <w:tcPr>
            <w:tcW w:type="dxa" w:w="893"/>
            <w:shd w:fill="EFF6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C06</w:t>
            </w:r>
          </w:p>
        </w:tc>
        <w:tc>
          <w:tcPr>
            <w:tcW w:type="dxa" w:w="3960"/>
            <w:shd w:fill="EFF6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Inspect channel file protection and expiry</w:t>
            </w:r>
          </w:p>
        </w:tc>
        <w:tc>
          <w:tcPr>
            <w:tcW w:type="dxa" w:w="4824"/>
            <w:shd w:fill="EFF6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Export is authenticated encrypted and expiring</w:t>
            </w:r>
          </w:p>
        </w:tc>
      </w:tr>
      <w:tr>
        <w:trPr>
          <w:cantSplit/>
        </w:trPr>
        <w:tc>
          <w:tcPr>
            <w:tcW w:type="dxa" w:w="720"/>
            <w:shd w:fill="FFFF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V07</w:t>
            </w:r>
          </w:p>
        </w:tc>
        <w:tc>
          <w:tcPr>
            <w:tcW w:type="dxa" w:w="893"/>
            <w:shd w:fill="FFFF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C07</w:t>
            </w:r>
          </w:p>
        </w:tc>
        <w:tc>
          <w:tcPr>
            <w:tcW w:type="dxa" w:w="3960"/>
            <w:shd w:fill="FFFF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Seed records at each retention boundary</w:t>
            </w:r>
          </w:p>
        </w:tc>
        <w:tc>
          <w:tcPr>
            <w:tcW w:type="dxa" w:w="4824"/>
            <w:shd w:fill="FFFF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Records logs provider metadata and backups expire</w:t>
            </w:r>
          </w:p>
        </w:tc>
      </w:tr>
      <w:tr>
        <w:trPr>
          <w:cantSplit/>
        </w:trPr>
        <w:tc>
          <w:tcPr>
            <w:tcW w:type="dxa" w:w="720"/>
            <w:shd w:fill="EFF6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V08</w:t>
            </w:r>
          </w:p>
        </w:tc>
        <w:tc>
          <w:tcPr>
            <w:tcW w:type="dxa" w:w="893"/>
            <w:shd w:fill="EFF6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C08</w:t>
            </w:r>
          </w:p>
        </w:tc>
        <w:tc>
          <w:tcPr>
            <w:tcW w:type="dxa" w:w="3960"/>
            <w:shd w:fill="EFF6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Review provider contracts and transfer evidence</w:t>
            </w:r>
          </w:p>
        </w:tc>
        <w:tc>
          <w:tcPr>
            <w:tcW w:type="dxa" w:w="4824"/>
            <w:shd w:fill="EFF6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Processor register and documents are current</w:t>
            </w:r>
          </w:p>
        </w:tc>
      </w:tr>
      <w:tr>
        <w:trPr>
          <w:cantSplit/>
        </w:trPr>
        <w:tc>
          <w:tcPr>
            <w:tcW w:type="dxa" w:w="720"/>
            <w:shd w:fill="FFFF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V09</w:t>
            </w:r>
          </w:p>
        </w:tc>
        <w:tc>
          <w:tcPr>
            <w:tcW w:type="dxa" w:w="893"/>
            <w:shd w:fill="FFFF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C09</w:t>
            </w:r>
          </w:p>
        </w:tc>
        <w:tc>
          <w:tcPr>
            <w:tcW w:type="dxa" w:w="3960"/>
            <w:shd w:fill="FFFF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Test notices in each affected workflow</w:t>
            </w:r>
          </w:p>
        </w:tc>
        <w:tc>
          <w:tcPr>
            <w:tcW w:type="dxa" w:w="4824"/>
            <w:shd w:fill="FFFF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Users can identify purpose recipient retention and rights</w:t>
            </w:r>
          </w:p>
        </w:tc>
      </w:tr>
      <w:tr>
        <w:trPr>
          <w:cantSplit/>
        </w:trPr>
        <w:tc>
          <w:tcPr>
            <w:tcW w:type="dxa" w:w="720"/>
            <w:shd w:fill="EFF6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V10</w:t>
            </w:r>
          </w:p>
        </w:tc>
        <w:tc>
          <w:tcPr>
            <w:tcW w:type="dxa" w:w="893"/>
            <w:shd w:fill="EFF6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C10</w:t>
            </w:r>
          </w:p>
        </w:tc>
        <w:tc>
          <w:tcPr>
            <w:tcW w:type="dxa" w:w="3960"/>
            <w:shd w:fill="EFF6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Sample privileged access against approvals</w:t>
            </w:r>
          </w:p>
        </w:tc>
        <w:tc>
          <w:tcPr>
            <w:tcW w:type="dxa" w:w="4824"/>
            <w:shd w:fill="EFF6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Every sample is authorized attributable and reviewed</w:t>
            </w:r>
          </w:p>
        </w:tc>
      </w:tr>
      <w:tr>
        <w:trPr>
          <w:cantSplit/>
        </w:trPr>
        <w:tc>
          <w:tcPr>
            <w:tcW w:type="dxa" w:w="720"/>
            <w:shd w:fill="FFFF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V11</w:t>
            </w:r>
          </w:p>
        </w:tc>
        <w:tc>
          <w:tcPr>
            <w:tcW w:type="dxa" w:w="893"/>
            <w:shd w:fill="FFFF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C11</w:t>
            </w:r>
          </w:p>
        </w:tc>
        <w:tc>
          <w:tcPr>
            <w:tcW w:type="dxa" w:w="3960"/>
            <w:shd w:fill="FFFF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Inspect message bodies and exported metadata</w:t>
            </w:r>
          </w:p>
        </w:tc>
        <w:tc>
          <w:tcPr>
            <w:tcW w:type="dxa" w:w="4824"/>
            <w:shd w:fill="FFFF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No unnecessary personal data leaves the service</w:t>
            </w:r>
          </w:p>
        </w:tc>
      </w:tr>
      <w:tr>
        <w:trPr>
          <w:cantSplit/>
        </w:trPr>
        <w:tc>
          <w:tcPr>
            <w:tcW w:type="dxa" w:w="720"/>
            <w:shd w:fill="EFF6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V12</w:t>
            </w:r>
          </w:p>
        </w:tc>
        <w:tc>
          <w:tcPr>
            <w:tcW w:type="dxa" w:w="893"/>
            <w:shd w:fill="EFF6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C12</w:t>
            </w:r>
          </w:p>
        </w:tc>
        <w:tc>
          <w:tcPr>
            <w:tcW w:type="dxa" w:w="3960"/>
            <w:shd w:fill="EFF6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Trace each material threat to evidence</w:t>
            </w:r>
          </w:p>
        </w:tc>
        <w:tc>
          <w:tcPr>
            <w:tcW w:type="dxa" w:w="4824"/>
            <w:shd w:fill="EFF6FF"/>
            <w:tcMar>
              <w:top w:w="110" w:type="dxa"/>
              <w:start w:w="110" w:type="dxa"/>
              <w:bottom w:w="110" w:type="dxa"/>
              <w:end w:w="110" w:type="dxa"/>
            </w:tcMar>
            <w:tcBorders>
              <w:top w:val="single" w:sz="5" w:color="D1D5DB"/>
              <w:left w:val="single" w:sz="5" w:color="D1D5DB"/>
              <w:bottom w:val="single" w:sz="5" w:color="D1D5DB"/>
              <w:right w:val="single" w:sz="5" w:color="D1D5DB"/>
              <w:insideH w:val="single" w:sz="5" w:color="D1D5DB"/>
              <w:insideV w:val="single" w:sz="5" w:color="D1D5DB"/>
            </w:tcBorders>
            <w:vAlign w:val="center"/>
          </w:tcPr>
          <w:p>
            <w:pPr>
              <w:spacing w:after="0" w:line="252" w:lineRule="auto"/>
            </w:pPr>
            <w:r>
              <w:rPr>
                <w:rFonts w:ascii="Aptos" w:hAnsi="Aptos"/>
                <w:color w:val="111827"/>
                <w:sz w:val="15"/>
              </w:rPr>
              <w:t>Every high or critical threat has passing evidence and a decision</w:t>
            </w:r>
          </w:p>
        </w:tc>
      </w:tr>
    </w:tbl>
    <w:p>
      <w:pPr>
        <w:spacing w:after="40"/>
      </w:pPr>
    </w:p>
    <w:p>
      <w:r>
        <w:br w:type="page"/>
      </w:r>
    </w:p>
    <w:p>
      <w:pPr>
        <w:pStyle w:val="Heading1"/>
        <w:keepNext/>
      </w:pPr>
      <w:r>
        <w:t>7 Residual Risk and Reassessment</w:t>
      </w:r>
    </w:p>
    <w:p>
      <w:r>
        <w:t>After implementation, the system owner and DPO should rescore every high and critical threat using verified control evidence. Any accepted residual risk needs an owner, rationale, review date, and conditions that trigger reassessment.</w:t>
      </w:r>
    </w:p>
    <w:p>
      <w:pPr>
        <w:pStyle w:val="ListBullet"/>
      </w:pPr>
      <w:r>
        <w:t>A new identity provider, mobile application, analytics use, processor, or cloud region</w:t>
      </w:r>
    </w:p>
    <w:p>
      <w:pPr>
        <w:pStyle w:val="ListBullet"/>
      </w:pPr>
      <w:r>
        <w:t>A material change to access, retention, export, or backup design</w:t>
      </w:r>
    </w:p>
    <w:p>
      <w:pPr>
        <w:pStyle w:val="ListBullet"/>
      </w:pPr>
      <w:r>
        <w:t>A new dataset or cross-system integration</w:t>
      </w:r>
    </w:p>
    <w:p>
      <w:pPr>
        <w:pStyle w:val="ListBullet"/>
      </w:pPr>
      <w:r>
        <w:t>A privacy incident, provider incident, or failed control test</w:t>
      </w:r>
    </w:p>
    <w:p>
      <w:pPr>
        <w:pStyle w:val="Heading1"/>
        <w:keepNext/>
      </w:pPr>
      <w:r>
        <w:t>8 Limitations</w:t>
      </w:r>
    </w:p>
    <w:p>
      <w:r>
        <w:t>This assessment uses a supplied scenario. It does not include production discovery, source-code review, configuration inspection, stakeholder interviews, DPIA approval, penetration testing, legal advice, or validation of actual provider arrangements. Threat scores are reasoned assumptions and should be recalibrated with system owners, engineers, users, and data protection specialists.</w:t>
      </w:r>
    </w:p>
    <w:p>
      <w:pPr>
        <w:pStyle w:val="Heading1"/>
        <w:keepNext/>
      </w:pPr>
      <w:r>
        <w:t>9 Project Provenance</w:t>
      </w:r>
    </w:p>
    <w:p>
      <w:r>
        <w:t>The source was a four-person university assignment. This English public edition removes registration numbers, personal contact details, university branding, and the other contributors' names pending publication consent. It does not present the team analysis as sole-authored work. The raw academic submission is excluded from the repository because it contains personal identifiers. Scenarios added for portfolio completeness are labeled as extensions in the threat register.</w:t>
      </w:r>
    </w:p>
    <w:p>
      <w:pPr>
        <w:pStyle w:val="Heading1"/>
        <w:keepNext/>
      </w:pPr>
      <w:r>
        <w:t>References</w:t>
      </w:r>
    </w:p>
    <w:p>
      <w:pPr>
        <w:spacing w:after="80"/>
        <w:ind w:left="216" w:hanging="216"/>
      </w:pPr>
      <w:r>
        <w:t>[1] LINDDUN. LINDDUN Privacy Threat Modeling. https://linddun.org/</w:t>
      </w:r>
    </w:p>
    <w:p>
      <w:pPr>
        <w:spacing w:after="80"/>
        <w:ind w:left="216" w:hanging="216"/>
      </w:pPr>
      <w:r>
        <w:t>[2] LINDDUN. Threat Trees. https://linddun.org/threat-trees/</w:t>
      </w:r>
    </w:p>
    <w:p>
      <w:pPr>
        <w:spacing w:after="80"/>
        <w:ind w:left="216" w:hanging="216"/>
      </w:pPr>
      <w:r>
        <w:t>[3] LINDDUN. LINDDUN PRO. https://linddun.org/pro/</w:t>
      </w:r>
    </w:p>
    <w:p>
      <w:pPr>
        <w:spacing w:after="80"/>
        <w:ind w:left="216" w:hanging="216"/>
      </w:pPr>
      <w:r>
        <w:t>[4] National Institute of Standards and Technology. LINDDUN Privacy Threat Modeling Framework. https://www.nist.gov/privacy-framework/linddun-privacy-threat-modeling-framework</w:t>
      </w:r>
    </w:p>
    <w:p>
      <w:pPr>
        <w:spacing w:after="80"/>
        <w:ind w:left="216" w:hanging="216"/>
      </w:pPr>
      <w:r>
        <w:t>[5] European Union. Regulation (EU) 2016/679. https://eur-lex.europa.eu/eli/reg/2016/679/oj/eng</w:t>
      </w:r>
    </w:p>
    <w:p>
      <w:pPr>
        <w:spacing w:after="80"/>
        <w:ind w:left="216" w:hanging="216"/>
      </w:pPr>
      <w:r>
        <w:t>[6] Hoepman, J.-H. Privacy Design Strategies. ICT Systems Security and Privacy Protection, 2014. https://doi.org/10.1007/978-3-642-55415-5_38</w:t>
      </w:r>
    </w:p>
    <w:sectPr w:rsidR="00FC693F" w:rsidRPr="0006063C" w:rsidSect="00034616">
      <w:headerReference w:type="default" r:id="rId9"/>
      <w:footerReference w:type="default" r:id="rId10"/>
      <w:pgSz w:w="12240" w:h="15840"/>
      <w:pgMar w:top="1037" w:right="1123" w:bottom="979" w:left="1123"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6B7280"/>
        <w:sz w:val="16"/>
      </w:rPr>
      <w:t xml:space="preserve">Public portfolio edition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B7280"/>
        <w:sz w:val="17"/>
      </w:rPr>
      <w:t>Privacy Threat Modeling with LINDDUN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11182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Display" w:hAnsi="Aptos Display"/>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Display" w:hAnsi="Aptos Display"/>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ascii="Aptos Display" w:hAnsi="Aptos Display"/>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