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 Fi Intrusion Detection with AWID3</w:t>
      </w:r>
    </w:p>
    <w:p>
      <w:pPr>
        <w:spacing w:after="360"/>
      </w:pPr>
      <w:r>
        <w:rPr>
          <w:rFonts w:ascii="Aptos" w:hAnsi="Aptos"/>
          <w:color w:val="373737"/>
          <w:sz w:val="34"/>
        </w:rPr>
        <w:t>Claim audited analysis and detection engineering study</w:t>
      </w:r>
    </w:p>
    <w:p>
      <w:r>
        <w:drawing>
          <wp:inline xmlns:a="http://schemas.openxmlformats.org/drawingml/2006/main" xmlns:pic="http://schemas.openxmlformats.org/drawingml/2006/picture">
            <wp:extent cx="6309360" cy="3550902"/>
            <wp:docPr id="1" name="Picture 1"/>
            <wp:cNvGraphicFramePr>
              <a:graphicFrameLocks noChangeAspect="1"/>
            </wp:cNvGraphicFramePr>
            <a:graphic>
              <a:graphicData uri="http://schemas.openxmlformats.org/drawingml/2006/picture">
                <pic:pic>
                  <pic:nvPicPr>
                    <pic:cNvPr id="0" name="repo-cover.png"/>
                    <pic:cNvPicPr/>
                  </pic:nvPicPr>
                  <pic:blipFill>
                    <a:blip r:embed="rId11"/>
                    <a:stretch>
                      <a:fillRect/>
                    </a:stretch>
                  </pic:blipFill>
                  <pic:spPr>
                    <a:xfrm>
                      <a:off x="0" y="0"/>
                      <a:ext cx="6309360" cy="3550902"/>
                    </a:xfrm>
                    <a:prstGeom prst="rect"/>
                  </pic:spPr>
                </pic:pic>
              </a:graphicData>
            </a:graphic>
          </wp:inline>
        </w:drawing>
      </w:r>
    </w:p>
    <w:p>
      <w:pPr>
        <w:spacing w:after="160"/>
        <w:jc w:val="center"/>
      </w:pPr>
      <w:r>
        <w:rPr>
          <w:i/>
          <w:sz w:val="17"/>
        </w:rPr>
        <w:t>Public portfolio edition</w:t>
      </w:r>
    </w:p>
    <w:p>
      <w:pPr>
        <w:spacing w:before="320"/>
      </w:pPr>
      <w:r>
        <w:rPr>
          <w:b/>
          <w:color w:val="000000"/>
        </w:rPr>
        <w:t xml:space="preserve">Author: </w:t>
      </w:r>
      <w:r>
        <w:t>Spiros Grouztidis</w:t>
        <w:br/>
      </w:r>
      <w:r>
        <w:rPr>
          <w:b/>
          <w:color w:val="000000"/>
        </w:rPr>
        <w:t xml:space="preserve">Scope: </w:t>
      </w:r>
      <w:r>
        <w:t>AWID3 three-class analysis, reproducibility review, and SOC deployment design</w:t>
        <w:br/>
      </w:r>
      <w:r>
        <w:rPr>
          <w:b/>
          <w:color w:val="000000"/>
        </w:rPr>
        <w:t xml:space="preserve">Version: </w:t>
      </w:r>
      <w:r>
        <w:t>1.0 | 15 October 2026</w:t>
        <w:br/>
      </w:r>
    </w:p>
    <w:p>
      <w:r>
        <w:br w:type="page"/>
      </w:r>
    </w:p>
    <w:p>
      <w:pPr>
        <w:pStyle w:val="Heading1"/>
      </w:pPr>
      <w:r>
        <w:t>Executive summary</w:t>
      </w:r>
    </w:p>
    <w:p>
      <w:r>
        <w:t>This report reviews an academic experiment that used a compact IEEE 802.11 feature set to classify Normal, Flooding, and Impersonation traffic from AWID3. The archived results show consistently high macro F1 scores across six tree-based models, with XGBoost reporting the highest macro F1 at 98.74 percent. The narrow spread between models suggests that data definition, feature design, and leakage control matter at least as much as classifier choice.</w:t>
      </w:r>
    </w:p>
    <w:p>
      <w:r>
        <w:t>The evidence supports a promising offline benchmark, not a production IDS claim. The original dataset snapshot, source code, split manifest, predictions, and trained models were not found. This public edition therefore preserves the metrics as reported results, checks their internal arithmetic, and adds a clean reference pipeline for a new authorized run.</w:t>
      </w:r>
    </w:p>
    <w:p>
      <w:pPr>
        <w:pStyle w:val="Heading2"/>
      </w:pPr>
      <w:r>
        <w:t>Main conclusions</w:t>
      </w:r>
    </w:p>
    <w:p>
      <w:pPr>
        <w:pStyle w:val="ListBullet"/>
        <w:spacing w:after="80"/>
        <w:ind w:left="312" w:hanging="142"/>
      </w:pPr>
      <w:r>
        <w:t>Capture-level grouping is necessary because packet-level random splits can place closely related frames from the same capture in both training and test data.</w:t>
      </w:r>
    </w:p>
    <w:p>
      <w:pPr>
        <w:pStyle w:val="ListBullet"/>
        <w:spacing w:after="80"/>
        <w:ind w:left="312" w:hanging="142"/>
      </w:pPr>
      <w:r>
        <w:t>Macro metrics are appropriate for the reported class distribution, where Normal traffic accounts for about 96.65 percent and Impersonation for about 0.86 percent.</w:t>
      </w:r>
    </w:p>
    <w:p>
      <w:pPr>
        <w:pStyle w:val="ListBullet"/>
        <w:spacing w:after="80"/>
        <w:ind w:left="312" w:hanging="142"/>
      </w:pPr>
      <w:r>
        <w:t>XGBoost has the strongest reported macro F1, while Decision Tree offers nearly comparable reported performance with much lower fit time.</w:t>
      </w:r>
    </w:p>
    <w:p>
      <w:pPr>
        <w:pStyle w:val="ListBullet"/>
        <w:spacing w:after="80"/>
        <w:ind w:left="312" w:hanging="142"/>
      </w:pPr>
      <w:r>
        <w:t>Impersonation is the most variable class across models and deserves separate review rather than being hidden inside aggregate accuracy.</w:t>
      </w:r>
    </w:p>
    <w:p>
      <w:pPr>
        <w:pStyle w:val="ListBullet"/>
        <w:spacing w:after="80"/>
        <w:ind w:left="312" w:hanging="142"/>
      </w:pPr>
      <w:r>
        <w:t>A deployable control needs sensor engineering, rule correlation, latency testing, drift monitoring, and analyst validation beyond the offline classifier.</w:t>
      </w:r>
    </w:p>
    <w:p>
      <w:pPr>
        <w:pStyle w:val="Heading2"/>
      </w:pPr>
      <w:r>
        <w:t>Evidence status</w:t>
      </w:r>
    </w:p>
    <w:tbl>
      <w:tblPr>
        <w:tblW w:type="auto" w:w="0"/>
        <w:jc w:val="center"/>
        <w:tblLayout w:type="fixed"/>
        <w:tblLook w:firstColumn="1" w:firstRow="1" w:lastColumn="0" w:lastRow="0" w:noHBand="0" w:noVBand="1" w:val="04A0"/>
      </w:tblPr>
      <w:tblGrid>
        <w:gridCol w:w="3249"/>
        <w:gridCol w:w="3249"/>
        <w:gridCol w:w="3249"/>
      </w:tblGrid>
      <w:tr>
        <w:trPr>
          <w:tblHeader w:val="true"/>
        </w:trPr>
        <w:tc>
          <w:tcPr>
            <w:tcW w:type="dxa" w:w="238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7"/>
              </w:rPr>
              <w:t>Evidence</w:t>
            </w:r>
          </w:p>
        </w:tc>
        <w:tc>
          <w:tcPr>
            <w:tcW w:type="dxa" w:w="170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7"/>
              </w:rPr>
              <w:t>Status</w:t>
            </w:r>
          </w:p>
        </w:tc>
        <w:tc>
          <w:tcPr>
            <w:tcW w:type="dxa" w:w="476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7"/>
              </w:rPr>
              <w:t>Use in this report</w:t>
            </w:r>
          </w:p>
        </w:tc>
      </w:tr>
      <w:tr>
        <w:tc>
          <w:tcPr>
            <w:tcW w:type="dxa" w:w="238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Academic result tables</w:t>
            </w:r>
          </w:p>
        </w:tc>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Available</w:t>
            </w:r>
          </w:p>
        </w:tc>
        <w:tc>
          <w:tcPr>
            <w:tcW w:type="dxa" w:w="476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Preserved and labeled as reported</w:t>
            </w:r>
          </w:p>
        </w:tc>
      </w:tr>
      <w:tr>
        <w:tc>
          <w:tcPr>
            <w:tcW w:type="dxa" w:w="2381"/>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Result arithmetic</w:t>
            </w:r>
          </w:p>
        </w:tc>
        <w:tc>
          <w:tcPr>
            <w:tcW w:type="dxa" w:w="1701"/>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Checked</w:t>
            </w:r>
          </w:p>
        </w:tc>
        <w:tc>
          <w:tcPr>
            <w:tcW w:type="dxa" w:w="476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Macro F1 recomputed from class F1</w:t>
            </w:r>
          </w:p>
        </w:tc>
      </w:tr>
      <w:tr>
        <w:tc>
          <w:tcPr>
            <w:tcW w:type="dxa" w:w="238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Raw training data</w:t>
            </w:r>
          </w:p>
        </w:tc>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Not found</w:t>
            </w:r>
          </w:p>
        </w:tc>
        <w:tc>
          <w:tcPr>
            <w:tcW w:type="dxa" w:w="476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No independent rerun claimed</w:t>
            </w:r>
          </w:p>
        </w:tc>
      </w:tr>
      <w:tr>
        <w:tc>
          <w:tcPr>
            <w:tcW w:type="dxa" w:w="2381"/>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Original code and split</w:t>
            </w:r>
          </w:p>
        </w:tc>
        <w:tc>
          <w:tcPr>
            <w:tcW w:type="dxa" w:w="1701"/>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Not found</w:t>
            </w:r>
          </w:p>
        </w:tc>
        <w:tc>
          <w:tcPr>
            <w:tcW w:type="dxa" w:w="476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Reference pipeline added separately</w:t>
            </w:r>
          </w:p>
        </w:tc>
      </w:tr>
      <w:tr>
        <w:tc>
          <w:tcPr>
            <w:tcW w:type="dxa" w:w="238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Official AWID3 paper</w:t>
            </w:r>
          </w:p>
        </w:tc>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Available</w:t>
            </w:r>
          </w:p>
        </w:tc>
        <w:tc>
          <w:tcPr>
            <w:tcW w:type="dxa" w:w="476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Dataset and threat context</w:t>
            </w:r>
          </w:p>
        </w:tc>
      </w:tr>
    </w:tbl>
    <w:p>
      <w:pPr>
        <w:spacing w:after="20"/>
      </w:pPr>
    </w:p>
    <w:p>
      <w:r>
        <w:br w:type="page"/>
      </w:r>
    </w:p>
    <w:p>
      <w:pPr>
        <w:pStyle w:val="Heading1"/>
      </w:pPr>
      <w:r>
        <w:t>AWID3 context and study scope</w:t>
      </w:r>
    </w:p>
    <w:p>
      <w:r>
        <w:t>AWID3 extends the Aegean Wi Fi Intrusion Dataset for enterprise IEEE 802.1X environments, Protected Management Frames, Wi Fi 5, and modern or multi-layer attacks. The official corpus is broader than this assignment. The archived experiment selected three public classes and focused on frame-level features that can support transfer across wireless deployments.</w:t>
      </w:r>
    </w:p>
    <w:p>
      <w:pPr>
        <w:pStyle w:val="Heading2"/>
      </w:pPr>
      <w:r>
        <w:t>Reported three class subset</w:t>
      </w:r>
    </w:p>
    <w:tbl>
      <w:tblPr>
        <w:tblW w:type="auto" w:w="0"/>
        <w:jc w:val="center"/>
        <w:tblLayout w:type="fixed"/>
        <w:tblLook w:firstColumn="1" w:firstRow="1" w:lastColumn="0" w:lastRow="0" w:noHBand="0" w:noVBand="1" w:val="04A0"/>
      </w:tblPr>
      <w:tblGrid>
        <w:gridCol w:w="2436"/>
        <w:gridCol w:w="2436"/>
        <w:gridCol w:w="2436"/>
        <w:gridCol w:w="2436"/>
      </w:tblGrid>
      <w:tr>
        <w:trPr>
          <w:tblHeader w:val="true"/>
        </w:trPr>
        <w:tc>
          <w:tcPr>
            <w:tcW w:type="dxa" w:w="170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7"/>
              </w:rPr>
              <w:t>Class</w:t>
            </w:r>
          </w:p>
        </w:tc>
        <w:tc>
          <w:tcPr>
            <w:tcW w:type="dxa" w:w="170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7"/>
              </w:rPr>
              <w:t>Records</w:t>
            </w:r>
          </w:p>
        </w:tc>
        <w:tc>
          <w:tcPr>
            <w:tcW w:type="dxa" w:w="113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7"/>
              </w:rPr>
              <w:t>Share</w:t>
            </w:r>
          </w:p>
        </w:tc>
        <w:tc>
          <w:tcPr>
            <w:tcW w:type="dxa" w:w="430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7"/>
              </w:rPr>
              <w:t>Representative activity</w:t>
            </w:r>
          </w:p>
        </w:tc>
      </w:tr>
      <w:t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Normal</w:t>
            </w:r>
          </w:p>
        </w:tc>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11,880,478</w:t>
            </w:r>
          </w:p>
        </w:tc>
        <w:tc>
          <w:tcPr>
            <w:tcW w:type="dxa" w:w="113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96.65%</w:t>
            </w:r>
          </w:p>
        </w:tc>
        <w:tc>
          <w:tcPr>
            <w:tcW w:type="dxa" w:w="4309"/>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Benign wireless traffic</w:t>
            </w:r>
          </w:p>
        </w:tc>
      </w:tr>
      <w:tr>
        <w:tc>
          <w:tcPr>
            <w:tcW w:type="dxa" w:w="1701"/>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Flooding</w:t>
            </w:r>
          </w:p>
        </w:tc>
        <w:tc>
          <w:tcPr>
            <w:tcW w:type="dxa" w:w="1701"/>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305,876</w:t>
            </w:r>
          </w:p>
        </w:tc>
        <w:tc>
          <w:tcPr>
            <w:tcW w:type="dxa" w:w="113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2.49%</w:t>
            </w:r>
          </w:p>
        </w:tc>
        <w:tc>
          <w:tcPr>
            <w:tcW w:type="dxa" w:w="4309"/>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Deauthentication, disassociation, association flooding, Kr00k</w:t>
            </w:r>
          </w:p>
        </w:tc>
      </w:tr>
      <w:t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Impersonation</w:t>
            </w:r>
          </w:p>
        </w:tc>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106,162</w:t>
            </w:r>
          </w:p>
        </w:tc>
        <w:tc>
          <w:tcPr>
            <w:tcW w:type="dxa" w:w="113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0.86%</w:t>
            </w:r>
          </w:p>
        </w:tc>
        <w:tc>
          <w:tcPr>
            <w:tcW w:type="dxa" w:w="4309"/>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Rogue AP, Evil Twin, KRACK</w:t>
            </w:r>
          </w:p>
        </w:tc>
      </w:tr>
    </w:tbl>
    <w:p>
      <w:pPr>
        <w:spacing w:after="20"/>
      </w:pPr>
    </w:p>
    <w:p>
      <w:r>
        <w:t>The class distribution makes raw accuracy unsafe as the primary measure. A classifier can appear strong by favoring Normal traffic while missing the smaller attack classes. Macro F1 gives the same weight to each class and therefore makes the Impersonation result visible.</w:t>
      </w:r>
    </w:p>
    <w:p>
      <w:pPr>
        <w:pStyle w:val="Heading2"/>
      </w:pPr>
      <w:r>
        <w:t>Threat interpretation</w:t>
      </w:r>
    </w:p>
    <w:tbl>
      <w:tblPr>
        <w:tblW w:type="auto" w:w="0"/>
        <w:jc w:val="center"/>
        <w:tblLayout w:type="fixed"/>
        <w:tblLook w:firstColumn="1" w:firstRow="1" w:lastColumn="0" w:lastRow="0" w:noHBand="0" w:noVBand="1" w:val="04A0"/>
      </w:tblPr>
      <w:tblGrid>
        <w:gridCol w:w="2436"/>
        <w:gridCol w:w="2436"/>
        <w:gridCol w:w="2436"/>
        <w:gridCol w:w="2436"/>
      </w:tblGrid>
      <w:tr>
        <w:trPr>
          <w:tblHeader w:val="true"/>
        </w:trPr>
        <w:tc>
          <w:tcPr>
            <w:tcW w:type="dxa" w:w="153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7"/>
              </w:rPr>
              <w:t>Class</w:t>
            </w:r>
          </w:p>
        </w:tc>
        <w:tc>
          <w:tcPr>
            <w:tcW w:type="dxa" w:w="192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7"/>
              </w:rPr>
              <w:t>Primary effect</w:t>
            </w:r>
          </w:p>
        </w:tc>
        <w:tc>
          <w:tcPr>
            <w:tcW w:type="dxa" w:w="289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7"/>
              </w:rPr>
              <w:t>Useful telemetry</w:t>
            </w:r>
          </w:p>
        </w:tc>
        <w:tc>
          <w:tcPr>
            <w:tcW w:type="dxa" w:w="255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7"/>
              </w:rPr>
              <w:t>Operational response</w:t>
            </w:r>
          </w:p>
        </w:tc>
      </w:tr>
      <w:tr>
        <w:tc>
          <w:tcPr>
            <w:tcW w:type="dxa" w:w="153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Flooding</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Availability disruption</w:t>
            </w:r>
          </w:p>
        </w:tc>
        <w:tc>
          <w:tcPr>
            <w:tcW w:type="dxa" w:w="289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Management-frame rates, reconnect churn, protection flags</w:t>
            </w:r>
          </w:p>
        </w:tc>
        <w:tc>
          <w:tcPr>
            <w:tcW w:type="dxa" w:w="255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Validate event, preserve frames, inspect AP and client state</w:t>
            </w:r>
          </w:p>
        </w:tc>
      </w:tr>
      <w:tr>
        <w:tc>
          <w:tcPr>
            <w:tcW w:type="dxa" w:w="1531"/>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Impersonation</w:t>
            </w:r>
          </w:p>
        </w:tc>
        <w:tc>
          <w:tcPr>
            <w:tcW w:type="dxa" w:w="192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Interception or credential exposure</w:t>
            </w:r>
          </w:p>
        </w:tc>
        <w:tc>
          <w:tcPr>
            <w:tcW w:type="dxa" w:w="2891"/>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SSID and BSSID conflicts, signal context, handshake and identity events</w:t>
            </w:r>
          </w:p>
        </w:tc>
        <w:tc>
          <w:tcPr>
            <w:tcW w:type="dxa" w:w="2551"/>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Validate rogue AP, review identity events, assess exposure</w:t>
            </w:r>
          </w:p>
        </w:tc>
      </w:tr>
    </w:tbl>
    <w:p>
      <w:pPr>
        <w:spacing w:after="20"/>
      </w:pPr>
    </w:p>
    <w:p>
      <w:r>
        <w:br w:type="page"/>
      </w:r>
    </w:p>
    <w:p>
      <w:pPr>
        <w:pStyle w:val="Heading1"/>
      </w:pPr>
      <w:r>
        <w:t>Feature and evaluation design</w:t>
      </w:r>
    </w:p>
    <w:p>
      <w:r>
        <w:t>The study uses 16 frame-level features drawn from radiotap metadata and IEEE 802.11 frame-control fields. The aim is to avoid capture identifiers and timestamps that can create high scores without learning transferable attack behavior.</w:t>
      </w:r>
    </w:p>
    <w:tbl>
      <w:tblPr>
        <w:tblW w:type="auto" w:w="0"/>
        <w:jc w:val="center"/>
        <w:tblLayout w:type="fixed"/>
        <w:tblLook w:firstColumn="1" w:firstRow="1" w:lastColumn="0" w:lastRow="0" w:noHBand="0" w:noVBand="1" w:val="04A0"/>
      </w:tblPr>
      <w:tblGrid>
        <w:gridCol w:w="3249"/>
        <w:gridCol w:w="3249"/>
        <w:gridCol w:w="3249"/>
      </w:tblGrid>
      <w:tr>
        <w:trPr>
          <w:tblHeader w:val="true"/>
        </w:trPr>
        <w:tc>
          <w:tcPr>
            <w:tcW w:type="dxa" w:w="357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6"/>
              </w:rPr>
              <w:t>Feature</w:t>
            </w:r>
          </w:p>
        </w:tc>
        <w:tc>
          <w:tcPr>
            <w:tcW w:type="dxa" w:w="232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6"/>
              </w:rPr>
              <w:t>Domain</w:t>
            </w:r>
          </w:p>
        </w:tc>
        <w:tc>
          <w:tcPr>
            <w:tcW w:type="dxa" w:w="306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6"/>
              </w:rPr>
              <w:t>Reference treatment</w:t>
            </w:r>
          </w:p>
        </w:tc>
      </w:tr>
      <w:tr>
        <w:tc>
          <w:tcPr>
            <w:tcW w:type="dxa" w:w="35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frame.len</w:t>
            </w:r>
          </w:p>
        </w:tc>
        <w:tc>
          <w:tcPr>
            <w:tcW w:type="dxa" w:w="23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Frame metadata</w:t>
            </w:r>
          </w:p>
        </w:tc>
        <w:tc>
          <w:tcPr>
            <w:tcW w:type="dxa" w:w="306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Continuous scaling</w:t>
            </w:r>
          </w:p>
        </w:tc>
      </w:tr>
      <w:tr>
        <w:tc>
          <w:tcPr>
            <w:tcW w:type="dxa" w:w="357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radiotap.length</w:t>
            </w:r>
          </w:p>
        </w:tc>
        <w:tc>
          <w:tcPr>
            <w:tcW w:type="dxa" w:w="232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Radiotap</w:t>
            </w:r>
          </w:p>
        </w:tc>
        <w:tc>
          <w:tcPr>
            <w:tcW w:type="dxa" w:w="3061"/>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Continuous scaling</w:t>
            </w:r>
          </w:p>
        </w:tc>
      </w:tr>
      <w:tr>
        <w:tc>
          <w:tcPr>
            <w:tcW w:type="dxa" w:w="35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radiotap.dbm_antsignal</w:t>
            </w:r>
          </w:p>
        </w:tc>
        <w:tc>
          <w:tcPr>
            <w:tcW w:type="dxa" w:w="23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Radiotap</w:t>
            </w:r>
          </w:p>
        </w:tc>
        <w:tc>
          <w:tcPr>
            <w:tcW w:type="dxa" w:w="306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Continuous scaling</w:t>
            </w:r>
          </w:p>
        </w:tc>
      </w:tr>
      <w:tr>
        <w:tc>
          <w:tcPr>
            <w:tcW w:type="dxa" w:w="357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wlan.duration</w:t>
            </w:r>
          </w:p>
        </w:tc>
        <w:tc>
          <w:tcPr>
            <w:tcW w:type="dxa" w:w="232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802.11 MAC</w:t>
            </w:r>
          </w:p>
        </w:tc>
        <w:tc>
          <w:tcPr>
            <w:tcW w:type="dxa" w:w="3061"/>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Continuous scaling</w:t>
            </w:r>
          </w:p>
        </w:tc>
      </w:tr>
      <w:tr>
        <w:tc>
          <w:tcPr>
            <w:tcW w:type="dxa" w:w="35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radiotap.present.tsft</w:t>
            </w:r>
          </w:p>
        </w:tc>
        <w:tc>
          <w:tcPr>
            <w:tcW w:type="dxa" w:w="23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Radiotap</w:t>
            </w:r>
          </w:p>
        </w:tc>
        <w:tc>
          <w:tcPr>
            <w:tcW w:type="dxa" w:w="306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Categorical encoding</w:t>
            </w:r>
          </w:p>
        </w:tc>
      </w:tr>
      <w:tr>
        <w:tc>
          <w:tcPr>
            <w:tcW w:type="dxa" w:w="357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radiotap.channel.freq</w:t>
            </w:r>
          </w:p>
        </w:tc>
        <w:tc>
          <w:tcPr>
            <w:tcW w:type="dxa" w:w="232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Radiotap</w:t>
            </w:r>
          </w:p>
        </w:tc>
        <w:tc>
          <w:tcPr>
            <w:tcW w:type="dxa" w:w="3061"/>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Continuous scaling</w:t>
            </w:r>
          </w:p>
        </w:tc>
      </w:tr>
      <w:tr>
        <w:tc>
          <w:tcPr>
            <w:tcW w:type="dxa" w:w="35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radiotap.channel.type.cck</w:t>
            </w:r>
          </w:p>
        </w:tc>
        <w:tc>
          <w:tcPr>
            <w:tcW w:type="dxa" w:w="23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Radiotap</w:t>
            </w:r>
          </w:p>
        </w:tc>
        <w:tc>
          <w:tcPr>
            <w:tcW w:type="dxa" w:w="306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Categorical encoding</w:t>
            </w:r>
          </w:p>
        </w:tc>
      </w:tr>
      <w:tr>
        <w:tc>
          <w:tcPr>
            <w:tcW w:type="dxa" w:w="357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radiotap.channel.type.ofdm</w:t>
            </w:r>
          </w:p>
        </w:tc>
        <w:tc>
          <w:tcPr>
            <w:tcW w:type="dxa" w:w="232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Radiotap</w:t>
            </w:r>
          </w:p>
        </w:tc>
        <w:tc>
          <w:tcPr>
            <w:tcW w:type="dxa" w:w="3061"/>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Categorical encoding</w:t>
            </w:r>
          </w:p>
        </w:tc>
      </w:tr>
      <w:tr>
        <w:tc>
          <w:tcPr>
            <w:tcW w:type="dxa" w:w="35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wlan.fc.type</w:t>
            </w:r>
          </w:p>
        </w:tc>
        <w:tc>
          <w:tcPr>
            <w:tcW w:type="dxa" w:w="23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802.11 frame control</w:t>
            </w:r>
          </w:p>
        </w:tc>
        <w:tc>
          <w:tcPr>
            <w:tcW w:type="dxa" w:w="306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Categorical encoding</w:t>
            </w:r>
          </w:p>
        </w:tc>
      </w:tr>
      <w:tr>
        <w:tc>
          <w:tcPr>
            <w:tcW w:type="dxa" w:w="357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wlan.fc.subtype</w:t>
            </w:r>
          </w:p>
        </w:tc>
        <w:tc>
          <w:tcPr>
            <w:tcW w:type="dxa" w:w="232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802.11 frame control</w:t>
            </w:r>
          </w:p>
        </w:tc>
        <w:tc>
          <w:tcPr>
            <w:tcW w:type="dxa" w:w="3061"/>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Categorical encoding</w:t>
            </w:r>
          </w:p>
        </w:tc>
      </w:tr>
      <w:tr>
        <w:tc>
          <w:tcPr>
            <w:tcW w:type="dxa" w:w="35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wlan.fc.ds</w:t>
            </w:r>
          </w:p>
        </w:tc>
        <w:tc>
          <w:tcPr>
            <w:tcW w:type="dxa" w:w="23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802.11 frame control</w:t>
            </w:r>
          </w:p>
        </w:tc>
        <w:tc>
          <w:tcPr>
            <w:tcW w:type="dxa" w:w="306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Categorical encoding</w:t>
            </w:r>
          </w:p>
        </w:tc>
      </w:tr>
      <w:tr>
        <w:tc>
          <w:tcPr>
            <w:tcW w:type="dxa" w:w="357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wlan.fc.frag</w:t>
            </w:r>
          </w:p>
        </w:tc>
        <w:tc>
          <w:tcPr>
            <w:tcW w:type="dxa" w:w="232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802.11 frame control</w:t>
            </w:r>
          </w:p>
        </w:tc>
        <w:tc>
          <w:tcPr>
            <w:tcW w:type="dxa" w:w="3061"/>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Categorical encoding</w:t>
            </w:r>
          </w:p>
        </w:tc>
      </w:tr>
      <w:tr>
        <w:tc>
          <w:tcPr>
            <w:tcW w:type="dxa" w:w="35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wlan.fc.retry</w:t>
            </w:r>
          </w:p>
        </w:tc>
        <w:tc>
          <w:tcPr>
            <w:tcW w:type="dxa" w:w="23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802.11 frame control</w:t>
            </w:r>
          </w:p>
        </w:tc>
        <w:tc>
          <w:tcPr>
            <w:tcW w:type="dxa" w:w="306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Categorical encoding</w:t>
            </w:r>
          </w:p>
        </w:tc>
      </w:tr>
      <w:tr>
        <w:tc>
          <w:tcPr>
            <w:tcW w:type="dxa" w:w="357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wlan.fc.pwrmgt</w:t>
            </w:r>
          </w:p>
        </w:tc>
        <w:tc>
          <w:tcPr>
            <w:tcW w:type="dxa" w:w="232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802.11 frame control</w:t>
            </w:r>
          </w:p>
        </w:tc>
        <w:tc>
          <w:tcPr>
            <w:tcW w:type="dxa" w:w="3061"/>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Categorical encoding</w:t>
            </w:r>
          </w:p>
        </w:tc>
      </w:tr>
      <w:tr>
        <w:tc>
          <w:tcPr>
            <w:tcW w:type="dxa" w:w="35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wlan.fc.moredata</w:t>
            </w:r>
          </w:p>
        </w:tc>
        <w:tc>
          <w:tcPr>
            <w:tcW w:type="dxa" w:w="23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802.11 frame control</w:t>
            </w:r>
          </w:p>
        </w:tc>
        <w:tc>
          <w:tcPr>
            <w:tcW w:type="dxa" w:w="306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Categorical encoding</w:t>
            </w:r>
          </w:p>
        </w:tc>
      </w:tr>
      <w:tr>
        <w:tc>
          <w:tcPr>
            <w:tcW w:type="dxa" w:w="357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wlan.fc.protected</w:t>
            </w:r>
          </w:p>
        </w:tc>
        <w:tc>
          <w:tcPr>
            <w:tcW w:type="dxa" w:w="232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802.11 frame control</w:t>
            </w:r>
          </w:p>
        </w:tc>
        <w:tc>
          <w:tcPr>
            <w:tcW w:type="dxa" w:w="3061"/>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Categorical encoding</w:t>
            </w:r>
          </w:p>
        </w:tc>
      </w:tr>
    </w:tbl>
    <w:p>
      <w:pPr>
        <w:spacing w:after="20"/>
      </w:pPr>
    </w:p>
    <w:p>
      <w:r>
        <w:t>The public reference pipeline treats frame and radio measurements as continuous inputs and frame-control fields as categorical inputs. The exact encoding should be confirmed against the authorized dataset schema before a formal reproduction run.</w:t>
      </w:r>
    </w:p>
    <w:p>
      <w:r>
        <w:br w:type="page"/>
      </w:r>
    </w:p>
    <w:p>
      <w:pPr>
        <w:pStyle w:val="Heading1"/>
      </w:pPr>
      <w:r>
        <w:t>Leakage controls and evaluation pipeline</w:t>
      </w:r>
    </w:p>
    <w:p>
      <w:pPr>
        <w:pStyle w:val="Heading2"/>
      </w:pPr>
      <w:r>
        <w:t>Capture level grouping</w:t>
      </w:r>
    </w:p>
    <w:p>
      <w:r>
        <w:t>Wireless captures contain temporal and environmental dependencies. If frames from the same source capture appear in both partitions, a classifier may recognize capture-specific patterns rather than attack behavior. The reference pipeline groups rows by source file and assigns each capture exclusively to train or test.</w:t>
      </w:r>
    </w:p>
    <w:p>
      <w:pPr>
        <w:pStyle w:val="Heading2"/>
      </w:pPr>
      <w:r>
        <w:t>Processing sequence</w:t>
      </w:r>
    </w:p>
    <w:tbl>
      <w:tblPr>
        <w:tblW w:type="auto" w:w="0"/>
        <w:jc w:val="center"/>
        <w:tblLayout w:type="fixed"/>
        <w:tblLook w:firstColumn="1" w:firstRow="1" w:lastColumn="0" w:lastRow="0" w:noHBand="0" w:noVBand="1" w:val="04A0"/>
      </w:tblPr>
      <w:tblGrid>
        <w:gridCol w:w="3249"/>
        <w:gridCol w:w="3249"/>
        <w:gridCol w:w="3249"/>
      </w:tblGrid>
      <w:tr>
        <w:trPr>
          <w:tblHeader w:val="true"/>
        </w:trPr>
        <w:tc>
          <w:tcPr>
            <w:tcW w:type="dxa" w:w="79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7"/>
              </w:rPr>
              <w:t>Stage</w:t>
            </w:r>
          </w:p>
        </w:tc>
        <w:tc>
          <w:tcPr>
            <w:tcW w:type="dxa" w:w="430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7"/>
              </w:rPr>
              <w:t>Action</w:t>
            </w:r>
          </w:p>
        </w:tc>
        <w:tc>
          <w:tcPr>
            <w:tcW w:type="dxa" w:w="3855"/>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7"/>
              </w:rPr>
              <w:t>Control objective</w:t>
            </w:r>
          </w:p>
        </w:tc>
      </w:tr>
      <w:tr>
        <w:tc>
          <w:tcPr>
            <w:tcW w:type="dxa" w:w="79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1</w:t>
            </w:r>
          </w:p>
        </w:tc>
        <w:tc>
          <w:tcPr>
            <w:tcW w:type="dxa" w:w="4309"/>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Map source labels to Normal, Flooding, or Impersonation</w:t>
            </w:r>
          </w:p>
        </w:tc>
        <w:tc>
          <w:tcPr>
            <w:tcW w:type="dxa" w:w="385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Keep the public classification scope explicit</w:t>
            </w:r>
          </w:p>
        </w:tc>
      </w:tr>
      <w:tr>
        <w:tc>
          <w:tcPr>
            <w:tcW w:type="dxa" w:w="79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2</w:t>
            </w:r>
          </w:p>
        </w:tc>
        <w:tc>
          <w:tcPr>
            <w:tcW w:type="dxa" w:w="4309"/>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Select the documented 16 features</w:t>
            </w:r>
          </w:p>
        </w:tc>
        <w:tc>
          <w:tcPr>
            <w:tcW w:type="dxa" w:w="3855"/>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Exclude timestamps and frame numbers</w:t>
            </w:r>
          </w:p>
        </w:tc>
      </w:tr>
      <w:tr>
        <w:tc>
          <w:tcPr>
            <w:tcW w:type="dxa" w:w="79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3</w:t>
            </w:r>
          </w:p>
        </w:tc>
        <w:tc>
          <w:tcPr>
            <w:tcW w:type="dxa" w:w="4309"/>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Impute, scale continuous fields, and encode categorical fields</w:t>
            </w:r>
          </w:p>
        </w:tc>
        <w:tc>
          <w:tcPr>
            <w:tcW w:type="dxa" w:w="385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Apply transformations inside the training pipeline</w:t>
            </w:r>
          </w:p>
        </w:tc>
      </w:tr>
      <w:tr>
        <w:tc>
          <w:tcPr>
            <w:tcW w:type="dxa" w:w="79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4</w:t>
            </w:r>
          </w:p>
        </w:tc>
        <w:tc>
          <w:tcPr>
            <w:tcW w:type="dxa" w:w="4309"/>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Use GroupShuffleSplit by source file</w:t>
            </w:r>
          </w:p>
        </w:tc>
        <w:tc>
          <w:tcPr>
            <w:tcW w:type="dxa" w:w="3855"/>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Prevent capture overlap</w:t>
            </w:r>
          </w:p>
        </w:tc>
      </w:tr>
      <w:tr>
        <w:tc>
          <w:tcPr>
            <w:tcW w:type="dxa" w:w="79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5</w:t>
            </w:r>
          </w:p>
        </w:tc>
        <w:tc>
          <w:tcPr>
            <w:tcW w:type="dxa" w:w="4309"/>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Fit one declared classifier</w:t>
            </w:r>
          </w:p>
        </w:tc>
        <w:tc>
          <w:tcPr>
            <w:tcW w:type="dxa" w:w="385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Keep parameters and random seed reviewable</w:t>
            </w:r>
          </w:p>
        </w:tc>
      </w:tr>
      <w:tr>
        <w:tc>
          <w:tcPr>
            <w:tcW w:type="dxa" w:w="79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6</w:t>
            </w:r>
          </w:p>
        </w:tc>
        <w:tc>
          <w:tcPr>
            <w:tcW w:type="dxa" w:w="4309"/>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Export metrics, per-class report, confusion matrix, groups, and model</w:t>
            </w:r>
          </w:p>
        </w:tc>
        <w:tc>
          <w:tcPr>
            <w:tcW w:type="dxa" w:w="3855"/>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Create an auditable run record</w:t>
            </w:r>
          </w:p>
        </w:tc>
      </w:tr>
    </w:tbl>
    <w:p>
      <w:pPr>
        <w:spacing w:after="20"/>
      </w:pPr>
    </w:p>
    <w:p>
      <w:pPr>
        <w:pStyle w:val="Heading2"/>
      </w:pPr>
      <w:r>
        <w:t>Metric set</w:t>
      </w:r>
    </w:p>
    <w:p>
      <w:pPr>
        <w:pStyle w:val="ListBullet"/>
        <w:spacing w:after="80"/>
        <w:ind w:left="312" w:hanging="142"/>
      </w:pPr>
      <w:r>
        <w:t>Macro F1 is the primary comparison metric because every class contributes equally.</w:t>
      </w:r>
    </w:p>
    <w:p>
      <w:pPr>
        <w:pStyle w:val="ListBullet"/>
        <w:spacing w:after="80"/>
        <w:ind w:left="312" w:hanging="142"/>
      </w:pPr>
      <w:r>
        <w:t>Balanced accuracy provides a recall-oriented cross-check across classes.</w:t>
      </w:r>
    </w:p>
    <w:p>
      <w:pPr>
        <w:pStyle w:val="ListBullet"/>
        <w:spacing w:after="80"/>
        <w:ind w:left="312" w:hanging="142"/>
      </w:pPr>
      <w:r>
        <w:t>Macro precision and recall separate alert burden from missed detections.</w:t>
      </w:r>
    </w:p>
    <w:p>
      <w:pPr>
        <w:pStyle w:val="ListBullet"/>
        <w:spacing w:after="80"/>
        <w:ind w:left="312" w:hanging="142"/>
      </w:pPr>
      <w:r>
        <w:t>Per-class F1 and confusion matrices expose the minority-class behavior hidden by aggregate accuracy.</w:t>
      </w:r>
    </w:p>
    <w:p>
      <w:pPr>
        <w:pStyle w:val="ListBullet"/>
        <w:spacing w:after="80"/>
        <w:ind w:left="312" w:hanging="142"/>
      </w:pPr>
      <w:r>
        <w:t>Fit and prediction time must be measured separately; fit time does not establish real-time suitability.</w:t>
      </w:r>
    </w:p>
    <w:p>
      <w:r>
        <w:br w:type="page"/>
      </w:r>
    </w:p>
    <w:p>
      <w:pPr>
        <w:pStyle w:val="Heading1"/>
      </w:pPr>
      <w:r>
        <w:t>Reported model results</w:t>
      </w:r>
    </w:p>
    <w:tbl>
      <w:tblPr>
        <w:tblW w:type="auto" w:w="0"/>
        <w:jc w:val="center"/>
        <w:tblLayout w:type="fixed"/>
        <w:tblLook w:firstColumn="1" w:firstRow="1" w:lastColumn="0" w:lastRow="0" w:noHBand="0" w:noVBand="1" w:val="04A0"/>
      </w:tblPr>
      <w:tblGrid>
        <w:gridCol w:w="1392"/>
        <w:gridCol w:w="1392"/>
        <w:gridCol w:w="1392"/>
        <w:gridCol w:w="1392"/>
        <w:gridCol w:w="1392"/>
        <w:gridCol w:w="1392"/>
        <w:gridCol w:w="1392"/>
      </w:tblGrid>
      <w:tr>
        <w:trPr>
          <w:tblHeader w:val="true"/>
        </w:trPr>
        <w:tc>
          <w:tcPr>
            <w:tcW w:type="dxa" w:w="232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5"/>
              </w:rPr>
              <w:t>Model</w:t>
            </w:r>
          </w:p>
        </w:tc>
        <w:tc>
          <w:tcPr>
            <w:tcW w:type="dxa" w:w="1077"/>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5"/>
              </w:rPr>
              <w:t>Accuracy</w:t>
            </w:r>
          </w:p>
        </w:tc>
        <w:tc>
          <w:tcPr>
            <w:tcW w:type="dxa" w:w="1077"/>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5"/>
              </w:rPr>
              <w:t>Bal Acc</w:t>
            </w:r>
          </w:p>
        </w:tc>
        <w:tc>
          <w:tcPr>
            <w:tcW w:type="dxa" w:w="1077"/>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5"/>
              </w:rPr>
              <w:t>Macro P</w:t>
            </w:r>
          </w:p>
        </w:tc>
        <w:tc>
          <w:tcPr>
            <w:tcW w:type="dxa" w:w="1077"/>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5"/>
              </w:rPr>
              <w:t>Macro R</w:t>
            </w:r>
          </w:p>
        </w:tc>
        <w:tc>
          <w:tcPr>
            <w:tcW w:type="dxa" w:w="113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5"/>
              </w:rPr>
              <w:t>Macro F1</w:t>
            </w:r>
          </w:p>
        </w:tc>
        <w:tc>
          <w:tcPr>
            <w:tcW w:type="dxa" w:w="96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5"/>
              </w:rPr>
              <w:t>Fit s</w:t>
            </w:r>
          </w:p>
        </w:tc>
      </w:tr>
      <w:tr>
        <w:tc>
          <w:tcPr>
            <w:tcW w:type="dxa" w:w="23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5"/>
              </w:rPr>
              <w:t>Random Forest</w:t>
            </w:r>
          </w:p>
        </w:tc>
        <w:tc>
          <w:tcPr>
            <w:tcW w:type="dxa" w:w="107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98.74</w:t>
            </w:r>
          </w:p>
        </w:tc>
        <w:tc>
          <w:tcPr>
            <w:tcW w:type="dxa" w:w="107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98.78</w:t>
            </w:r>
          </w:p>
        </w:tc>
        <w:tc>
          <w:tcPr>
            <w:tcW w:type="dxa" w:w="107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97.95</w:t>
            </w:r>
          </w:p>
        </w:tc>
        <w:tc>
          <w:tcPr>
            <w:tcW w:type="dxa" w:w="107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98.78</w:t>
            </w:r>
          </w:p>
        </w:tc>
        <w:tc>
          <w:tcPr>
            <w:tcW w:type="dxa" w:w="113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98.36</w:t>
            </w:r>
          </w:p>
        </w:tc>
        <w:tc>
          <w:tcPr>
            <w:tcW w:type="dxa" w:w="96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95.5</w:t>
            </w:r>
          </w:p>
        </w:tc>
      </w:tr>
      <w:tr>
        <w:tc>
          <w:tcPr>
            <w:tcW w:type="dxa" w:w="232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5"/>
              </w:rPr>
              <w:t>Extra Trees</w:t>
            </w:r>
          </w:p>
        </w:tc>
        <w:tc>
          <w:tcPr>
            <w:tcW w:type="dxa" w:w="1077"/>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98.75</w:t>
            </w:r>
          </w:p>
        </w:tc>
        <w:tc>
          <w:tcPr>
            <w:tcW w:type="dxa" w:w="1077"/>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98.78</w:t>
            </w:r>
          </w:p>
        </w:tc>
        <w:tc>
          <w:tcPr>
            <w:tcW w:type="dxa" w:w="1077"/>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98.00</w:t>
            </w:r>
          </w:p>
        </w:tc>
        <w:tc>
          <w:tcPr>
            <w:tcW w:type="dxa" w:w="1077"/>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98.78</w:t>
            </w:r>
          </w:p>
        </w:tc>
        <w:tc>
          <w:tcPr>
            <w:tcW w:type="dxa" w:w="113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98.39</w:t>
            </w:r>
          </w:p>
        </w:tc>
        <w:tc>
          <w:tcPr>
            <w:tcW w:type="dxa" w:w="96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152.2</w:t>
            </w:r>
          </w:p>
        </w:tc>
      </w:tr>
      <w:tr>
        <w:tc>
          <w:tcPr>
            <w:tcW w:type="dxa" w:w="23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5"/>
              </w:rPr>
              <w:t>HistGradientBoosting</w:t>
            </w:r>
          </w:p>
        </w:tc>
        <w:tc>
          <w:tcPr>
            <w:tcW w:type="dxa" w:w="107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98.77</w:t>
            </w:r>
          </w:p>
        </w:tc>
        <w:tc>
          <w:tcPr>
            <w:tcW w:type="dxa" w:w="107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98.59</w:t>
            </w:r>
          </w:p>
        </w:tc>
        <w:tc>
          <w:tcPr>
            <w:tcW w:type="dxa" w:w="107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98.73</w:t>
            </w:r>
          </w:p>
        </w:tc>
        <w:tc>
          <w:tcPr>
            <w:tcW w:type="dxa" w:w="107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98.59</w:t>
            </w:r>
          </w:p>
        </w:tc>
        <w:tc>
          <w:tcPr>
            <w:tcW w:type="dxa" w:w="113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98.66</w:t>
            </w:r>
          </w:p>
        </w:tc>
        <w:tc>
          <w:tcPr>
            <w:tcW w:type="dxa" w:w="96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46.2</w:t>
            </w:r>
          </w:p>
        </w:tc>
      </w:tr>
      <w:tr>
        <w:tc>
          <w:tcPr>
            <w:tcW w:type="dxa" w:w="232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5"/>
              </w:rPr>
              <w:t>Decision Tree</w:t>
            </w:r>
          </w:p>
        </w:tc>
        <w:tc>
          <w:tcPr>
            <w:tcW w:type="dxa" w:w="1077"/>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98.74</w:t>
            </w:r>
          </w:p>
        </w:tc>
        <w:tc>
          <w:tcPr>
            <w:tcW w:type="dxa" w:w="1077"/>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98.78</w:t>
            </w:r>
          </w:p>
        </w:tc>
        <w:tc>
          <w:tcPr>
            <w:tcW w:type="dxa" w:w="1077"/>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97.92</w:t>
            </w:r>
          </w:p>
        </w:tc>
        <w:tc>
          <w:tcPr>
            <w:tcW w:type="dxa" w:w="1077"/>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98.78</w:t>
            </w:r>
          </w:p>
        </w:tc>
        <w:tc>
          <w:tcPr>
            <w:tcW w:type="dxa" w:w="113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98.34</w:t>
            </w:r>
          </w:p>
        </w:tc>
        <w:tc>
          <w:tcPr>
            <w:tcW w:type="dxa" w:w="96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11.8</w:t>
            </w:r>
          </w:p>
        </w:tc>
      </w:tr>
      <w:tr>
        <w:tc>
          <w:tcPr>
            <w:tcW w:type="dxa" w:w="23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5"/>
              </w:rPr>
              <w:t>XGBoost</w:t>
            </w:r>
          </w:p>
        </w:tc>
        <w:tc>
          <w:tcPr>
            <w:tcW w:type="dxa" w:w="107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98.79</w:t>
            </w:r>
          </w:p>
        </w:tc>
        <w:tc>
          <w:tcPr>
            <w:tcW w:type="dxa" w:w="107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98.74</w:t>
            </w:r>
          </w:p>
        </w:tc>
        <w:tc>
          <w:tcPr>
            <w:tcW w:type="dxa" w:w="107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98.74</w:t>
            </w:r>
          </w:p>
        </w:tc>
        <w:tc>
          <w:tcPr>
            <w:tcW w:type="dxa" w:w="107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98.74</w:t>
            </w:r>
          </w:p>
        </w:tc>
        <w:tc>
          <w:tcPr>
            <w:tcW w:type="dxa" w:w="113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98.74</w:t>
            </w:r>
          </w:p>
        </w:tc>
        <w:tc>
          <w:tcPr>
            <w:tcW w:type="dxa" w:w="96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75.6</w:t>
            </w:r>
          </w:p>
        </w:tc>
      </w:tr>
      <w:tr>
        <w:tc>
          <w:tcPr>
            <w:tcW w:type="dxa" w:w="232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5"/>
              </w:rPr>
              <w:t>LightGBM</w:t>
            </w:r>
          </w:p>
        </w:tc>
        <w:tc>
          <w:tcPr>
            <w:tcW w:type="dxa" w:w="1077"/>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98.73</w:t>
            </w:r>
          </w:p>
        </w:tc>
        <w:tc>
          <w:tcPr>
            <w:tcW w:type="dxa" w:w="1077"/>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98.74</w:t>
            </w:r>
          </w:p>
        </w:tc>
        <w:tc>
          <w:tcPr>
            <w:tcW w:type="dxa" w:w="1077"/>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97.66</w:t>
            </w:r>
          </w:p>
        </w:tc>
        <w:tc>
          <w:tcPr>
            <w:tcW w:type="dxa" w:w="1077"/>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98.74</w:t>
            </w:r>
          </w:p>
        </w:tc>
        <w:tc>
          <w:tcPr>
            <w:tcW w:type="dxa" w:w="113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98.19</w:t>
            </w:r>
          </w:p>
        </w:tc>
        <w:tc>
          <w:tcPr>
            <w:tcW w:type="dxa" w:w="96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28.0</w:t>
            </w:r>
          </w:p>
        </w:tc>
      </w:tr>
    </w:tbl>
    <w:p>
      <w:pPr>
        <w:spacing w:after="20"/>
      </w:pPr>
    </w:p>
    <w:p>
      <w:r>
        <w:t>XGBoost has the highest reported macro F1 at 98.74 percent. HistGradientBoosting follows at 98.66 percent. Decision Tree reports 98.34 percent macro F1 with an 11.8 second fit time, which makes it a useful baseline. The total macro F1 spread is 0.55 percentage points.</w:t>
      </w:r>
    </w:p>
    <w:p>
      <w:pPr>
        <w:pStyle w:val="Heading2"/>
      </w:pPr>
      <w:r>
        <w:t>Interpretation</w:t>
      </w:r>
    </w:p>
    <w:p>
      <w:r>
        <w:t>The small spread supports a cautious conclusion: under the documented feature representation, several tree-based models separate the three classes well. It does not prove that one feature or one model will transfer unchanged to a new site. Signal strength, channel use, device mix, firmware, and capture hardware can all create environment-specific patterns.</w:t>
      </w:r>
    </w:p>
    <w:p>
      <w:r>
        <w:t>The reported training times describe one undocumented execution environment and cannot support capacity planning. A production assessment needs prediction throughput, end-to-end event latency, memory use, telemetry loss, and alert volume.</w:t>
      </w:r>
    </w:p>
    <w:p>
      <w:r>
        <w:br w:type="page"/>
      </w:r>
    </w:p>
    <w:p>
      <w:pPr>
        <w:pStyle w:val="Heading1"/>
      </w:pPr>
      <w:r>
        <w:t>Class results and metric caution</w:t>
      </w:r>
    </w:p>
    <w:tbl>
      <w:tblPr>
        <w:tblW w:type="auto" w:w="0"/>
        <w:jc w:val="center"/>
        <w:tblLayout w:type="fixed"/>
        <w:tblLook w:firstColumn="1" w:firstRow="1" w:lastColumn="0" w:lastRow="0" w:noHBand="0" w:noVBand="1" w:val="04A0"/>
      </w:tblPr>
      <w:tblGrid>
        <w:gridCol w:w="2436"/>
        <w:gridCol w:w="2436"/>
        <w:gridCol w:w="2436"/>
        <w:gridCol w:w="2436"/>
      </w:tblGrid>
      <w:tr>
        <w:trPr>
          <w:tblHeader w:val="true"/>
        </w:trPr>
        <w:tc>
          <w:tcPr>
            <w:tcW w:type="dxa" w:w="3005"/>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7"/>
              </w:rPr>
              <w:t>Model</w:t>
            </w:r>
          </w:p>
        </w:tc>
        <w:tc>
          <w:tcPr>
            <w:tcW w:type="dxa" w:w="192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7"/>
              </w:rPr>
              <w:t>Flooding F1</w:t>
            </w:r>
          </w:p>
        </w:tc>
        <w:tc>
          <w:tcPr>
            <w:tcW w:type="dxa" w:w="226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7"/>
              </w:rPr>
              <w:t>Impersonation F1</w:t>
            </w:r>
          </w:p>
        </w:tc>
        <w:tc>
          <w:tcPr>
            <w:tcW w:type="dxa" w:w="192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7"/>
              </w:rPr>
              <w:t>Normal F1</w:t>
            </w:r>
          </w:p>
        </w:tc>
      </w:tr>
      <w:tr>
        <w:tc>
          <w:tcPr>
            <w:tcW w:type="dxa" w:w="300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Random Forest</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98.74</w:t>
            </w:r>
          </w:p>
        </w:tc>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97.57</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98.77</w:t>
            </w:r>
          </w:p>
        </w:tc>
      </w:tr>
      <w:tr>
        <w:tc>
          <w:tcPr>
            <w:tcW w:type="dxa" w:w="3005"/>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Extra Trees</w:t>
            </w:r>
          </w:p>
        </w:tc>
        <w:tc>
          <w:tcPr>
            <w:tcW w:type="dxa" w:w="192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98.73</w:t>
            </w:r>
          </w:p>
        </w:tc>
        <w:tc>
          <w:tcPr>
            <w:tcW w:type="dxa" w:w="226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97.65</w:t>
            </w:r>
          </w:p>
        </w:tc>
        <w:tc>
          <w:tcPr>
            <w:tcW w:type="dxa" w:w="192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98.77</w:t>
            </w:r>
          </w:p>
        </w:tc>
      </w:tr>
      <w:tr>
        <w:tc>
          <w:tcPr>
            <w:tcW w:type="dxa" w:w="300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HistGradientBoosting</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98.52</w:t>
            </w:r>
          </w:p>
        </w:tc>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98.68</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98.78</w:t>
            </w:r>
          </w:p>
        </w:tc>
      </w:tr>
      <w:tr>
        <w:tc>
          <w:tcPr>
            <w:tcW w:type="dxa" w:w="3005"/>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Decision Tree</w:t>
            </w:r>
          </w:p>
        </w:tc>
        <w:tc>
          <w:tcPr>
            <w:tcW w:type="dxa" w:w="192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98.74</w:t>
            </w:r>
          </w:p>
        </w:tc>
        <w:tc>
          <w:tcPr>
            <w:tcW w:type="dxa" w:w="226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97.52</w:t>
            </w:r>
          </w:p>
        </w:tc>
        <w:tc>
          <w:tcPr>
            <w:tcW w:type="dxa" w:w="192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98.77</w:t>
            </w:r>
          </w:p>
        </w:tc>
      </w:tr>
      <w:tr>
        <w:tc>
          <w:tcPr>
            <w:tcW w:type="dxa" w:w="300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XGBoost</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98.74</w:t>
            </w:r>
          </w:p>
        </w:tc>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98.69</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98.79</w:t>
            </w:r>
          </w:p>
        </w:tc>
      </w:tr>
      <w:tr>
        <w:tc>
          <w:tcPr>
            <w:tcW w:type="dxa" w:w="3005"/>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LightGBM</w:t>
            </w:r>
          </w:p>
        </w:tc>
        <w:tc>
          <w:tcPr>
            <w:tcW w:type="dxa" w:w="192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98.68</w:t>
            </w:r>
          </w:p>
        </w:tc>
        <w:tc>
          <w:tcPr>
            <w:tcW w:type="dxa" w:w="226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97.12</w:t>
            </w:r>
          </w:p>
        </w:tc>
        <w:tc>
          <w:tcPr>
            <w:tcW w:type="dxa" w:w="192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98.76</w:t>
            </w:r>
          </w:p>
        </w:tc>
      </w:tr>
    </w:tbl>
    <w:p>
      <w:pPr>
        <w:spacing w:after="20"/>
      </w:pPr>
    </w:p>
    <w:p>
      <w:r>
        <w:t>Impersonation varies from 97.12 to 98.69 percent F1, a wider range than Normal. XGBoost has the highest reported Impersonation F1 by a narrow margin over HistGradientBoosting. This class deserves separate threshold and confusion-matrix review because it represents the smallest share of the reported subset.</w:t>
      </w:r>
    </w:p>
    <w:p>
      <w:pPr>
        <w:pStyle w:val="Heading2"/>
      </w:pPr>
      <w:r>
        <w:t>Why F1 cannot produce a miss count</w:t>
      </w:r>
    </w:p>
    <w:p>
      <w:r>
        <w:t>F1 combines precision and recall. A value of 98.69 percent does not mean that 13 of every 1,000 attacks were missed. That calculation would require recall, the number of actual attack records, the decision threshold, and the confusion matrix for the same test set. The public edition therefore removes miss-count estimates derived only from F1.</w:t>
      </w:r>
    </w:p>
    <w:p>
      <w:pPr>
        <w:pStyle w:val="Heading2"/>
      </w:pPr>
      <w:r>
        <w:t>Archived confusion counts</w:t>
      </w:r>
    </w:p>
    <w:p>
      <w:r>
        <w:t>The source presentation includes selected false-negative and false-positive counts, but the test-set class totals and prediction export were not found. The counts remain in data/results/confusion_summary.csv as reported, unverified evidence and are not used for additional calculations.</w:t>
      </w:r>
    </w:p>
    <w:p>
      <w:r>
        <w:br w:type="page"/>
      </w:r>
    </w:p>
    <w:p>
      <w:pPr>
        <w:pStyle w:val="Heading1"/>
      </w:pPr>
      <w:r>
        <w:t>Detection engineering blueprint</w:t>
      </w:r>
    </w:p>
    <w:p>
      <w:r>
        <w:t>A practical Wi Fi detection capability should combine protocol rules, statistical baselines, and machine-learning scoring. The classifier should contribute evidence to an alert rather than act as the sole authority for containment.</w:t>
      </w:r>
    </w:p>
    <w:tbl>
      <w:tblPr>
        <w:tblW w:type="auto" w:w="0"/>
        <w:jc w:val="center"/>
        <w:tblLayout w:type="fixed"/>
        <w:tblLook w:firstColumn="1" w:firstRow="1" w:lastColumn="0" w:lastRow="0" w:noHBand="0" w:noVBand="1" w:val="04A0"/>
      </w:tblPr>
      <w:tblGrid>
        <w:gridCol w:w="3249"/>
        <w:gridCol w:w="3249"/>
        <w:gridCol w:w="3249"/>
      </w:tblGrid>
      <w:tr>
        <w:trPr>
          <w:tblHeader w:val="true"/>
        </w:trPr>
        <w:tc>
          <w:tcPr>
            <w:tcW w:type="dxa" w:w="181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7"/>
              </w:rPr>
              <w:t>Layer</w:t>
            </w:r>
          </w:p>
        </w:tc>
        <w:tc>
          <w:tcPr>
            <w:tcW w:type="dxa" w:w="311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7"/>
              </w:rPr>
              <w:t>Function</w:t>
            </w:r>
          </w:p>
        </w:tc>
        <w:tc>
          <w:tcPr>
            <w:tcW w:type="dxa" w:w="396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7"/>
              </w:rPr>
              <w:t>Required evidence</w:t>
            </w:r>
          </w:p>
        </w:tc>
      </w:tr>
      <w:tr>
        <w:tc>
          <w:tcPr>
            <w:tcW w:type="dxa" w:w="181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Sensor</w:t>
            </w:r>
          </w:p>
        </w:tc>
        <w:tc>
          <w:tcPr>
            <w:tcW w:type="dxa" w:w="311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Capture monitor-mode frames with stable sensor metadata</w:t>
            </w:r>
          </w:p>
        </w:tc>
        <w:tc>
          <w:tcPr>
            <w:tcW w:type="dxa" w:w="3969"/>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Sensor ID, channel, capture time, packet-loss indicators</w:t>
            </w:r>
          </w:p>
        </w:tc>
      </w:tr>
      <w:tr>
        <w:tc>
          <w:tcPr>
            <w:tcW w:type="dxa" w:w="181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Protocol analytics</w:t>
            </w:r>
          </w:p>
        </w:tc>
        <w:tc>
          <w:tcPr>
            <w:tcW w:type="dxa" w:w="311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Detect management-frame abuse and handshake anomalies</w:t>
            </w:r>
          </w:p>
        </w:tc>
        <w:tc>
          <w:tcPr>
            <w:tcW w:type="dxa" w:w="3969"/>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Frame subtype, protection state, rate, sequence, station context</w:t>
            </w:r>
          </w:p>
        </w:tc>
      </w:tr>
      <w:tr>
        <w:tc>
          <w:tcPr>
            <w:tcW w:type="dxa" w:w="181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Behavior baseline</w:t>
            </w:r>
          </w:p>
        </w:tc>
        <w:tc>
          <w:tcPr>
            <w:tcW w:type="dxa" w:w="311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Compare rates and radio conditions with each site</w:t>
            </w:r>
          </w:p>
        </w:tc>
        <w:tc>
          <w:tcPr>
            <w:tcW w:type="dxa" w:w="3969"/>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Historical windows by AP, channel, device class, and time</w:t>
            </w:r>
          </w:p>
        </w:tc>
      </w:tr>
      <w:tr>
        <w:tc>
          <w:tcPr>
            <w:tcW w:type="dxa" w:w="181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ML score</w:t>
            </w:r>
          </w:p>
        </w:tc>
        <w:tc>
          <w:tcPr>
            <w:tcW w:type="dxa" w:w="311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Classify the documented traffic scope</w:t>
            </w:r>
          </w:p>
        </w:tc>
        <w:tc>
          <w:tcPr>
            <w:tcW w:type="dxa" w:w="3969"/>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Model version, score, feature values, threshold</w:t>
            </w:r>
          </w:p>
        </w:tc>
      </w:tr>
      <w:tr>
        <w:tc>
          <w:tcPr>
            <w:tcW w:type="dxa" w:w="181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Correlation</w:t>
            </w:r>
          </w:p>
        </w:tc>
        <w:tc>
          <w:tcPr>
            <w:tcW w:type="dxa" w:w="311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Join wireless evidence with identity and infrastructure logs</w:t>
            </w:r>
          </w:p>
        </w:tc>
        <w:tc>
          <w:tcPr>
            <w:tcW w:type="dxa" w:w="3969"/>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AP, RADIUS, DHCP, endpoint, and network events</w:t>
            </w:r>
          </w:p>
        </w:tc>
      </w:tr>
      <w:tr>
        <w:tc>
          <w:tcPr>
            <w:tcW w:type="dxa" w:w="181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Response</w:t>
            </w:r>
          </w:p>
        </w:tc>
        <w:tc>
          <w:tcPr>
            <w:tcW w:type="dxa" w:w="311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Guide triage and authorized containment</w:t>
            </w:r>
          </w:p>
        </w:tc>
        <w:tc>
          <w:tcPr>
            <w:tcW w:type="dxa" w:w="3969"/>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Evidence bundle, confidence, owner, runbook decision</w:t>
            </w:r>
          </w:p>
        </w:tc>
      </w:tr>
    </w:tbl>
    <w:p>
      <w:pPr>
        <w:spacing w:after="20"/>
      </w:pPr>
    </w:p>
    <w:p>
      <w:pPr>
        <w:pStyle w:val="Heading2"/>
      </w:pPr>
      <w:r>
        <w:t>Validation gates</w:t>
      </w:r>
    </w:p>
    <w:p>
      <w:pPr>
        <w:pStyle w:val="ListBullet"/>
        <w:spacing w:after="80"/>
        <w:ind w:left="312" w:hanging="142"/>
      </w:pPr>
      <w:r>
        <w:t>Hold out complete captures, later time periods, device types, and locations.</w:t>
      </w:r>
    </w:p>
    <w:p>
      <w:pPr>
        <w:pStyle w:val="ListBullet"/>
        <w:spacing w:after="80"/>
        <w:ind w:left="312" w:hanging="142"/>
      </w:pPr>
      <w:r>
        <w:t>Measure prediction throughput and alert latency at expected peak frame rates.</w:t>
      </w:r>
    </w:p>
    <w:p>
      <w:pPr>
        <w:pStyle w:val="ListBullet"/>
        <w:spacing w:after="80"/>
        <w:ind w:left="312" w:hanging="142"/>
      </w:pPr>
      <w:r>
        <w:t>Review false positives with analysts and define an acceptable alert budget.</w:t>
      </w:r>
    </w:p>
    <w:p>
      <w:pPr>
        <w:pStyle w:val="ListBullet"/>
        <w:spacing w:after="80"/>
        <w:ind w:left="312" w:hanging="142"/>
      </w:pPr>
      <w:r>
        <w:t>Track drift caused by firmware, sensor hardware, channel plans, and client populations.</w:t>
      </w:r>
    </w:p>
    <w:p>
      <w:pPr>
        <w:pStyle w:val="ListBullet"/>
        <w:spacing w:after="80"/>
        <w:ind w:left="312" w:hanging="142"/>
      </w:pPr>
      <w:r>
        <w:t>Test spoofed signal strength, replay, malformed frames, and missing telemetry.</w:t>
      </w:r>
    </w:p>
    <w:p>
      <w:pPr>
        <w:pStyle w:val="ListBullet"/>
        <w:spacing w:after="80"/>
        <w:ind w:left="312" w:hanging="142"/>
      </w:pPr>
      <w:r>
        <w:t>Require corroborating evidence before automated disconnection or blocking.</w:t>
      </w:r>
    </w:p>
    <w:p>
      <w:r>
        <w:br w:type="page"/>
      </w:r>
    </w:p>
    <w:p>
      <w:pPr>
        <w:pStyle w:val="Heading1"/>
      </w:pPr>
      <w:r>
        <w:t>Limitations and reproducibility</w:t>
      </w:r>
    </w:p>
    <w:tbl>
      <w:tblPr>
        <w:tblW w:type="auto" w:w="0"/>
        <w:jc w:val="center"/>
        <w:tblLayout w:type="fixed"/>
        <w:tblLook w:firstColumn="1" w:firstRow="1" w:lastColumn="0" w:lastRow="0" w:noHBand="0" w:noVBand="1" w:val="04A0"/>
      </w:tblPr>
      <w:tblGrid>
        <w:gridCol w:w="3249"/>
        <w:gridCol w:w="3249"/>
        <w:gridCol w:w="3249"/>
      </w:tblGrid>
      <w:tr>
        <w:trPr>
          <w:tblHeader w:val="true"/>
        </w:trPr>
        <w:tc>
          <w:tcPr>
            <w:tcW w:type="dxa" w:w="249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6"/>
              </w:rPr>
              <w:t>Limitation</w:t>
            </w:r>
          </w:p>
        </w:tc>
        <w:tc>
          <w:tcPr>
            <w:tcW w:type="dxa" w:w="289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6"/>
              </w:rPr>
              <w:t>Effect</w:t>
            </w:r>
          </w:p>
        </w:tc>
        <w:tc>
          <w:tcPr>
            <w:tcW w:type="dxa" w:w="357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6"/>
              </w:rPr>
              <w:t>Required improvement</w:t>
            </w:r>
          </w:p>
        </w:tc>
      </w:tr>
      <w:tr>
        <w:tc>
          <w:tcPr>
            <w:tcW w:type="dxa" w:w="249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Original raw data snapshot unavailable</w:t>
            </w:r>
          </w:p>
        </w:tc>
        <w:tc>
          <w:tcPr>
            <w:tcW w:type="dxa" w:w="289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Cannot verify records or labels used in the archived experiment</w:t>
            </w:r>
          </w:p>
        </w:tc>
        <w:tc>
          <w:tcPr>
            <w:tcW w:type="dxa" w:w="35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Record dataset release, hashes, and file manifest</w:t>
            </w:r>
          </w:p>
        </w:tc>
      </w:tr>
      <w:tr>
        <w:tc>
          <w:tcPr>
            <w:tcW w:type="dxa" w:w="249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Original code and environment unavailable</w:t>
            </w:r>
          </w:p>
        </w:tc>
        <w:tc>
          <w:tcPr>
            <w:tcW w:type="dxa" w:w="2891"/>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Cannot reproduce preprocessing, split, or timing</w:t>
            </w:r>
          </w:p>
        </w:tc>
        <w:tc>
          <w:tcPr>
            <w:tcW w:type="dxa" w:w="357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Commit code, lock file, seed, hardware, and logs</w:t>
            </w:r>
          </w:p>
        </w:tc>
      </w:tr>
      <w:tr>
        <w:tc>
          <w:tcPr>
            <w:tcW w:type="dxa" w:w="249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Single reported split</w:t>
            </w:r>
          </w:p>
        </w:tc>
        <w:tc>
          <w:tcPr>
            <w:tcW w:type="dxa" w:w="289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Performance may depend on one group allocation</w:t>
            </w:r>
          </w:p>
        </w:tc>
        <w:tc>
          <w:tcPr>
            <w:tcW w:type="dxa" w:w="35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Use repeated group-aware validation and fixed manifests</w:t>
            </w:r>
          </w:p>
        </w:tc>
      </w:tr>
      <w:tr>
        <w:tc>
          <w:tcPr>
            <w:tcW w:type="dxa" w:w="249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Lab dataset</w:t>
            </w:r>
          </w:p>
        </w:tc>
        <w:tc>
          <w:tcPr>
            <w:tcW w:type="dxa" w:w="2891"/>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Site transfer remains uncertain</w:t>
            </w:r>
          </w:p>
        </w:tc>
        <w:tc>
          <w:tcPr>
            <w:tcW w:type="dxa" w:w="357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Evaluate on a separate environment and later collection period</w:t>
            </w:r>
          </w:p>
        </w:tc>
      </w:tr>
      <w:tr>
        <w:tc>
          <w:tcPr>
            <w:tcW w:type="dxa" w:w="249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Frame-level classification</w:t>
            </w:r>
          </w:p>
        </w:tc>
        <w:tc>
          <w:tcPr>
            <w:tcW w:type="dxa" w:w="289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Operational incidents occur across windows and identities</w:t>
            </w:r>
          </w:p>
        </w:tc>
        <w:tc>
          <w:tcPr>
            <w:tcW w:type="dxa" w:w="35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Aggregate evidence and correlate with infrastructure logs</w:t>
            </w:r>
          </w:p>
        </w:tc>
      </w:tr>
      <w:tr>
        <w:tc>
          <w:tcPr>
            <w:tcW w:type="dxa" w:w="249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Model importance only</w:t>
            </w:r>
          </w:p>
        </w:tc>
        <w:tc>
          <w:tcPr>
            <w:tcW w:type="dxa" w:w="2891"/>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Associations may reflect capture artifacts</w:t>
            </w:r>
          </w:p>
        </w:tc>
        <w:tc>
          <w:tcPr>
            <w:tcW w:type="dxa" w:w="357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Use ablation, permutation checks, and transfer tests</w:t>
            </w:r>
          </w:p>
        </w:tc>
      </w:tr>
    </w:tbl>
    <w:p>
      <w:pPr>
        <w:spacing w:after="20"/>
      </w:pPr>
    </w:p>
    <w:p>
      <w:pPr>
        <w:pStyle w:val="Heading2"/>
      </w:pPr>
      <w:r>
        <w:t>Reproduction record</w:t>
      </w:r>
    </w:p>
    <w:p>
      <w:r>
        <w:t>The included validation script confirms that each reported macro F1 equals the mean of the three class-level F1 values after rounding. This establishes arithmetic consistency only. A formal reproduction must create a new run directory containing the exact group assignment, model parameters, package versions, metrics, predictions, and data hashes.</w:t>
      </w:r>
    </w:p>
    <w:p>
      <w:pPr>
        <w:pStyle w:val="Heading2"/>
      </w:pPr>
      <w:r>
        <w:t>Public release decision</w:t>
      </w:r>
    </w:p>
    <w:p>
      <w:r>
        <w:t>The repository is suitable as a transparent portfolio study because it distinguishes original academic evidence, corrections, and new engineering work. The dataset and source papers remain external. No student identifiers, packet captures, credentials, or third-party publications are included.</w:t>
      </w:r>
    </w:p>
    <w:p>
      <w:r>
        <w:br w:type="page"/>
      </w:r>
    </w:p>
    <w:p>
      <w:pPr>
        <w:pStyle w:val="Heading1"/>
      </w:pPr>
      <w:r>
        <w:t>Conclusion and next steps</w:t>
      </w:r>
    </w:p>
    <w:p>
      <w:r>
        <w:t>The archived experiment presents a strong educational demonstration of class imbalance, compact feature selection, and group-aware evaluation for Wi Fi intrusion detection. Its most valuable lesson is methodological: high scores require careful scrutiny of split boundaries, class metrics, and capture artifacts.</w:t>
      </w:r>
    </w:p>
    <w:p>
      <w:r>
        <w:t>The next milestone is a fresh, fully recorded run on an authorized AWID3 copy. That run should preserve source-file groups, export predictions, measure inference performance, and add temporal or environment-level validation. A homelab extension can then connect monitor-mode capture, wireless rules, model scoring, and SIEM correlation while keeping containment manual until alert quality is proven.</w:t>
      </w:r>
    </w:p>
    <w:p>
      <w:pPr>
        <w:pStyle w:val="Heading2"/>
      </w:pPr>
      <w:r>
        <w:t>Recommended implementation sequence</w:t>
      </w:r>
    </w:p>
    <w:tbl>
      <w:tblPr>
        <w:tblW w:type="auto" w:w="0"/>
        <w:jc w:val="center"/>
        <w:tblLayout w:type="fixed"/>
        <w:tblLook w:firstColumn="1" w:firstRow="1" w:lastColumn="0" w:lastRow="0" w:noHBand="0" w:noVBand="1" w:val="04A0"/>
      </w:tblPr>
      <w:tblGrid>
        <w:gridCol w:w="3249"/>
        <w:gridCol w:w="3249"/>
        <w:gridCol w:w="3249"/>
      </w:tblGrid>
      <w:tr>
        <w:trPr>
          <w:tblHeader w:val="true"/>
        </w:trPr>
        <w:tc>
          <w:tcPr>
            <w:tcW w:type="dxa" w:w="96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7"/>
              </w:rPr>
              <w:t>Priority</w:t>
            </w:r>
          </w:p>
        </w:tc>
        <w:tc>
          <w:tcPr>
            <w:tcW w:type="dxa" w:w="4365"/>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7"/>
              </w:rPr>
              <w:t>Action</w:t>
            </w:r>
          </w:p>
        </w:tc>
        <w:tc>
          <w:tcPr>
            <w:tcW w:type="dxa" w:w="3685"/>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7"/>
              </w:rPr>
              <w:t>Completion evidence</w:t>
            </w:r>
          </w:p>
        </w:tc>
      </w:tr>
      <w:tr>
        <w:tc>
          <w:tcPr>
            <w:tcW w:type="dxa" w:w="96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1</w:t>
            </w:r>
          </w:p>
        </w:tc>
        <w:tc>
          <w:tcPr>
            <w:tcW w:type="dxa" w:w="436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Acquire and hash the authorized AWID3 release</w:t>
            </w:r>
          </w:p>
        </w:tc>
        <w:tc>
          <w:tcPr>
            <w:tcW w:type="dxa" w:w="368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Dataset manifest and terms record</w:t>
            </w:r>
          </w:p>
        </w:tc>
      </w:tr>
      <w:tr>
        <w:tc>
          <w:tcPr>
            <w:tcW w:type="dxa" w:w="96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2</w:t>
            </w:r>
          </w:p>
        </w:tc>
        <w:tc>
          <w:tcPr>
            <w:tcW w:type="dxa" w:w="4365"/>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Run the reference pipeline with fixed capture groups</w:t>
            </w:r>
          </w:p>
        </w:tc>
        <w:tc>
          <w:tcPr>
            <w:tcW w:type="dxa" w:w="3685"/>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Metrics, predictions, model, environment file, split manifest</w:t>
            </w:r>
          </w:p>
        </w:tc>
      </w:tr>
      <w:tr>
        <w:tc>
          <w:tcPr>
            <w:tcW w:type="dxa" w:w="96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3</w:t>
            </w:r>
          </w:p>
        </w:tc>
        <w:tc>
          <w:tcPr>
            <w:tcW w:type="dxa" w:w="436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Add repeated group validation and a later-period holdout</w:t>
            </w:r>
          </w:p>
        </w:tc>
        <w:tc>
          <w:tcPr>
            <w:tcW w:type="dxa" w:w="368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Variance and transfer report</w:t>
            </w:r>
          </w:p>
        </w:tc>
      </w:tr>
      <w:tr>
        <w:tc>
          <w:tcPr>
            <w:tcW w:type="dxa" w:w="96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4</w:t>
            </w:r>
          </w:p>
        </w:tc>
        <w:tc>
          <w:tcPr>
            <w:tcW w:type="dxa" w:w="4365"/>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Build a monitor-mode homelab sensor</w:t>
            </w:r>
          </w:p>
        </w:tc>
        <w:tc>
          <w:tcPr>
            <w:tcW w:type="dxa" w:w="3685"/>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Sanitized telemetry schema and throughput test</w:t>
            </w:r>
          </w:p>
        </w:tc>
      </w:tr>
      <w:tr>
        <w:tc>
          <w:tcPr>
            <w:tcW w:type="dxa" w:w="96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5</w:t>
            </w:r>
          </w:p>
        </w:tc>
        <w:tc>
          <w:tcPr>
            <w:tcW w:type="dxa" w:w="436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Correlate wireless alerts with AP and identity logs</w:t>
            </w:r>
          </w:p>
        </w:tc>
        <w:tc>
          <w:tcPr>
            <w:tcW w:type="dxa" w:w="368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Detection rules and investigation runbook</w:t>
            </w:r>
          </w:p>
        </w:tc>
      </w:tr>
      <w:tr>
        <w:tc>
          <w:tcPr>
            <w:tcW w:type="dxa" w:w="96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6</w:t>
            </w:r>
          </w:p>
        </w:tc>
        <w:tc>
          <w:tcPr>
            <w:tcW w:type="dxa" w:w="4365"/>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Measure analyst alert quality before automation</w:t>
            </w:r>
          </w:p>
        </w:tc>
        <w:tc>
          <w:tcPr>
            <w:tcW w:type="dxa" w:w="3685"/>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Reviewed alert set and approved response thresholds</w:t>
            </w:r>
          </w:p>
        </w:tc>
      </w:tr>
    </w:tbl>
    <w:p>
      <w:pPr>
        <w:spacing w:after="20"/>
      </w:pPr>
    </w:p>
    <w:p>
      <w:r>
        <w:br w:type="page"/>
      </w:r>
    </w:p>
    <w:p>
      <w:pPr>
        <w:pStyle w:val="Heading1"/>
      </w:pPr>
      <w:r>
        <w:t>References and provenance</w:t>
      </w:r>
    </w:p>
    <w:p>
      <w:r>
        <w:t>E. Chatzoglou, G. Kambourakis, and C. Kolias. Empirical Evaluation of Attacks Against IEEE 802.11 Enterprise Networks: The AWID3 Dataset. IEEE Access, volume 9, pages 34188 to 34205, 2021. DOI 10.1109/ACCESS.2021.3061609.</w:t>
      </w:r>
    </w:p>
    <w:p>
      <w:r>
        <w:t>E. Chatzoglou, G. Kambourakis, C. Kolias, and C. Smiliotopoulos. Pick Quality Over Quantity: Expert Feature Selection and Data Preprocessing for 802.11 Intrusion Detection Systems. IEEE Access, volume 10, pages 64761 to 64784, 2022. DOI 10.1109/ACCESS.2022.3183597.</w:t>
      </w:r>
    </w:p>
    <w:p>
      <w:r>
        <w:t>University of the Aegean. Aegean Wi Fi Intrusion Dataset. https://icsdweb.aegean.gr/awid/</w:t>
      </w:r>
    </w:p>
    <w:p>
      <w:r>
        <w:t>Scikit learn. GroupShuffleSplit documentation. https://scikit-learn.org/stable/modules/generated/sklearn.model_selection.GroupShuffleSplit.html</w:t>
      </w:r>
    </w:p>
    <w:p>
      <w:pPr>
        <w:pStyle w:val="Heading2"/>
      </w:pPr>
      <w:r>
        <w:t>Project provenance</w:t>
      </w:r>
    </w:p>
    <w:p>
      <w:r>
        <w:t>The original Greek presentation was collaborative university coursework prepared by Spiros Grouztidis and two classmates. The classmates' names and student identifiers are omitted from this public edition for privacy. Spiros Grouztidis prepared the English portfolio edition, including the public documentation, reproducibility record, reference code, claim audit, and detection-engineering extension.</w:t>
      </w:r>
    </w:p>
    <w:p>
      <w:pPr>
        <w:pStyle w:val="Heading2"/>
      </w:pPr>
      <w:r>
        <w:t>Licensing boundary</w:t>
      </w:r>
    </w:p>
    <w:p>
      <w:r>
        <w:t>Source code in the repository is licensed under MIT. This report, the presentation, result transcriptions, and coursework-derived material remain all rights reserved. AWID3 and the cited research remain subject to their own terms and are not redistributed.</w:t>
      </w:r>
    </w:p>
    <w:sectPr w:rsidR="00FC693F" w:rsidRPr="0006063C" w:rsidSect="00034616">
      <w:headerReference w:type="default" r:id="rId9"/>
      <w:footerReference w:type="default" r:id="rId10"/>
      <w:pgSz w:w="12240" w:h="15840"/>
      <w:pgMar w:top="1247"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0000"/>
        <w:sz w:val="16"/>
      </w:rPr>
      <w:t>WI FI INTRUSION DETECTION WITH AWID3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 Fi Intrusion Detection with AWID3</dc:title>
  <dc:subject>Claim audited analysis and detection engineering study</dc:subject>
  <dc:creator>Spiros Grouztidis</dc:creator>
  <cp:keywords>AWID3, Wi-Fi, intrusion detection, machine learning, detection engineering</cp:keywords>
  <dc:description>generated by python-docx</dc:description>
  <cp:lastModifiedBy>Spiros Grouztidis</cp:lastModifiedBy>
  <cp:revision>1</cp:revision>
  <dcterms:created xsi:type="dcterms:W3CDTF">2013-12-23T23:15:00Z</dcterms:created>
  <dcterms:modified xsi:type="dcterms:W3CDTF">2013-12-23T23:15:00Z</dcterms:modified>
  <cp:category/>
</cp:coreProperties>
</file>