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SME review — public article (editable)</w:t>
      </w:r>
    </w:p>
    <w:p>
      <w:pPr>
        <w:pStyle w:val="Heading1"/>
      </w:pPr>
      <w:r>
        <w:t>Purpose</w:t>
      </w:r>
    </w:p>
    <w:p>
      <w:r>
        <w:t>This Word file is for you to read, edit if you want, and record a clear go / no-go. Nothing here names clients, brands, or individuals. The article draft is generic (hospitality-adjacent / events / procurement context only).</w:t>
      </w:r>
    </w:p>
    <w:p>
      <w:pPr>
        <w:pStyle w:val="Heading1"/>
      </w:pPr>
      <w:r>
        <w:t>Your decision</w:t>
      </w:r>
    </w:p>
    <w:p>
      <w:r>
        <w:t>Check one and add your name and date below.</w:t>
      </w:r>
    </w:p>
    <w:p>
      <w:pPr>
        <w:pStyle w:val="ListBullet"/>
      </w:pPr>
      <w:r>
        <w:t>Yea — I am comfortable with publication of the article draft in the Appendix (possibly after my edits in this file).</w:t>
      </w:r>
    </w:p>
    <w:p>
      <w:pPr>
        <w:pStyle w:val="ListBullet"/>
      </w:pPr>
      <w:r>
        <w:t>Nea — I am not comfortable; see notes below.</w:t>
      </w:r>
    </w:p>
    <w:p/>
    <w:p>
      <w:r>
        <w:t>Name: ___________________________    Date: ___________________________</w:t>
      </w:r>
    </w:p>
    <w:p>
      <w:pPr>
        <w:pStyle w:val="Heading1"/>
      </w:pPr>
      <w:r>
        <w:t>Optional notes (edit freely)</w:t>
      </w:r>
    </w:p>
    <w:p>
      <w:r>
        <w:t>Lines or themes to change, titles that feel off, anything that could be read as blaming people instead of broken process — write here:</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pPr>
        <w:pStyle w:val="Heading1"/>
      </w:pPr>
      <w:r>
        <w:t>Quick reminder — what the article argues</w:t>
      </w:r>
    </w:p>
    <w:p>
      <w:pPr>
        <w:pStyle w:val="ListBullet"/>
      </w:pPr>
      <w:r>
        <w:t>SMEs do high-stakes “plugging” work; bad tooling shifts burden to rework and erodes trust.</w:t>
      </w:r>
    </w:p>
    <w:p>
      <w:pPr>
        <w:pStyle w:val="ListBullet"/>
      </w:pPr>
      <w:r>
        <w:t>Semantic search alone is not enough; hybrid ranking + geo + scores need discipline.</w:t>
      </w:r>
    </w:p>
    <w:p>
      <w:pPr>
        <w:pStyle w:val="ListBullet"/>
      </w:pPr>
      <w:r>
        <w:t>Machine assessment covers every row for triage; it does not replace human judgment.</w:t>
      </w:r>
    </w:p>
    <w:p>
      <w:pPr>
        <w:pStyle w:val="ListBullet"/>
      </w:pPr>
      <w:r>
        <w:t>Worst cases become regression tests before expensive full reruns.</w:t>
      </w:r>
    </w:p>
    <w:p>
      <w:pPr>
        <w:pStyle w:val="ListBullet"/>
      </w:pPr>
      <w:r>
        <w:t>Honest scope beats claiming “everyone read everything” without evidence.</w:t>
      </w:r>
    </w:p>
    <w:p>
      <w:r>
        <w:br w:type="page"/>
      </w:r>
    </w:p>
    <w:p>
      <w:pPr>
        <w:pStyle w:val="Heading1"/>
      </w:pPr>
      <w:r>
        <w:t>Appendix — article draft (for Medium-style publication)</w:t>
      </w:r>
    </w:p>
    <w:p>
      <w:r>
        <w:t>You may edit directly in Word. For version control, consider copying changes back to `docs/ARTICLE_HIGH_STAKES_COMPANY_MATCHING_SME.md` if the team uses that file as source.</w:t>
      </w:r>
    </w:p>
    <w:p/>
    <w:p>
      <w:pPr>
        <w:pStyle w:val="Heading1"/>
      </w:pPr>
      <w:r>
        <w:t>Matching New Events to the Right Clients — Without Pretending the Spreadsheet Did the Thinking</w:t>
      </w:r>
    </w:p>
    <w:p>
      <w:pPr>
        <w:spacing w:after="80"/>
      </w:pPr>
      <w:r>
        <w:t>Draft for publication (e.g. Medium). Industry and examples are intentionally generic; no client, brand, or SME-identifying details.</w:t>
      </w:r>
    </w:p>
    <w:p>
      <w:pPr>
        <w:pStyle w:val="Heading2"/>
      </w:pPr>
      <w:r>
        <w:t>The job is harder than it looks — and the people doing it are good at it</w:t>
      </w:r>
    </w:p>
    <w:p>
      <w:pPr>
        <w:spacing w:after="80"/>
      </w:pPr>
      <w:r>
        <w:t>Picture a team that spends its days matching new events to existing clients: inbound names typed in a hurry, abbreviations that vary by region, cities pulled from invitations, and a master file with millions of legal entities. The work is careful, repetitive, and deeply human. Nobody is trying to cut corners; everyone is trying to get each row to the right home so downstream finance, operations, and reporting stay clean.</w:t>
      </w:r>
    </w:p>
    <w:p>
      <w:pPr>
        <w:spacing w:after="80"/>
      </w:pPr>
      <w:r>
        <w:t>That work often falls to subject matter experts (SMEs) who know the book of business cold. They are not a search engine — they carry context no model has. When a tool looks sure of itself but surfaces a subtly wrong candidate, it does not lighten the load; it adds double-checking, rework, and fatigue. The goal of better software is to meet them where they are: faster suggestions, clearer uncertainty, and fewer surprises — not to replace their judgment.</w:t>
      </w:r>
    </w:p>
    <w:p>
      <w:pPr>
        <w:spacing w:after="80"/>
      </w:pPr>
      <w:r>
        <w:t>This article is about building a high-precision company-name matching system on a very large commercial dataset (on the order of millions of records), and about a governance loop that supports those matchers: machine-checked coverage on every row, honest labels for what was automated vs. what still deserves human attention, and regression checks on the hardest cases before we ask anyone to trust a full refresh.</w:t>
      </w:r>
    </w:p>
    <w:p>
      <w:pPr>
        <w:pStyle w:val="Heading2"/>
      </w:pPr>
      <w:r>
        <w:t>Why “just use semantic search” is not enough</w:t>
      </w:r>
    </w:p>
    <w:p>
      <w:pPr>
        <w:spacing w:after="80"/>
      </w:pPr>
      <w:r>
        <w:t>Semantic search is genuinely useful. Embeddings capture meaning, so “National Widget Association” and “NWA” can land near each other in vector space. That helps recall.</w:t>
      </w:r>
    </w:p>
    <w:p>
      <w:pPr>
        <w:spacing w:after="80"/>
      </w:pPr>
      <w:r>
        <w:t>Where teams feel pain is precision under real deadlines:</w:t>
      </w:r>
    </w:p>
    <w:p>
      <w:pPr>
        <w:pStyle w:val="ListBullet"/>
        <w:spacing w:after="60"/>
      </w:pPr>
      <w:r>
        <w:t>Geography needs care. A strong name match in the wrong state can look plausible until you map it — especially when the inbound row has little or no location and the model still promotes geo-heavy candidates.</w:t>
      </w:r>
    </w:p>
    <w:p>
      <w:pPr>
        <w:pStyle w:val="ListBullet"/>
        <w:spacing w:after="60"/>
      </w:pPr>
      <w:r>
        <w:t>Scores need to match the story. A hybrid score near the top of the scale while the underlying string match is soft can nudge people toward trust they would not give if the UI said “similar, not same.” Calibrating that is an act of respect for the reviewer.</w:t>
      </w:r>
    </w:p>
    <w:p>
      <w:pPr>
        <w:pStyle w:val="ListBullet"/>
        <w:spacing w:after="60"/>
      </w:pPr>
      <w:r>
        <w:t>Tie clusters. Several candidates in a tight band at the top are “top five” to an algorithm and “I need a defensible pick” to a person doing client match work.</w:t>
      </w:r>
    </w:p>
    <w:p>
      <w:pPr>
        <w:pStyle w:val="ListBullet"/>
        <w:spacing w:after="60"/>
      </w:pPr>
      <w:r>
        <w:t>Acronyms and noise. Events- and hospitality-adjacent workflows add band names, truncated strings, and operational prefixes. The matcher’s job is to separate signal from decoration without inventing a false sense of exactness.</w:t>
      </w:r>
    </w:p>
    <w:p>
      <w:pPr>
        <w:spacing w:after="80"/>
      </w:pPr>
      <w:r>
        <w:t>So the product is not “chat with your CSV.” It is retrieval + re-ranking + explainability, tuned for a world where a wrong plug still matters when everyone involved was doing their best.</w:t>
      </w:r>
    </w:p>
    <w:p>
      <w:pPr>
        <w:pStyle w:val="Heading2"/>
      </w:pPr>
      <w:r>
        <w:t>What we actually built (in plain language)</w:t>
      </w:r>
    </w:p>
    <w:p>
      <w:pPr>
        <w:spacing w:after="80"/>
      </w:pPr>
      <w:r>
        <w:t>Technically, the stack combines:</w:t>
      </w:r>
    </w:p>
    <w:p>
      <w:pPr>
        <w:spacing w:after="80"/>
      </w:pPr>
      <w:r>
        <w:t>1. Semantic retrieval over a FAISS index so we do not scan millions of rows per query.</w:t>
      </w:r>
    </w:p>
    <w:p>
      <w:pPr>
        <w:spacing w:after="80"/>
      </w:pPr>
      <w:r>
        <w:t>2. Hybrid re-ranking that blends string similarity, embedding alignment, and domain-specific structure (including acronym behavior and location awareness when city/state are present).</w:t>
      </w:r>
    </w:p>
    <w:p>
      <w:pPr>
        <w:spacing w:after="80"/>
      </w:pPr>
      <w:r>
        <w:t>3. Interfaces that fit real workflows: CLI for batch and debugging, a web surface for interactive review, and a shared cache/RPC layer so heavy models and indexes are not duplicated per process.</w:t>
      </w:r>
    </w:p>
    <w:p>
      <w:pPr>
        <w:spacing w:after="80"/>
      </w:pPr>
      <w:r>
        <w:t>The hard part is not wiring FAISS. The hard part is deciding what “good” means when leadership wants a simple green light and the people on the ground know the world is legitimately gray.</w:t>
      </w:r>
    </w:p>
    <w:p>
      <w:pPr>
        <w:pStyle w:val="Heading2"/>
      </w:pPr>
      <w:r>
        <w:t>Supporting SMEs: make the machine’s job obvious</w:t>
      </w:r>
    </w:p>
    <w:p>
      <w:pPr>
        <w:spacing w:after="80"/>
      </w:pPr>
      <w:r>
        <w:t>People doing client match work deserve clarity on three things: time, credit for careful judgment, and what the system actually checked.</w:t>
      </w:r>
    </w:p>
    <w:p>
      <w:pPr>
        <w:pStyle w:val="Heading3"/>
      </w:pPr>
      <w:r>
        <w:t>1. Full-row machine assessment — a safety net, not a substitute</w:t>
      </w:r>
    </w:p>
    <w:p>
      <w:pPr>
        <w:spacing w:after="80"/>
      </w:pPr>
      <w:r>
        <w:t>We run an automated assessor over every row in the plugging corpus and write results to disk: issue codes, severity, short narratives. That gives full automated coverage of the report — thousands of rows — with explicit rubrics.</w:t>
      </w:r>
    </w:p>
    <w:p>
      <w:pPr>
        <w:spacing w:after="80"/>
      </w:pPr>
      <w:r>
        <w:t>What it does not do: replace a thoughtful human pass where it counts. Rules are not ground truth. The assessor triages and quantifies so people can spend their attention on the rows that are genuinely fuzzy, not on re-checking thousands of obvious passes.</w:t>
      </w:r>
    </w:p>
    <w:p>
      <w:pPr>
        <w:spacing w:after="80"/>
      </w:pPr>
      <w:r>
        <w:t>We are explicit in reporting: machine = every row scored against documented patterns; human = bounded review where we flag samples, gates, or exceptions and document that scope. That way nobody’s care is overstated, and nobody’s care is invisible.</w:t>
      </w:r>
    </w:p>
    <w:p>
      <w:pPr>
        <w:pStyle w:val="Heading3"/>
      </w:pPr>
      <w:r>
        <w:t>2. Lock in the hardest cases before a full rerun</w:t>
      </w:r>
    </w:p>
    <w:p>
      <w:pPr>
        <w:spacing w:after="80"/>
      </w:pPr>
      <w:r>
        <w:t>A full rematch over a large corpus is slow. Running one without reproducing the edge cases people already fought is slower in human terms.</w:t>
      </w:r>
    </w:p>
    <w:p>
      <w:pPr>
        <w:spacing w:after="80"/>
      </w:pPr>
      <w:r>
        <w:t>We export a bounded set of the hardest cases from assessment output, freeze them as fixtures, and run regression tests against the live matcher (behind an explicit environment flag so CI does not assume a model server). Improve the matcher, show those cases behave, then rotate artifacts and regenerate the full report.</w:t>
      </w:r>
    </w:p>
    <w:p>
      <w:pPr>
        <w:spacing w:after="80"/>
      </w:pPr>
      <w:r>
        <w:t>That replaces vague reassurance with something concrete: here is the row_id class, here is the test, here is the change.</w:t>
      </w:r>
    </w:p>
    <w:p>
      <w:pPr>
        <w:pStyle w:val="Heading3"/>
      </w:pPr>
      <w:r>
        <w:t>3. Audits and control sets as shared ground rules</w:t>
      </w:r>
    </w:p>
    <w:p>
      <w:pPr>
        <w:spacing w:after="80"/>
      </w:pPr>
      <w:r>
        <w:t>Downstream scripts enforce gates: counts, thresholds, exit codes. A curated control set of labeled pairs is re-verified after scoring changes. Those checks are the shared contract between engineering velocity and the people who depend on stable, explainable ranks.</w:t>
      </w:r>
    </w:p>
    <w:p>
      <w:pPr>
        <w:pStyle w:val="Heading2"/>
      </w:pPr>
      <w:r>
        <w:t>What we learned (no blame, lots of detail)</w:t>
      </w:r>
    </w:p>
    <w:p>
      <w:pPr>
        <w:spacing w:after="80"/>
      </w:pPr>
      <w:r>
        <w:t>These patterns show up in ambitious matching projects; they are not about any one team “failing” — they are about complexity:</w:t>
      </w:r>
    </w:p>
    <w:p>
      <w:pPr>
        <w:pStyle w:val="ListBullet"/>
        <w:spacing w:after="60"/>
      </w:pPr>
      <w:r>
        <w:t>Speed and certainty get confused. A polished report is not, by itself, proof of every match. We anchor claims in paths, commands, exit codes, and before/after counts so progress is legible to everyone involved.</w:t>
      </w:r>
    </w:p>
    <w:p>
      <w:pPr>
        <w:pStyle w:val="ListBullet"/>
        <w:spacing w:after="60"/>
      </w:pPr>
      <w:r>
        <w:t>Triage is not the same as SME sign-off. Scripts that bucket scenarios are invaluable; we name the script, inputs, and limits so expectations stay aligned.</w:t>
      </w:r>
    </w:p>
    <w:p>
      <w:pPr>
        <w:pStyle w:val="ListBullet"/>
        <w:spacing w:after="60"/>
      </w:pPr>
      <w:r>
        <w:t>Geo and small string details compound. State abbreviations, missing location on the inbound row, and “looks fine in the list view” quirks are where good reviewers spend unglamorous time. We encode those patterns as first-class issue codes so they get discussed on merit, not dismissed because they are hard.</w:t>
      </w:r>
    </w:p>
    <w:p>
      <w:pPr>
        <w:pStyle w:val="ListBullet"/>
        <w:spacing w:after="60"/>
      </w:pPr>
      <w:r>
        <w:t>Headline scores need to line up with the breakdown. If the explanation and the rank-one disagree, trust erodes faster than any single bad row. Alignment there is part of respecting the person at the keyboard.</w:t>
      </w:r>
    </w:p>
    <w:p>
      <w:pPr>
        <w:spacing w:after="80"/>
      </w:pPr>
      <w:r>
        <w:t>The through-line: respect for SME time means systems that say what they know and what they do not.</w:t>
      </w:r>
    </w:p>
    <w:p>
      <w:pPr>
        <w:pStyle w:val="Heading2"/>
      </w:pPr>
      <w:r>
        <w:t>Who this is for</w:t>
      </w:r>
    </w:p>
    <w:p>
      <w:pPr>
        <w:pStyle w:val="ListBullet"/>
        <w:spacing w:after="60"/>
      </w:pPr>
      <w:r>
        <w:t>Engineers shipping retrieval systems where wrong top-1 has a cost.</w:t>
      </w:r>
    </w:p>
    <w:p>
      <w:pPr>
        <w:pStyle w:val="ListBullet"/>
        <w:spacing w:after="60"/>
      </w:pPr>
      <w:r>
        <w:t>Operators who own “plugging” or client-match workflows — procurement, events, or any sector with noisy inbound names and a strict canonical registry.</w:t>
      </w:r>
    </w:p>
    <w:p>
      <w:pPr>
        <w:pStyle w:val="ListBullet"/>
        <w:spacing w:after="60"/>
      </w:pPr>
      <w:r>
        <w:t>Leaders who want vocabulary for assessment coverage and bounded human review alongside a single “accuracy” narrative.</w:t>
      </w:r>
    </w:p>
    <w:p>
      <w:pPr>
        <w:pStyle w:val="Heading2"/>
      </w:pPr>
      <w:r>
        <w:t>Closing</w:t>
      </w:r>
    </w:p>
    <w:p>
      <w:pPr>
        <w:spacing w:after="80"/>
      </w:pPr>
      <w:r>
        <w:t>High-stakes company matching is part information retrieval, part operational care. Events- and hospitality-adjacent use cases are a stress test: messy strings, real deadlines, and people who already know their clients — who deserve tools and process that back them up, not tools that ask them to carry every model mistake alone.</w:t>
      </w:r>
    </w:p>
    <w:p>
      <w:pPr>
        <w:spacing w:after="80"/>
      </w:pPr>
      <w:r>
        <w:t>We built the matcher for scale, and the loop for transparency: assess every row to files, test the cases that hurt, regenerate with proof, and say clearly what still benefits from human eyes.</w:t>
      </w:r>
    </w:p>
    <w:p>
      <w:pPr>
        <w:spacing w:after="80"/>
      </w:pPr>
      <w:r>
        <w:t>That keeps the work substantive and the story grounded in what we actually verified.</w:t>
      </w:r>
    </w:p>
    <w:p>
      <w:pPr>
        <w:pStyle w:val="Heading2"/>
      </w:pPr>
      <w:r>
        <w:t>Publication notes (Medium)</w:t>
      </w:r>
    </w:p>
    <w:p>
      <w:pPr>
        <w:pStyle w:val="ListBullet"/>
        <w:spacing w:after="60"/>
      </w:pPr>
      <w:r>
        <w:t>Title: Tune to your audience; clarity beats hype. Alternatives: “Supporting the People Who Match Events to Clients” or “From Semantic Search to Defensible Client Match.”</w:t>
      </w:r>
    </w:p>
    <w:p>
      <w:pPr>
        <w:pStyle w:val="ListBullet"/>
        <w:spacing w:after="60"/>
      </w:pPr>
      <w:r>
        <w:t>Subtitle: One line on “millions of entities + hybrid ranking + accountable assessment.”</w:t>
      </w:r>
    </w:p>
    <w:p>
      <w:pPr>
        <w:pStyle w:val="ListBullet"/>
        <w:spacing w:after="60"/>
      </w:pPr>
      <w:r>
        <w:t>Images: Medium likes a hero image; use an abstract diagram (retrieval → rank → assess → human gate), not screenshots of proprietary data.</w:t>
      </w:r>
    </w:p>
    <w:p>
      <w:pPr>
        <w:pStyle w:val="ListBullet"/>
        <w:spacing w:after="60"/>
      </w:pPr>
      <w:r>
        <w:t>Tags: Suggested: Machine Learning, Data Quality, Enterprise Software, Procurement, Human-in-the-Loop.</w:t>
      </w:r>
    </w:p>
    <w:p>
      <w:pPr>
        <w:pStyle w:val="ListBullet"/>
        <w:spacing w:after="60"/>
      </w:pPr>
      <w:r>
        <w:t>Disclosure: If you publish in a personal capacity, add a short line that views are your own and that the system described is generalized from internal R&amp;D — no endorsement of any vendor or dataset owner.</w:t>
      </w:r>
    </w:p>
    <w:p>
      <w:pPr>
        <w:spacing w:after="80"/>
      </w:pPr>
      <w:r>
        <w:t>Document version: internal draft. Do not paste proprietary row IDs, client names, or brand examples into the public version.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