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C1A45F">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p>
    <w:p w14:paraId="16CBB4C5">
      <w:pPr>
        <w:jc w:val="center"/>
        <w:rPr>
          <w:b/>
          <w:color w:val="000000" w:themeColor="text1"/>
          <w:sz w:val="30"/>
          <w:szCs w:val="30"/>
          <w14:textFill>
            <w14:solidFill>
              <w14:schemeClr w14:val="tx1"/>
            </w14:solidFill>
          </w14:textFill>
        </w:rPr>
      </w:pPr>
      <w:r>
        <w:rPr>
          <w:b/>
          <w:color w:val="000000" w:themeColor="text1"/>
          <w:sz w:val="30"/>
          <w:szCs w:val="30"/>
          <w14:textFill>
            <w14:solidFill>
              <w14:schemeClr w14:val="tx1"/>
            </w14:solidFill>
          </w14:textFill>
        </w:rPr>
        <w:t>运维服务协议</w:t>
      </w:r>
    </w:p>
    <w:p w14:paraId="1FE29E65">
      <w:pPr>
        <w:snapToGrid w:val="0"/>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本运维服务协议（“本协议”）由软通智慧（作为委托方或服务接受方，简称“甲方”）与</w:t>
      </w:r>
      <w:r>
        <w:rPr>
          <w:rFonts w:hint="eastAsia"/>
          <w:color w:val="000000" w:themeColor="text1"/>
          <w:highlight w:val="yellow"/>
          <w14:textFill>
            <w14:solidFill>
              <w14:schemeClr w14:val="tx1"/>
            </w14:solidFill>
          </w14:textFill>
        </w:rPr>
        <w:t xml:space="preserve">【 </w:t>
      </w:r>
      <w:r>
        <w:rPr>
          <w:color w:val="000000" w:themeColor="text1"/>
          <w:highlight w:val="yellow"/>
          <w14:textFill>
            <w14:solidFill>
              <w14:schemeClr w14:val="tx1"/>
            </w14:solidFill>
          </w14:textFill>
        </w:rPr>
        <w:t xml:space="preserve"> </w:t>
      </w:r>
      <w:r>
        <w:rPr>
          <w:rFonts w:hint="eastAsia"/>
          <w:color w:val="000000" w:themeColor="text1"/>
          <w:highlight w:val="yellow"/>
          <w14:textFill>
            <w14:solidFill>
              <w14:schemeClr w14:val="tx1"/>
            </w14:solidFill>
          </w14:textFill>
        </w:rPr>
        <w:t>】（</w:t>
      </w:r>
      <w:r>
        <w:rPr>
          <w:rFonts w:hint="eastAsia"/>
          <w:color w:val="000000" w:themeColor="text1"/>
          <w14:textFill>
            <w14:solidFill>
              <w14:schemeClr w14:val="tx1"/>
            </w14:solidFill>
          </w14:textFill>
        </w:rPr>
        <w:t>作为服务的提供方，简称“乙方”）于合同约定的生效日在北京市海淀区签署。软通智慧与</w:t>
      </w:r>
      <w:r>
        <w:rPr>
          <w:rFonts w:hint="eastAsia"/>
          <w:color w:val="000000" w:themeColor="text1"/>
          <w:highlight w:val="yellow"/>
          <w14:textFill>
            <w14:solidFill>
              <w14:schemeClr w14:val="tx1"/>
            </w14:solidFill>
          </w14:textFill>
        </w:rPr>
        <w:t xml:space="preserve">【 </w:t>
      </w:r>
      <w:r>
        <w:rPr>
          <w:color w:val="000000" w:themeColor="text1"/>
          <w:highlight w:val="yellow"/>
          <w14:textFill>
            <w14:solidFill>
              <w14:schemeClr w14:val="tx1"/>
            </w14:solidFill>
          </w14:textFill>
        </w:rPr>
        <w:t xml:space="preserve"> </w:t>
      </w:r>
      <w:r>
        <w:rPr>
          <w:rFonts w:hint="eastAsia"/>
          <w:color w:val="000000" w:themeColor="text1"/>
          <w:highlight w:val="yellow"/>
          <w14:textFill>
            <w14:solidFill>
              <w14:schemeClr w14:val="tx1"/>
            </w14:solidFill>
          </w14:textFill>
        </w:rPr>
        <w:t>】</w:t>
      </w:r>
      <w:r>
        <w:rPr>
          <w:rFonts w:hint="eastAsia"/>
          <w:color w:val="000000" w:themeColor="text1"/>
          <w14:textFill>
            <w14:solidFill>
              <w14:schemeClr w14:val="tx1"/>
            </w14:solidFill>
          </w14:textFill>
        </w:rPr>
        <w:t>单方分别被称为“一方”或共同被并称为“双方”。为明确乙方向甲方提供本协议或附件约定的服务过程中双方的权利和义务，双方经过平等协</w:t>
      </w:r>
      <w:bookmarkStart w:id="18" w:name="_GoBack"/>
      <w:bookmarkEnd w:id="18"/>
      <w:r>
        <w:rPr>
          <w:rFonts w:hint="eastAsia"/>
          <w:color w:val="000000" w:themeColor="text1"/>
          <w14:textFill>
            <w14:solidFill>
              <w14:schemeClr w14:val="tx1"/>
            </w14:solidFill>
          </w14:textFill>
        </w:rPr>
        <w:t>商，在真实、充分地表达各自意愿的基础上，根据《中华人民共和国民法典》及相关法律法规的规定，达成本协议。</w:t>
      </w:r>
    </w:p>
    <w:p w14:paraId="2FB98877">
      <w:pPr>
        <w:tabs>
          <w:tab w:val="left" w:pos="3630"/>
        </w:tabs>
        <w:snapToGrid w:val="0"/>
        <w:ind w:firstLine="420" w:firstLineChars="200"/>
        <w:rPr>
          <w:color w:val="000000" w:themeColor="text1"/>
          <w14:textFill>
            <w14:solidFill>
              <w14:schemeClr w14:val="tx1"/>
            </w14:solidFill>
          </w14:textFill>
        </w:rPr>
      </w:pPr>
      <w:r>
        <w:rPr>
          <w:color w:val="000000" w:themeColor="text1"/>
          <w14:textFill>
            <w14:solidFill>
              <w14:schemeClr w14:val="tx1"/>
            </w14:solidFill>
          </w14:textFill>
        </w:rPr>
        <w:tab/>
      </w:r>
    </w:p>
    <w:p w14:paraId="7BB51651">
      <w:pPr>
        <w:snapToGrid w:val="0"/>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本协议期限：</w:t>
      </w:r>
      <w:r>
        <w:rPr>
          <w:rFonts w:hint="eastAsia"/>
          <w:color w:val="000000" w:themeColor="text1"/>
          <w:highlight w:val="yellow"/>
          <w14:textFill>
            <w14:solidFill>
              <w14:schemeClr w14:val="tx1"/>
            </w14:solidFill>
          </w14:textFill>
        </w:rPr>
        <w:t>生效日为【</w:t>
      </w:r>
      <w:r>
        <w:rPr>
          <w:color w:val="000000" w:themeColor="text1"/>
          <w:highlight w:val="yellow"/>
          <w14:textFill>
            <w14:solidFill>
              <w14:schemeClr w14:val="tx1"/>
            </w14:solidFill>
          </w14:textFill>
        </w:rPr>
        <w:t xml:space="preserve">   </w:t>
      </w:r>
      <w:r>
        <w:rPr>
          <w:rFonts w:hint="eastAsia"/>
          <w:color w:val="000000" w:themeColor="text1"/>
          <w:highlight w:val="yellow"/>
          <w14:textFill>
            <w14:solidFill>
              <w14:schemeClr w14:val="tx1"/>
            </w14:solidFill>
          </w14:textFill>
        </w:rPr>
        <w:t>】年【</w:t>
      </w:r>
      <w:r>
        <w:rPr>
          <w:color w:val="000000" w:themeColor="text1"/>
          <w:highlight w:val="yellow"/>
          <w14:textFill>
            <w14:solidFill>
              <w14:schemeClr w14:val="tx1"/>
            </w14:solidFill>
          </w14:textFill>
        </w:rPr>
        <w:t xml:space="preserve">   </w:t>
      </w:r>
      <w:r>
        <w:rPr>
          <w:rFonts w:hint="eastAsia"/>
          <w:color w:val="000000" w:themeColor="text1"/>
          <w:highlight w:val="yellow"/>
          <w14:textFill>
            <w14:solidFill>
              <w14:schemeClr w14:val="tx1"/>
            </w14:solidFill>
          </w14:textFill>
        </w:rPr>
        <w:t>】月【</w:t>
      </w:r>
      <w:r>
        <w:rPr>
          <w:color w:val="000000" w:themeColor="text1"/>
          <w:highlight w:val="yellow"/>
          <w14:textFill>
            <w14:solidFill>
              <w14:schemeClr w14:val="tx1"/>
            </w14:solidFill>
          </w14:textFill>
        </w:rPr>
        <w:t xml:space="preserve">    </w:t>
      </w:r>
      <w:r>
        <w:rPr>
          <w:rFonts w:hint="eastAsia"/>
          <w:color w:val="000000" w:themeColor="text1"/>
          <w:highlight w:val="yellow"/>
          <w14:textFill>
            <w14:solidFill>
              <w14:schemeClr w14:val="tx1"/>
            </w14:solidFill>
          </w14:textFill>
        </w:rPr>
        <w:t>】日。自生效之日起至【</w:t>
      </w:r>
      <w:r>
        <w:rPr>
          <w:color w:val="000000" w:themeColor="text1"/>
          <w:highlight w:val="yellow"/>
          <w14:textFill>
            <w14:solidFill>
              <w14:schemeClr w14:val="tx1"/>
            </w14:solidFill>
          </w14:textFill>
        </w:rPr>
        <w:t xml:space="preserve">   </w:t>
      </w:r>
      <w:r>
        <w:rPr>
          <w:rFonts w:hint="eastAsia"/>
          <w:color w:val="000000" w:themeColor="text1"/>
          <w:highlight w:val="yellow"/>
          <w14:textFill>
            <w14:solidFill>
              <w14:schemeClr w14:val="tx1"/>
            </w14:solidFill>
          </w14:textFill>
        </w:rPr>
        <w:t xml:space="preserve">】年【 </w:t>
      </w:r>
      <w:r>
        <w:rPr>
          <w:color w:val="000000" w:themeColor="text1"/>
          <w:highlight w:val="yellow"/>
          <w14:textFill>
            <w14:solidFill>
              <w14:schemeClr w14:val="tx1"/>
            </w14:solidFill>
          </w14:textFill>
        </w:rPr>
        <w:t xml:space="preserve"> </w:t>
      </w:r>
      <w:r>
        <w:rPr>
          <w:rFonts w:hint="eastAsia"/>
          <w:color w:val="000000" w:themeColor="text1"/>
          <w:highlight w:val="yellow"/>
          <w14:textFill>
            <w14:solidFill>
              <w14:schemeClr w14:val="tx1"/>
            </w14:solidFill>
          </w14:textFill>
        </w:rPr>
        <w:t xml:space="preserve">】月【 </w:t>
      </w:r>
      <w:r>
        <w:rPr>
          <w:color w:val="000000" w:themeColor="text1"/>
          <w:highlight w:val="yellow"/>
          <w14:textFill>
            <w14:solidFill>
              <w14:schemeClr w14:val="tx1"/>
            </w14:solidFill>
          </w14:textFill>
        </w:rPr>
        <w:t xml:space="preserve">  </w:t>
      </w:r>
      <w:r>
        <w:rPr>
          <w:rFonts w:hint="eastAsia"/>
          <w:color w:val="000000" w:themeColor="text1"/>
          <w:highlight w:val="yellow"/>
          <w14:textFill>
            <w14:solidFill>
              <w14:schemeClr w14:val="tx1"/>
            </w14:solidFill>
          </w14:textFill>
        </w:rPr>
        <w:t>】日到期</w:t>
      </w:r>
      <w:r>
        <w:rPr>
          <w:rFonts w:hint="eastAsia"/>
          <w:color w:val="000000" w:themeColor="text1"/>
          <w14:textFill>
            <w14:solidFill>
              <w14:schemeClr w14:val="tx1"/>
            </w14:solidFill>
          </w14:textFill>
        </w:rPr>
        <w:t>（“到期日”）。如本协议已到期但仍存在尚未履行完毕的《工作说明书》的，则本协议有效期顺延至《工作说明书》全部履行完毕之日。如本协议未约定期限的，则本协议期限至本协议项下所有工作说明书履行完毕之日。</w:t>
      </w:r>
    </w:p>
    <w:p w14:paraId="6D262080">
      <w:pPr>
        <w:snapToGrid w:val="0"/>
        <w:ind w:firstLine="420" w:firstLineChars="200"/>
        <w:rPr>
          <w:color w:val="000000" w:themeColor="text1"/>
          <w14:textFill>
            <w14:solidFill>
              <w14:schemeClr w14:val="tx1"/>
            </w14:solidFill>
          </w14:textFill>
        </w:rPr>
      </w:pPr>
    </w:p>
    <w:p w14:paraId="6AB9D119">
      <w:pPr>
        <w:snapToGrid w:val="0"/>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本协议由以下部分构成：</w:t>
      </w:r>
    </w:p>
    <w:p w14:paraId="75979CFF">
      <w:pPr>
        <w:pStyle w:val="16"/>
        <w:numPr>
          <w:ilvl w:val="0"/>
          <w:numId w:val="3"/>
        </w:numPr>
        <w:snapToGrid w:val="0"/>
        <w:spacing w:after="0" w:line="240" w:lineRule="auto"/>
        <w:ind w:firstLine="44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首页/签字页；</w:t>
      </w:r>
    </w:p>
    <w:p w14:paraId="546ED893">
      <w:pPr>
        <w:pStyle w:val="16"/>
        <w:numPr>
          <w:ilvl w:val="0"/>
          <w:numId w:val="3"/>
        </w:numPr>
        <w:snapToGrid w:val="0"/>
        <w:spacing w:after="0" w:line="240" w:lineRule="auto"/>
        <w:ind w:firstLine="440"/>
        <w:jc w:val="both"/>
        <w:rPr>
          <w:color w:val="000000" w:themeColor="text1"/>
          <w14:textFill>
            <w14:solidFill>
              <w14:schemeClr w14:val="tx1"/>
            </w14:solidFill>
          </w14:textFill>
        </w:rPr>
      </w:pPr>
      <w:r>
        <w:rPr>
          <w:rFonts w:hint="eastAsia"/>
          <w:color w:val="000000" w:themeColor="text1"/>
          <w14:textFill>
            <w14:solidFill>
              <w14:schemeClr w14:val="tx1"/>
            </w14:solidFill>
          </w14:textFill>
        </w:rPr>
        <w:t>基本条款；</w:t>
      </w:r>
    </w:p>
    <w:p w14:paraId="3B7755A5">
      <w:pPr>
        <w:pStyle w:val="16"/>
        <w:numPr>
          <w:ilvl w:val="0"/>
          <w:numId w:val="3"/>
        </w:numPr>
        <w:snapToGrid w:val="0"/>
        <w:spacing w:after="0" w:line="240" w:lineRule="auto"/>
        <w:ind w:firstLine="440"/>
        <w:jc w:val="both"/>
        <w:rPr>
          <w:color w:val="000000" w:themeColor="text1"/>
          <w14:textFill>
            <w14:solidFill>
              <w14:schemeClr w14:val="tx1"/>
            </w14:solidFill>
          </w14:textFill>
        </w:rPr>
      </w:pPr>
      <w:r>
        <w:rPr>
          <w:color w:val="000000" w:themeColor="text1"/>
          <w14:textFill>
            <w14:solidFill>
              <w14:schemeClr w14:val="tx1"/>
            </w14:solidFill>
          </w14:textFill>
        </w:rPr>
        <w:t>工作说明书</w:t>
      </w:r>
      <w:r>
        <w:rPr>
          <w:rFonts w:hint="eastAsia"/>
          <w:color w:val="000000" w:themeColor="text1"/>
          <w14:textFill>
            <w14:solidFill>
              <w14:schemeClr w14:val="tx1"/>
            </w14:solidFill>
          </w14:textFill>
        </w:rPr>
        <w:t>。</w:t>
      </w:r>
    </w:p>
    <w:p w14:paraId="6C1D7767">
      <w:pPr>
        <w:snapToGrid w:val="0"/>
        <w:ind w:firstLine="420" w:firstLineChars="200"/>
        <w:rPr>
          <w:color w:val="000000" w:themeColor="text1"/>
          <w14:textFill>
            <w14:solidFill>
              <w14:schemeClr w14:val="tx1"/>
            </w14:solidFill>
          </w14:textFill>
        </w:rPr>
      </w:pPr>
    </w:p>
    <w:p w14:paraId="417A89CD">
      <w:pPr>
        <w:snapToGrid w:val="0"/>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本协议一式四份，甲乙双方各执两份，具有同等法律效力。双方在下面签署本协议，视为双方同意本协议的全部内容。</w:t>
      </w:r>
      <w:r>
        <w:rPr>
          <w:rFonts w:hint="eastAsia"/>
          <w:bCs/>
          <w:color w:val="000000" w:themeColor="text1"/>
          <w:spacing w:val="4"/>
          <w14:textFill>
            <w14:solidFill>
              <w14:schemeClr w14:val="tx1"/>
            </w14:solidFill>
          </w14:textFill>
        </w:rPr>
        <w:t>协议一经签署，（1）双方同意任何正式签署的版本，均视为正本，具有同等法律效力；并且（2）所有本协议所定义的技术、服务和产品均受其约束。</w:t>
      </w:r>
    </w:p>
    <w:p w14:paraId="15056028">
      <w:pPr>
        <w:snapToGrid w:val="0"/>
        <w:ind w:firstLine="420" w:firstLineChars="200"/>
        <w:rPr>
          <w:color w:val="000000" w:themeColor="text1"/>
          <w14:textFill>
            <w14:solidFill>
              <w14:schemeClr w14:val="tx1"/>
            </w14:solidFill>
          </w14:textFill>
        </w:rPr>
      </w:pPr>
    </w:p>
    <w:tbl>
      <w:tblPr>
        <w:tblStyle w:val="9"/>
        <w:tblW w:w="5103" w:type="pct"/>
        <w:tblInd w:w="-108"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5451"/>
        <w:gridCol w:w="5451"/>
      </w:tblGrid>
      <w:tr w14:paraId="279B681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291" w:hRule="atLeast"/>
        </w:trPr>
        <w:tc>
          <w:tcPr>
            <w:tcW w:w="2500" w:type="pct"/>
            <w:tcBorders>
              <w:top w:val="nil"/>
              <w:bottom w:val="single" w:color="auto" w:sz="12" w:space="0"/>
              <w:right w:val="nil"/>
            </w:tcBorders>
          </w:tcPr>
          <w:p w14:paraId="0A469A7A">
            <w:pPr>
              <w:adjustRightInd w:val="0"/>
              <w:snapToGrid w:val="0"/>
              <w:ind w:firstLine="420" w:firstLineChars="200"/>
              <w:rPr>
                <w:bCs/>
                <w:color w:val="000000" w:themeColor="text1"/>
                <w:szCs w:val="21"/>
                <w14:textFill>
                  <w14:solidFill>
                    <w14:schemeClr w14:val="tx1"/>
                  </w14:solidFill>
                </w14:textFill>
              </w:rPr>
            </w:pPr>
            <w:r>
              <w:rPr>
                <w:bCs/>
                <w:color w:val="000000" w:themeColor="text1"/>
                <w:szCs w:val="21"/>
                <w:highlight w:val="yellow"/>
                <w14:textFill>
                  <w14:solidFill>
                    <w14:schemeClr w14:val="tx1"/>
                  </w14:solidFill>
                </w14:textFill>
              </w:rPr>
              <w:t>甲方</w:t>
            </w:r>
            <w:r>
              <w:rPr>
                <w:rFonts w:hint="eastAsia"/>
                <w:bCs/>
                <w:color w:val="000000" w:themeColor="text1"/>
                <w:szCs w:val="21"/>
                <w:highlight w:val="yellow"/>
                <w14:textFill>
                  <w14:solidFill>
                    <w14:schemeClr w14:val="tx1"/>
                  </w14:solidFill>
                </w14:textFill>
              </w:rPr>
              <w:t>确认和签署：</w:t>
            </w:r>
          </w:p>
        </w:tc>
        <w:tc>
          <w:tcPr>
            <w:tcW w:w="2500" w:type="pct"/>
            <w:tcBorders>
              <w:top w:val="nil"/>
              <w:left w:val="nil"/>
              <w:bottom w:val="single" w:color="auto" w:sz="12" w:space="0"/>
            </w:tcBorders>
          </w:tcPr>
          <w:p w14:paraId="51A0F9C9">
            <w:pPr>
              <w:adjustRightInd w:val="0"/>
              <w:snapToGrid w:val="0"/>
              <w:ind w:firstLine="420" w:firstLineChars="200"/>
              <w:rPr>
                <w:bCs/>
                <w:color w:val="000000" w:themeColor="text1"/>
                <w:szCs w:val="21"/>
                <w14:textFill>
                  <w14:solidFill>
                    <w14:schemeClr w14:val="tx1"/>
                  </w14:solidFill>
                </w14:textFill>
              </w:rPr>
            </w:pPr>
            <w:r>
              <w:rPr>
                <w:bCs/>
                <w:color w:val="000000" w:themeColor="text1"/>
                <w:szCs w:val="21"/>
                <w:highlight w:val="yellow"/>
                <w14:textFill>
                  <w14:solidFill>
                    <w14:schemeClr w14:val="tx1"/>
                  </w14:solidFill>
                </w14:textFill>
              </w:rPr>
              <w:t>乙方</w:t>
            </w:r>
            <w:r>
              <w:rPr>
                <w:rFonts w:hint="eastAsia"/>
                <w:bCs/>
                <w:color w:val="000000" w:themeColor="text1"/>
                <w:szCs w:val="21"/>
                <w:highlight w:val="yellow"/>
                <w14:textFill>
                  <w14:solidFill>
                    <w14:schemeClr w14:val="tx1"/>
                  </w14:solidFill>
                </w14:textFill>
              </w:rPr>
              <w:t>确认和签署：</w:t>
            </w:r>
          </w:p>
        </w:tc>
      </w:tr>
      <w:tr w14:paraId="6DB419E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41" w:hRule="atLeast"/>
        </w:trPr>
        <w:tc>
          <w:tcPr>
            <w:tcW w:w="2500" w:type="pct"/>
            <w:tcBorders>
              <w:top w:val="single" w:color="auto" w:sz="12" w:space="0"/>
              <w:bottom w:val="single" w:color="auto" w:sz="12" w:space="0"/>
            </w:tcBorders>
            <w:shd w:val="clear" w:color="auto" w:fill="DEEAF6" w:themeFill="accent1" w:themeFillTint="33"/>
          </w:tcPr>
          <w:p w14:paraId="0FF50C8E">
            <w:pPr>
              <w:tabs>
                <w:tab w:val="left" w:pos="360"/>
              </w:tabs>
              <w:ind w:firstLine="422" w:firstLineChars="200"/>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签约主体名称：</w:t>
            </w:r>
          </w:p>
          <w:p w14:paraId="46EF6107">
            <w:pPr>
              <w:tabs>
                <w:tab w:val="left" w:pos="360"/>
              </w:tabs>
              <w:ind w:firstLine="422" w:firstLineChars="200"/>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（盖章）</w:t>
            </w:r>
          </w:p>
        </w:tc>
        <w:tc>
          <w:tcPr>
            <w:tcW w:w="2500" w:type="pct"/>
            <w:tcBorders>
              <w:top w:val="single" w:color="auto" w:sz="12" w:space="0"/>
              <w:bottom w:val="single" w:color="auto" w:sz="12" w:space="0"/>
            </w:tcBorders>
            <w:shd w:val="clear" w:color="auto" w:fill="DEEAF6" w:themeFill="accent1" w:themeFillTint="33"/>
          </w:tcPr>
          <w:p w14:paraId="686A2148">
            <w:pPr>
              <w:tabs>
                <w:tab w:val="left" w:pos="360"/>
              </w:tabs>
              <w:ind w:firstLine="422" w:firstLineChars="200"/>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签约主体名称：</w:t>
            </w:r>
          </w:p>
          <w:p w14:paraId="4A8BBBE5">
            <w:pPr>
              <w:tabs>
                <w:tab w:val="left" w:pos="360"/>
              </w:tabs>
              <w:ind w:firstLine="422" w:firstLineChars="200"/>
              <w:rPr>
                <w:b/>
                <w:bCs/>
                <w:color w:val="000000" w:themeColor="text1"/>
                <w:szCs w:val="21"/>
                <w14:textFill>
                  <w14:solidFill>
                    <w14:schemeClr w14:val="tx1"/>
                  </w14:solidFill>
                </w14:textFill>
              </w:rPr>
            </w:pPr>
            <w:r>
              <w:rPr>
                <w:rFonts w:hint="eastAsia"/>
                <w:b/>
                <w:bCs/>
                <w:color w:val="000000" w:themeColor="text1"/>
                <w:szCs w:val="21"/>
                <w14:textFill>
                  <w14:solidFill>
                    <w14:schemeClr w14:val="tx1"/>
                  </w14:solidFill>
                </w14:textFill>
              </w:rPr>
              <w:t xml:space="preserve">（盖章） </w:t>
            </w:r>
          </w:p>
        </w:tc>
      </w:tr>
      <w:tr w14:paraId="2791729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4" w:space="0"/>
            </w:tcBorders>
          </w:tcPr>
          <w:p w14:paraId="3151B6D7">
            <w:pPr>
              <w:keepNext/>
              <w:keepLines/>
              <w:adjustRightInd w:val="0"/>
              <w:snapToGrid w:val="0"/>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授权代表：</w:t>
            </w:r>
          </w:p>
          <w:p w14:paraId="26E01160">
            <w:pPr>
              <w:keepNext/>
              <w:keepLines/>
              <w:adjustRightInd w:val="0"/>
              <w:snapToGrid w:val="0"/>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（签字）</w:t>
            </w:r>
          </w:p>
        </w:tc>
        <w:tc>
          <w:tcPr>
            <w:tcW w:w="2500" w:type="pct"/>
            <w:tcBorders>
              <w:bottom w:val="single" w:color="auto" w:sz="4" w:space="0"/>
            </w:tcBorders>
          </w:tcPr>
          <w:p w14:paraId="7D075D59">
            <w:pPr>
              <w:keepNext/>
              <w:keepLines/>
              <w:adjustRightInd w:val="0"/>
              <w:snapToGrid w:val="0"/>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授权代表：</w:t>
            </w:r>
          </w:p>
          <w:p w14:paraId="1E95187E">
            <w:pPr>
              <w:keepNext/>
              <w:keepLines/>
              <w:adjustRightInd w:val="0"/>
              <w:snapToGrid w:val="0"/>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（签字）</w:t>
            </w:r>
          </w:p>
          <w:p w14:paraId="58D968AC">
            <w:pPr>
              <w:keepNext/>
              <w:keepLines/>
              <w:adjustRightInd w:val="0"/>
              <w:snapToGrid w:val="0"/>
              <w:ind w:firstLine="420" w:firstLineChars="200"/>
              <w:rPr>
                <w:color w:val="000000" w:themeColor="text1"/>
                <w:szCs w:val="21"/>
                <w14:textFill>
                  <w14:solidFill>
                    <w14:schemeClr w14:val="tx1"/>
                  </w14:solidFill>
                </w14:textFill>
              </w:rPr>
            </w:pPr>
          </w:p>
        </w:tc>
      </w:tr>
      <w:tr w14:paraId="76F7210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4" w:space="0"/>
            </w:tcBorders>
          </w:tcPr>
          <w:p w14:paraId="11E5D81C">
            <w:pPr>
              <w:keepNext/>
              <w:keepLines/>
              <w:adjustRightInd w:val="0"/>
              <w:snapToGrid w:val="0"/>
              <w:ind w:firstLine="420" w:firstLineChars="200"/>
              <w:rPr>
                <w:color w:val="000000" w:themeColor="text1"/>
                <w:szCs w:val="21"/>
                <w14:textFill>
                  <w14:solidFill>
                    <w14:schemeClr w14:val="tx1"/>
                  </w14:solidFill>
                </w14:textFill>
              </w:rPr>
            </w:pPr>
            <w:r>
              <w:rPr>
                <w:color w:val="000000" w:themeColor="text1"/>
                <w:szCs w:val="21"/>
                <w14:textFill>
                  <w14:solidFill>
                    <w14:schemeClr w14:val="tx1"/>
                  </w14:solidFill>
                </w14:textFill>
              </w:rPr>
              <w:t>签署日期</w:t>
            </w:r>
            <w:r>
              <w:rPr>
                <w:rFonts w:hint="eastAsia"/>
                <w:color w:val="000000" w:themeColor="text1"/>
                <w:szCs w:val="21"/>
                <w14:textFill>
                  <w14:solidFill>
                    <w14:schemeClr w14:val="tx1"/>
                  </w14:solidFill>
                </w14:textFill>
              </w:rPr>
              <w:t>：</w:t>
            </w:r>
          </w:p>
        </w:tc>
        <w:tc>
          <w:tcPr>
            <w:tcW w:w="2500" w:type="pct"/>
            <w:tcBorders>
              <w:bottom w:val="single" w:color="auto" w:sz="4" w:space="0"/>
            </w:tcBorders>
          </w:tcPr>
          <w:p w14:paraId="39A06810">
            <w:pPr>
              <w:keepNext/>
              <w:keepLines/>
              <w:adjustRightInd w:val="0"/>
              <w:snapToGrid w:val="0"/>
              <w:ind w:firstLine="420" w:firstLineChars="200"/>
              <w:rPr>
                <w:color w:val="000000" w:themeColor="text1"/>
                <w:szCs w:val="21"/>
                <w14:textFill>
                  <w14:solidFill>
                    <w14:schemeClr w14:val="tx1"/>
                  </w14:solidFill>
                </w14:textFill>
              </w:rPr>
            </w:pPr>
            <w:r>
              <w:rPr>
                <w:color w:val="000000" w:themeColor="text1"/>
                <w:szCs w:val="21"/>
                <w14:textFill>
                  <w14:solidFill>
                    <w14:schemeClr w14:val="tx1"/>
                  </w14:solidFill>
                </w14:textFill>
              </w:rPr>
              <w:t>签署日期</w:t>
            </w:r>
            <w:r>
              <w:rPr>
                <w:rFonts w:hint="eastAsia"/>
                <w:color w:val="000000" w:themeColor="text1"/>
                <w:szCs w:val="21"/>
                <w14:textFill>
                  <w14:solidFill>
                    <w14:schemeClr w14:val="tx1"/>
                  </w14:solidFill>
                </w14:textFill>
              </w:rPr>
              <w:t>：</w:t>
            </w:r>
          </w:p>
          <w:p w14:paraId="59C50900">
            <w:pPr>
              <w:keepNext/>
              <w:keepLines/>
              <w:adjustRightInd w:val="0"/>
              <w:snapToGrid w:val="0"/>
              <w:ind w:firstLine="420" w:firstLineChars="200"/>
              <w:rPr>
                <w:color w:val="000000" w:themeColor="text1"/>
                <w:szCs w:val="21"/>
                <w14:textFill>
                  <w14:solidFill>
                    <w14:schemeClr w14:val="tx1"/>
                  </w14:solidFill>
                </w14:textFill>
              </w:rPr>
            </w:pPr>
          </w:p>
        </w:tc>
      </w:tr>
      <w:tr w14:paraId="4A5BE3D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4" w:space="0"/>
            </w:tcBorders>
            <w:shd w:val="clear" w:color="auto" w:fill="DEEAF6" w:themeFill="accent1" w:themeFillTint="33"/>
          </w:tcPr>
          <w:p w14:paraId="01BA4C08">
            <w:pPr>
              <w:keepNext/>
              <w:keepLines/>
              <w:adjustRightInd w:val="0"/>
              <w:snapToGrid w:val="0"/>
              <w:ind w:firstLine="420" w:firstLineChars="200"/>
              <w:rPr>
                <w:color w:val="000000" w:themeColor="text1"/>
                <w:szCs w:val="21"/>
                <w14:textFill>
                  <w14:solidFill>
                    <w14:schemeClr w14:val="tx1"/>
                  </w14:solidFill>
                </w14:textFill>
              </w:rPr>
            </w:pPr>
            <w:r>
              <w:rPr>
                <w:color w:val="000000" w:themeColor="text1"/>
                <w:szCs w:val="21"/>
                <w14:textFill>
                  <w14:solidFill>
                    <w14:schemeClr w14:val="tx1"/>
                  </w14:solidFill>
                </w14:textFill>
              </w:rPr>
              <w:t>联系人</w:t>
            </w:r>
            <w:r>
              <w:rPr>
                <w:rFonts w:hint="eastAsia"/>
                <w:color w:val="000000" w:themeColor="text1"/>
                <w:szCs w:val="21"/>
                <w14:textFill>
                  <w14:solidFill>
                    <w14:schemeClr w14:val="tx1"/>
                  </w14:solidFill>
                </w14:textFill>
              </w:rPr>
              <w:t>：</w:t>
            </w:r>
          </w:p>
        </w:tc>
        <w:tc>
          <w:tcPr>
            <w:tcW w:w="2500" w:type="pct"/>
            <w:tcBorders>
              <w:bottom w:val="single" w:color="auto" w:sz="4" w:space="0"/>
            </w:tcBorders>
            <w:shd w:val="clear" w:color="auto" w:fill="DEEAF6" w:themeFill="accent1" w:themeFillTint="33"/>
          </w:tcPr>
          <w:p w14:paraId="63037D96">
            <w:pPr>
              <w:keepNext/>
              <w:keepLines/>
              <w:adjustRightInd w:val="0"/>
              <w:snapToGrid w:val="0"/>
              <w:ind w:firstLine="420" w:firstLineChars="200"/>
              <w:rPr>
                <w:color w:val="000000" w:themeColor="text1"/>
                <w:szCs w:val="21"/>
                <w14:textFill>
                  <w14:solidFill>
                    <w14:schemeClr w14:val="tx1"/>
                  </w14:solidFill>
                </w14:textFill>
              </w:rPr>
            </w:pPr>
            <w:r>
              <w:rPr>
                <w:color w:val="000000" w:themeColor="text1"/>
                <w:szCs w:val="21"/>
                <w14:textFill>
                  <w14:solidFill>
                    <w14:schemeClr w14:val="tx1"/>
                  </w14:solidFill>
                </w14:textFill>
              </w:rPr>
              <w:t>联系人</w:t>
            </w:r>
            <w:r>
              <w:rPr>
                <w:rFonts w:hint="eastAsia"/>
                <w:color w:val="000000" w:themeColor="text1"/>
                <w:szCs w:val="21"/>
                <w14:textFill>
                  <w14:solidFill>
                    <w14:schemeClr w14:val="tx1"/>
                  </w14:solidFill>
                </w14:textFill>
              </w:rPr>
              <w:t>：</w:t>
            </w:r>
          </w:p>
          <w:p w14:paraId="17F5C38E">
            <w:pPr>
              <w:keepNext/>
              <w:keepLines/>
              <w:adjustRightInd w:val="0"/>
              <w:snapToGrid w:val="0"/>
              <w:ind w:firstLine="420" w:firstLineChars="200"/>
              <w:rPr>
                <w:color w:val="000000" w:themeColor="text1"/>
                <w:szCs w:val="21"/>
                <w14:textFill>
                  <w14:solidFill>
                    <w14:schemeClr w14:val="tx1"/>
                  </w14:solidFill>
                </w14:textFill>
              </w:rPr>
            </w:pPr>
          </w:p>
        </w:tc>
      </w:tr>
      <w:tr w14:paraId="33B6A03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4" w:space="0"/>
            </w:tcBorders>
          </w:tcPr>
          <w:p w14:paraId="423FC2D6">
            <w:pPr>
              <w:keepNext/>
              <w:keepLines/>
              <w:adjustRightInd w:val="0"/>
              <w:snapToGrid w:val="0"/>
              <w:ind w:firstLine="420" w:firstLineChars="200"/>
              <w:rPr>
                <w:color w:val="000000" w:themeColor="text1"/>
                <w:szCs w:val="21"/>
                <w14:textFill>
                  <w14:solidFill>
                    <w14:schemeClr w14:val="tx1"/>
                  </w14:solidFill>
                </w14:textFill>
              </w:rPr>
            </w:pPr>
            <w:r>
              <w:rPr>
                <w:color w:val="000000" w:themeColor="text1"/>
                <w:szCs w:val="21"/>
                <w14:textFill>
                  <w14:solidFill>
                    <w14:schemeClr w14:val="tx1"/>
                  </w14:solidFill>
                </w14:textFill>
              </w:rPr>
              <w:t>联系电话</w:t>
            </w:r>
            <w:r>
              <w:rPr>
                <w:rFonts w:hint="eastAsia"/>
                <w:color w:val="000000" w:themeColor="text1"/>
                <w:szCs w:val="21"/>
                <w14:textFill>
                  <w14:solidFill>
                    <w14:schemeClr w14:val="tx1"/>
                  </w14:solidFill>
                </w14:textFill>
              </w:rPr>
              <w:t>：</w:t>
            </w:r>
          </w:p>
        </w:tc>
        <w:tc>
          <w:tcPr>
            <w:tcW w:w="2500" w:type="pct"/>
            <w:tcBorders>
              <w:bottom w:val="single" w:color="auto" w:sz="4" w:space="0"/>
            </w:tcBorders>
          </w:tcPr>
          <w:p w14:paraId="23225387">
            <w:pPr>
              <w:keepNext/>
              <w:keepLines/>
              <w:adjustRightInd w:val="0"/>
              <w:snapToGrid w:val="0"/>
              <w:ind w:firstLine="420" w:firstLineChars="200"/>
              <w:rPr>
                <w:color w:val="000000" w:themeColor="text1"/>
                <w:szCs w:val="21"/>
                <w14:textFill>
                  <w14:solidFill>
                    <w14:schemeClr w14:val="tx1"/>
                  </w14:solidFill>
                </w14:textFill>
              </w:rPr>
            </w:pPr>
            <w:r>
              <w:rPr>
                <w:color w:val="000000" w:themeColor="text1"/>
                <w:szCs w:val="21"/>
                <w14:textFill>
                  <w14:solidFill>
                    <w14:schemeClr w14:val="tx1"/>
                  </w14:solidFill>
                </w14:textFill>
              </w:rPr>
              <w:t>联系电话</w:t>
            </w:r>
            <w:r>
              <w:rPr>
                <w:rFonts w:hint="eastAsia"/>
                <w:color w:val="000000" w:themeColor="text1"/>
                <w:szCs w:val="21"/>
                <w14:textFill>
                  <w14:solidFill>
                    <w14:schemeClr w14:val="tx1"/>
                  </w14:solidFill>
                </w14:textFill>
              </w:rPr>
              <w:t>：</w:t>
            </w:r>
          </w:p>
          <w:p w14:paraId="76EB15F7">
            <w:pPr>
              <w:keepNext/>
              <w:keepLines/>
              <w:adjustRightInd w:val="0"/>
              <w:snapToGrid w:val="0"/>
              <w:ind w:firstLine="420" w:firstLineChars="200"/>
              <w:rPr>
                <w:color w:val="000000" w:themeColor="text1"/>
                <w:szCs w:val="21"/>
                <w14:textFill>
                  <w14:solidFill>
                    <w14:schemeClr w14:val="tx1"/>
                  </w14:solidFill>
                </w14:textFill>
              </w:rPr>
            </w:pPr>
          </w:p>
        </w:tc>
      </w:tr>
      <w:tr w14:paraId="30982CF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4" w:space="0"/>
            </w:tcBorders>
          </w:tcPr>
          <w:p w14:paraId="002D1EA6">
            <w:pPr>
              <w:keepNext/>
              <w:keepLines/>
              <w:adjustRightInd w:val="0"/>
              <w:snapToGrid w:val="0"/>
              <w:ind w:firstLine="420" w:firstLineChars="200"/>
              <w:rPr>
                <w:color w:val="000000" w:themeColor="text1"/>
                <w:szCs w:val="21"/>
                <w14:textFill>
                  <w14:solidFill>
                    <w14:schemeClr w14:val="tx1"/>
                  </w14:solidFill>
                </w14:textFill>
              </w:rPr>
            </w:pPr>
            <w:r>
              <w:rPr>
                <w:color w:val="000000" w:themeColor="text1"/>
                <w:szCs w:val="21"/>
                <w14:textFill>
                  <w14:solidFill>
                    <w14:schemeClr w14:val="tx1"/>
                  </w14:solidFill>
                </w14:textFill>
              </w:rPr>
              <w:t>电子邮件</w:t>
            </w:r>
            <w:r>
              <w:rPr>
                <w:rFonts w:hint="eastAsia"/>
                <w:color w:val="000000" w:themeColor="text1"/>
                <w:szCs w:val="21"/>
                <w14:textFill>
                  <w14:solidFill>
                    <w14:schemeClr w14:val="tx1"/>
                  </w14:solidFill>
                </w14:textFill>
              </w:rPr>
              <w:t>：</w:t>
            </w:r>
          </w:p>
        </w:tc>
        <w:tc>
          <w:tcPr>
            <w:tcW w:w="2500" w:type="pct"/>
            <w:tcBorders>
              <w:bottom w:val="single" w:color="auto" w:sz="4" w:space="0"/>
            </w:tcBorders>
          </w:tcPr>
          <w:p w14:paraId="5DFD706A">
            <w:pPr>
              <w:keepNext/>
              <w:keepLines/>
              <w:adjustRightInd w:val="0"/>
              <w:snapToGrid w:val="0"/>
              <w:ind w:firstLine="420" w:firstLineChars="200"/>
              <w:rPr>
                <w:color w:val="000000" w:themeColor="text1"/>
                <w:szCs w:val="21"/>
                <w14:textFill>
                  <w14:solidFill>
                    <w14:schemeClr w14:val="tx1"/>
                  </w14:solidFill>
                </w14:textFill>
              </w:rPr>
            </w:pPr>
            <w:r>
              <w:rPr>
                <w:color w:val="000000" w:themeColor="text1"/>
                <w:szCs w:val="21"/>
                <w14:textFill>
                  <w14:solidFill>
                    <w14:schemeClr w14:val="tx1"/>
                  </w14:solidFill>
                </w14:textFill>
              </w:rPr>
              <w:t>电子邮件</w:t>
            </w:r>
            <w:r>
              <w:rPr>
                <w:rFonts w:hint="eastAsia"/>
                <w:color w:val="000000" w:themeColor="text1"/>
                <w:szCs w:val="21"/>
                <w14:textFill>
                  <w14:solidFill>
                    <w14:schemeClr w14:val="tx1"/>
                  </w14:solidFill>
                </w14:textFill>
              </w:rPr>
              <w:t>：</w:t>
            </w:r>
          </w:p>
          <w:p w14:paraId="5ECE6F7E">
            <w:pPr>
              <w:keepNext/>
              <w:keepLines/>
              <w:adjustRightInd w:val="0"/>
              <w:snapToGrid w:val="0"/>
              <w:ind w:firstLine="420" w:firstLineChars="200"/>
              <w:rPr>
                <w:color w:val="000000" w:themeColor="text1"/>
                <w:szCs w:val="21"/>
                <w14:textFill>
                  <w14:solidFill>
                    <w14:schemeClr w14:val="tx1"/>
                  </w14:solidFill>
                </w14:textFill>
              </w:rPr>
            </w:pPr>
          </w:p>
        </w:tc>
      </w:tr>
      <w:tr w14:paraId="7638652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Pr>
        <w:tc>
          <w:tcPr>
            <w:tcW w:w="2500" w:type="pct"/>
            <w:tcBorders>
              <w:bottom w:val="single" w:color="auto" w:sz="12" w:space="0"/>
            </w:tcBorders>
          </w:tcPr>
          <w:p w14:paraId="59019A54">
            <w:pPr>
              <w:keepNext/>
              <w:keepLines/>
              <w:adjustRightInd w:val="0"/>
              <w:snapToGrid w:val="0"/>
              <w:ind w:firstLine="420" w:firstLineChars="200"/>
              <w:rPr>
                <w:color w:val="000000" w:themeColor="text1"/>
                <w:szCs w:val="21"/>
                <w14:textFill>
                  <w14:solidFill>
                    <w14:schemeClr w14:val="tx1"/>
                  </w14:solidFill>
                </w14:textFill>
              </w:rPr>
            </w:pPr>
          </w:p>
          <w:p w14:paraId="2D8A74DD">
            <w:pPr>
              <w:keepNext/>
              <w:keepLines/>
              <w:adjustRightInd w:val="0"/>
              <w:snapToGrid w:val="0"/>
              <w:ind w:firstLine="420" w:firstLineChars="200"/>
              <w:rPr>
                <w:color w:val="000000" w:themeColor="text1"/>
                <w:szCs w:val="21"/>
                <w14:textFill>
                  <w14:solidFill>
                    <w14:schemeClr w14:val="tx1"/>
                  </w14:solidFill>
                </w14:textFill>
              </w:rPr>
            </w:pPr>
            <w:r>
              <w:rPr>
                <w:color w:val="000000" w:themeColor="text1"/>
                <w:szCs w:val="21"/>
                <w14:textFill>
                  <w14:solidFill>
                    <w14:schemeClr w14:val="tx1"/>
                  </w14:solidFill>
                </w14:textFill>
              </w:rPr>
              <w:t>注册或主要办公地址</w:t>
            </w:r>
            <w:r>
              <w:rPr>
                <w:rFonts w:hint="eastAsia"/>
                <w:color w:val="000000" w:themeColor="text1"/>
                <w:szCs w:val="21"/>
                <w14:textFill>
                  <w14:solidFill>
                    <w14:schemeClr w14:val="tx1"/>
                  </w14:solidFill>
                </w14:textFill>
              </w:rPr>
              <w:t>：</w:t>
            </w:r>
          </w:p>
        </w:tc>
        <w:tc>
          <w:tcPr>
            <w:tcW w:w="2500" w:type="pct"/>
            <w:tcBorders>
              <w:bottom w:val="single" w:color="auto" w:sz="12" w:space="0"/>
            </w:tcBorders>
          </w:tcPr>
          <w:p w14:paraId="33B20ECA">
            <w:pPr>
              <w:keepNext/>
              <w:keepLines/>
              <w:adjustRightInd w:val="0"/>
              <w:snapToGrid w:val="0"/>
              <w:ind w:firstLine="420" w:firstLineChars="200"/>
              <w:rPr>
                <w:color w:val="000000" w:themeColor="text1"/>
                <w:szCs w:val="21"/>
                <w14:textFill>
                  <w14:solidFill>
                    <w14:schemeClr w14:val="tx1"/>
                  </w14:solidFill>
                </w14:textFill>
              </w:rPr>
            </w:pPr>
          </w:p>
          <w:p w14:paraId="50EE2051">
            <w:pPr>
              <w:keepNext/>
              <w:keepLines/>
              <w:adjustRightInd w:val="0"/>
              <w:snapToGrid w:val="0"/>
              <w:ind w:firstLine="420" w:firstLineChars="200"/>
              <w:rPr>
                <w:color w:val="000000" w:themeColor="text1"/>
                <w:szCs w:val="21"/>
                <w14:textFill>
                  <w14:solidFill>
                    <w14:schemeClr w14:val="tx1"/>
                  </w14:solidFill>
                </w14:textFill>
              </w:rPr>
            </w:pPr>
            <w:r>
              <w:rPr>
                <w:color w:val="000000" w:themeColor="text1"/>
                <w:szCs w:val="21"/>
                <w14:textFill>
                  <w14:solidFill>
                    <w14:schemeClr w14:val="tx1"/>
                  </w14:solidFill>
                </w14:textFill>
              </w:rPr>
              <w:t>注册或主要办公地址</w:t>
            </w:r>
            <w:r>
              <w:rPr>
                <w:rFonts w:hint="eastAsia"/>
                <w:color w:val="000000" w:themeColor="text1"/>
                <w:szCs w:val="21"/>
                <w14:textFill>
                  <w14:solidFill>
                    <w14:schemeClr w14:val="tx1"/>
                  </w14:solidFill>
                </w14:textFill>
              </w:rPr>
              <w:t>：</w:t>
            </w:r>
          </w:p>
          <w:p w14:paraId="5A5AA176">
            <w:pPr>
              <w:keepNext/>
              <w:keepLines/>
              <w:adjustRightInd w:val="0"/>
              <w:snapToGrid w:val="0"/>
              <w:ind w:firstLine="420" w:firstLineChars="200"/>
              <w:rPr>
                <w:color w:val="000000" w:themeColor="text1"/>
                <w:szCs w:val="21"/>
                <w14:textFill>
                  <w14:solidFill>
                    <w14:schemeClr w14:val="tx1"/>
                  </w14:solidFill>
                </w14:textFill>
              </w:rPr>
            </w:pPr>
          </w:p>
          <w:p w14:paraId="61F10422">
            <w:pPr>
              <w:keepNext/>
              <w:keepLines/>
              <w:adjustRightInd w:val="0"/>
              <w:snapToGrid w:val="0"/>
              <w:ind w:firstLine="420" w:firstLineChars="200"/>
              <w:rPr>
                <w:color w:val="000000" w:themeColor="text1"/>
                <w:szCs w:val="21"/>
                <w14:textFill>
                  <w14:solidFill>
                    <w14:schemeClr w14:val="tx1"/>
                  </w14:solidFill>
                </w14:textFill>
              </w:rPr>
            </w:pPr>
          </w:p>
        </w:tc>
      </w:tr>
    </w:tbl>
    <w:p w14:paraId="6C8CF948">
      <w:pPr>
        <w:rPr>
          <w:color w:val="000000" w:themeColor="text1"/>
          <w14:textFill>
            <w14:solidFill>
              <w14:schemeClr w14:val="tx1"/>
            </w14:solidFill>
          </w14:textFill>
        </w:rPr>
      </w:pPr>
    </w:p>
    <w:p w14:paraId="77442BE0">
      <w:pPr>
        <w:rPr>
          <w:color w:val="000000" w:themeColor="text1"/>
          <w14:textFill>
            <w14:solidFill>
              <w14:schemeClr w14:val="tx1"/>
            </w14:solidFill>
          </w14:textFill>
        </w:rPr>
      </w:pPr>
    </w:p>
    <w:p w14:paraId="0D541FCC">
      <w:pPr>
        <w:tabs>
          <w:tab w:val="left" w:pos="6435"/>
        </w:tabs>
        <w:rPr>
          <w:color w:val="000000" w:themeColor="text1"/>
          <w14:textFill>
            <w14:solidFill>
              <w14:schemeClr w14:val="tx1"/>
            </w14:solidFill>
          </w14:textFill>
        </w:rPr>
      </w:pPr>
    </w:p>
    <w:p w14:paraId="6F548C7B">
      <w:pPr>
        <w:rPr>
          <w:color w:val="000000" w:themeColor="text1"/>
          <w14:textFill>
            <w14:solidFill>
              <w14:schemeClr w14:val="tx1"/>
            </w14:solidFill>
          </w14:textFill>
        </w:rPr>
      </w:pPr>
    </w:p>
    <w:p w14:paraId="199E2D71">
      <w:pPr>
        <w:rPr>
          <w:color w:val="000000" w:themeColor="text1"/>
          <w14:textFill>
            <w14:solidFill>
              <w14:schemeClr w14:val="tx1"/>
            </w14:solidFill>
          </w14:textFill>
        </w:rPr>
      </w:pPr>
    </w:p>
    <w:p w14:paraId="64420B1C">
      <w:pPr>
        <w:rPr>
          <w:color w:val="000000" w:themeColor="text1"/>
          <w14:textFill>
            <w14:solidFill>
              <w14:schemeClr w14:val="tx1"/>
            </w14:solidFill>
          </w14:textFill>
        </w:rPr>
      </w:pPr>
    </w:p>
    <w:p w14:paraId="54B120D0">
      <w:pPr>
        <w:rPr>
          <w:color w:val="000000" w:themeColor="text1"/>
          <w14:textFill>
            <w14:solidFill>
              <w14:schemeClr w14:val="tx1"/>
            </w14:solidFill>
          </w14:textFill>
        </w:rPr>
      </w:pPr>
    </w:p>
    <w:p w14:paraId="2A44BE21">
      <w:pPr>
        <w:rPr>
          <w:color w:val="000000" w:themeColor="text1"/>
          <w14:textFill>
            <w14:solidFill>
              <w14:schemeClr w14:val="tx1"/>
            </w14:solidFill>
          </w14:textFill>
        </w:rPr>
      </w:pPr>
    </w:p>
    <w:p w14:paraId="2A3EC76A">
      <w:pPr>
        <w:rPr>
          <w:color w:val="000000" w:themeColor="text1"/>
          <w14:textFill>
            <w14:solidFill>
              <w14:schemeClr w14:val="tx1"/>
            </w14:solidFill>
          </w14:textFill>
        </w:rPr>
      </w:pPr>
    </w:p>
    <w:p w14:paraId="4574F5AA">
      <w:pPr>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基本条款</w:t>
      </w:r>
    </w:p>
    <w:p w14:paraId="0B6718EC">
      <w:pPr>
        <w:jc w:val="center"/>
        <w:rPr>
          <w:color w:val="000000" w:themeColor="text1"/>
          <w:sz w:val="28"/>
          <w:szCs w:val="28"/>
          <w14:textFill>
            <w14:solidFill>
              <w14:schemeClr w14:val="tx1"/>
            </w14:solidFill>
          </w14:textFill>
        </w:rPr>
        <w:sectPr>
          <w:headerReference r:id="rId3" w:type="default"/>
          <w:footerReference r:id="rId4" w:type="default"/>
          <w:pgSz w:w="11906" w:h="16838"/>
          <w:pgMar w:top="720" w:right="720" w:bottom="720" w:left="720" w:header="851" w:footer="992" w:gutter="0"/>
          <w:cols w:space="720" w:num="1"/>
          <w:docGrid w:type="lines" w:linePitch="312" w:charSpace="0"/>
        </w:sectPr>
      </w:pPr>
    </w:p>
    <w:p w14:paraId="3A2782FB">
      <w:pPr>
        <w:pStyle w:val="16"/>
        <w:numPr>
          <w:ilvl w:val="0"/>
          <w:numId w:val="4"/>
        </w:numPr>
        <w:spacing w:after="0" w:line="0" w:lineRule="atLeast"/>
        <w:ind w:left="0" w:firstLine="0"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目的</w:t>
      </w:r>
    </w:p>
    <w:p w14:paraId="18D8ACD4">
      <w:pPr>
        <w:spacing w:line="0" w:lineRule="atLeast"/>
        <w:rPr>
          <w:color w:val="000000" w:themeColor="text1"/>
          <w14:textFill>
            <w14:solidFill>
              <w14:schemeClr w14:val="tx1"/>
            </w14:solidFill>
          </w14:textFill>
        </w:rPr>
      </w:pPr>
      <w:r>
        <w:rPr>
          <w:rFonts w:hint="eastAsia"/>
          <w:color w:val="000000" w:themeColor="text1"/>
          <w14:textFill>
            <w14:solidFill>
              <w14:schemeClr w14:val="tx1"/>
            </w14:solidFill>
          </w14:textFill>
        </w:rPr>
        <w:t>就甲方委托乙方为甲方提供本协议约定的服务，经甲方与乙方友好协商，达成如下协议，以昭信守。</w:t>
      </w:r>
    </w:p>
    <w:p w14:paraId="4B6B0C18">
      <w:pPr>
        <w:pStyle w:val="16"/>
        <w:numPr>
          <w:ilvl w:val="0"/>
          <w:numId w:val="4"/>
        </w:numPr>
        <w:spacing w:after="0" w:line="0" w:lineRule="atLeast"/>
        <w:ind w:left="0" w:firstLine="0"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定义</w:t>
      </w:r>
    </w:p>
    <w:p w14:paraId="64BBCEB5">
      <w:pPr>
        <w:pStyle w:val="16"/>
        <w:numPr>
          <w:ilvl w:val="0"/>
          <w:numId w:val="5"/>
        </w:numPr>
        <w:spacing w:after="0" w:line="0" w:lineRule="atLeast"/>
        <w:ind w:left="0" w:firstLine="0"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本协议：本协议中所提及的本协议均包括</w:t>
      </w:r>
      <w:r>
        <w:rPr>
          <w:rFonts w:hint="eastAsia"/>
          <w:color w:val="000000" w:themeColor="text1"/>
          <w:sz w:val="21"/>
          <w:szCs w:val="21"/>
          <w14:textFill>
            <w14:solidFill>
              <w14:schemeClr w14:val="tx1"/>
            </w14:solidFill>
          </w14:textFill>
        </w:rPr>
        <w:t>基本</w:t>
      </w:r>
      <w:r>
        <w:rPr>
          <w:color w:val="000000" w:themeColor="text1"/>
          <w:sz w:val="21"/>
          <w:szCs w:val="21"/>
          <w14:textFill>
            <w14:solidFill>
              <w14:schemeClr w14:val="tx1"/>
            </w14:solidFill>
          </w14:textFill>
        </w:rPr>
        <w:t>条款</w:t>
      </w:r>
      <w:r>
        <w:rPr>
          <w:rFonts w:hint="eastAsia"/>
          <w:color w:val="000000" w:themeColor="text1"/>
          <w:sz w:val="21"/>
          <w:szCs w:val="21"/>
          <w14:textFill>
            <w14:solidFill>
              <w14:schemeClr w14:val="tx1"/>
            </w14:solidFill>
          </w14:textFill>
        </w:rPr>
        <w:t>、《工作说明书》及相关附件</w:t>
      </w:r>
      <w:r>
        <w:rPr>
          <w:color w:val="000000" w:themeColor="text1"/>
          <w:sz w:val="21"/>
          <w:szCs w:val="21"/>
          <w14:textFill>
            <w14:solidFill>
              <w14:schemeClr w14:val="tx1"/>
            </w14:solidFill>
          </w14:textFill>
        </w:rPr>
        <w:t>。</w:t>
      </w:r>
    </w:p>
    <w:p w14:paraId="13F5D55E">
      <w:pPr>
        <w:pStyle w:val="16"/>
        <w:numPr>
          <w:ilvl w:val="0"/>
          <w:numId w:val="5"/>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运维服务/服务：是指乙方按本协议及《工作说明书》的约定向以甲方名义向甲方客户提供的设备维护服务或其他服务。</w:t>
      </w:r>
    </w:p>
    <w:p w14:paraId="590721EE">
      <w:pPr>
        <w:pStyle w:val="16"/>
        <w:numPr>
          <w:ilvl w:val="0"/>
          <w:numId w:val="5"/>
        </w:numPr>
        <w:spacing w:after="0" w:line="0" w:lineRule="atLeast"/>
        <w:ind w:left="0" w:firstLine="0"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可交付物：是指乙方根据本协议的约定，由乙方在提供服务过程中提供给甲方的任何作为相关服务执行结果的有形或无形客体。</w:t>
      </w:r>
    </w:p>
    <w:p w14:paraId="01AD9CCE">
      <w:pPr>
        <w:pStyle w:val="16"/>
        <w:numPr>
          <w:ilvl w:val="0"/>
          <w:numId w:val="5"/>
        </w:numPr>
        <w:spacing w:after="0" w:line="0" w:lineRule="atLeast"/>
        <w:ind w:left="0" w:firstLine="0"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关联机构：是指被一方控制或控制该方、或与该方受共同控制的机构。控制是指直接或间接地影响所提及的管理机构的能力，无论是通过</w:t>
      </w:r>
      <w:r>
        <w:rPr>
          <w:rFonts w:hint="eastAsia"/>
          <w:color w:val="000000" w:themeColor="text1"/>
          <w:sz w:val="21"/>
          <w:szCs w:val="21"/>
          <w14:textFill>
            <w14:solidFill>
              <w14:schemeClr w14:val="tx1"/>
            </w14:solidFill>
          </w14:textFill>
        </w:rPr>
        <w:t>投资关系、协议或者其他安排等方式</w:t>
      </w:r>
      <w:r>
        <w:rPr>
          <w:color w:val="000000" w:themeColor="text1"/>
          <w:sz w:val="21"/>
          <w:szCs w:val="21"/>
          <w14:textFill>
            <w14:solidFill>
              <w14:schemeClr w14:val="tx1"/>
            </w14:solidFill>
          </w14:textFill>
        </w:rPr>
        <w:t>。</w:t>
      </w:r>
    </w:p>
    <w:p w14:paraId="7C65292E">
      <w:pPr>
        <w:pStyle w:val="16"/>
        <w:numPr>
          <w:ilvl w:val="0"/>
          <w:numId w:val="5"/>
        </w:numPr>
        <w:spacing w:after="0" w:line="0" w:lineRule="atLeast"/>
        <w:ind w:left="0" w:firstLine="0"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甲方客户</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是指本协议项下</w:t>
      </w:r>
      <w:r>
        <w:rPr>
          <w:rFonts w:hint="eastAsia" w:ascii="Times New Roman" w:hAnsi="Times New Roman"/>
          <w:iCs/>
          <w:color w:val="000000" w:themeColor="text1"/>
          <w:highlight w:val="yellow"/>
          <w14:textFill>
            <w14:solidFill>
              <w14:schemeClr w14:val="tx1"/>
            </w14:solidFill>
          </w14:textFill>
        </w:rPr>
        <w:t xml:space="preserve">【 </w:t>
      </w:r>
      <w:r>
        <w:rPr>
          <w:rFonts w:ascii="Times New Roman" w:hAnsi="Times New Roman"/>
          <w:iCs/>
          <w:color w:val="000000" w:themeColor="text1"/>
          <w:highlight w:val="yellow"/>
          <w14:textFill>
            <w14:solidFill>
              <w14:schemeClr w14:val="tx1"/>
            </w14:solidFill>
          </w14:textFill>
        </w:rPr>
        <w:t xml:space="preserve">  </w:t>
      </w:r>
      <w:r>
        <w:rPr>
          <w:rFonts w:hint="eastAsia" w:ascii="Times New Roman" w:hAnsi="Times New Roman"/>
          <w:iCs/>
          <w:color w:val="000000" w:themeColor="text1"/>
          <w:highlight w:val="yellow"/>
          <w14:textFill>
            <w14:solidFill>
              <w14:schemeClr w14:val="tx1"/>
            </w14:solidFill>
          </w14:textFill>
        </w:rPr>
        <w:t>】</w:t>
      </w:r>
      <w:r>
        <w:rPr>
          <w:rFonts w:hint="eastAsia" w:ascii="Times New Roman" w:hAnsi="Times New Roman"/>
          <w:iCs/>
          <w:color w:val="000000" w:themeColor="text1"/>
          <w14:textFill>
            <w14:solidFill>
              <w14:schemeClr w14:val="tx1"/>
            </w14:solidFill>
          </w14:textFill>
        </w:rPr>
        <w:t>项目（以下简称“本项目”）中由乙方承担的运维</w:t>
      </w:r>
      <w:r>
        <w:rPr>
          <w:color w:val="000000" w:themeColor="text1"/>
          <w:sz w:val="21"/>
          <w:szCs w:val="21"/>
          <w14:textFill>
            <w14:solidFill>
              <w14:schemeClr w14:val="tx1"/>
            </w14:solidFill>
          </w14:textFill>
        </w:rPr>
        <w:t>服务和</w:t>
      </w:r>
      <w:r>
        <w:rPr>
          <w:rFonts w:hint="eastAsia"/>
          <w:color w:val="000000" w:themeColor="text1"/>
          <w:sz w:val="21"/>
          <w:szCs w:val="21"/>
          <w14:textFill>
            <w14:solidFill>
              <w14:schemeClr w14:val="tx1"/>
            </w14:solidFill>
          </w14:textFill>
        </w:rPr>
        <w:t>/或可交付物对应的甲方客户，即</w:t>
      </w:r>
      <w:r>
        <w:rPr>
          <w:rFonts w:hint="eastAsia"/>
          <w:color w:val="000000" w:themeColor="text1"/>
          <w:sz w:val="21"/>
          <w:szCs w:val="21"/>
          <w:highlight w:val="yellow"/>
          <w14:textFill>
            <w14:solidFill>
              <w14:schemeClr w14:val="tx1"/>
            </w14:solidFill>
          </w14:textFill>
        </w:rPr>
        <w:t xml:space="preserve">【 </w:t>
      </w:r>
      <w:r>
        <w:rPr>
          <w:color w:val="000000" w:themeColor="text1"/>
          <w:sz w:val="21"/>
          <w:szCs w:val="21"/>
          <w:highlight w:val="yellow"/>
          <w14:textFill>
            <w14:solidFill>
              <w14:schemeClr w14:val="tx1"/>
            </w14:solidFill>
          </w14:textFill>
        </w:rPr>
        <w:t xml:space="preserve">     </w:t>
      </w:r>
      <w:r>
        <w:rPr>
          <w:rFonts w:hint="eastAsia"/>
          <w:color w:val="000000" w:themeColor="text1"/>
          <w:sz w:val="21"/>
          <w:szCs w:val="21"/>
          <w:highlight w:val="yellow"/>
          <w14:textFill>
            <w14:solidFill>
              <w14:schemeClr w14:val="tx1"/>
            </w14:solidFill>
          </w14:textFill>
        </w:rPr>
        <w:t>】</w:t>
      </w:r>
      <w:r>
        <w:rPr>
          <w:rFonts w:hint="eastAsia"/>
          <w:color w:val="000000" w:themeColor="text1"/>
          <w:sz w:val="21"/>
          <w:szCs w:val="21"/>
          <w14:textFill>
            <w14:solidFill>
              <w14:schemeClr w14:val="tx1"/>
            </w14:solidFill>
          </w14:textFill>
        </w:rPr>
        <w:t>。</w:t>
      </w:r>
    </w:p>
    <w:p w14:paraId="4FE9B935">
      <w:pPr>
        <w:pStyle w:val="16"/>
        <w:numPr>
          <w:ilvl w:val="255"/>
          <w:numId w:val="0"/>
        </w:numPr>
        <w:spacing w:after="0" w:line="0" w:lineRule="atLeast"/>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2.6 项目合同：是指本项目对应的由甲方与甲方客户签署的具体项目合同及相关附件、招投标文件等。</w:t>
      </w:r>
    </w:p>
    <w:p w14:paraId="5472FB99">
      <w:pPr>
        <w:pStyle w:val="16"/>
        <w:numPr>
          <w:ilvl w:val="0"/>
          <w:numId w:val="4"/>
        </w:numPr>
        <w:spacing w:after="0" w:line="0" w:lineRule="atLeast"/>
        <w:ind w:left="0" w:firstLine="0"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协议结构</w:t>
      </w:r>
    </w:p>
    <w:p w14:paraId="5A2AF226">
      <w:pPr>
        <w:pStyle w:val="16"/>
        <w:numPr>
          <w:ilvl w:val="0"/>
          <w:numId w:val="6"/>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本协议作为基础服务协议用于确定双方执行服务项目的基本条款和条件。具体服务项目的内容将以相关的《工作说明书》确定，该《工作说明书》与本协议将构成双方之间就具体服务项目所达成的完整协议。</w:t>
      </w:r>
    </w:p>
    <w:p w14:paraId="3C988647">
      <w:pPr>
        <w:pStyle w:val="16"/>
        <w:numPr>
          <w:ilvl w:val="0"/>
          <w:numId w:val="6"/>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通过援引本协议，甲方可以根据本协议直接与乙方签订相关的《工作说明书》，委托乙方提供特定的运维服务。</w:t>
      </w:r>
    </w:p>
    <w:p w14:paraId="42642FE7">
      <w:pPr>
        <w:pStyle w:val="16"/>
        <w:numPr>
          <w:ilvl w:val="0"/>
          <w:numId w:val="4"/>
        </w:numPr>
        <w:spacing w:after="0" w:line="0" w:lineRule="atLeast"/>
        <w:ind w:left="0" w:firstLine="0"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服务内容</w:t>
      </w:r>
    </w:p>
    <w:p w14:paraId="188E9028">
      <w:pPr>
        <w:pStyle w:val="16"/>
        <w:numPr>
          <w:ilvl w:val="0"/>
          <w:numId w:val="7"/>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甲乙双方将以《工作说明书》的方式确定乙方向甲方提供的运维服务的具体内容（包括但不限于项目名称、服务内容、服务进度、服务场所、项目相关人员）。</w:t>
      </w:r>
    </w:p>
    <w:p w14:paraId="303CFCD7">
      <w:pPr>
        <w:pStyle w:val="16"/>
        <w:numPr>
          <w:ilvl w:val="0"/>
          <w:numId w:val="7"/>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为甲方提供服务的内容和范围在工作说明书中规定。在工作说明书经甲方书面确认前，甲方无义务为任何服务付款。如无特别约定，服务将根据其性质在现场提供或以提交可交付物的方式履行。可交付物交付时所有权同时转移至甲方，但其中含有的或与之相关的知识产权按本协议相关规定执行。</w:t>
      </w:r>
    </w:p>
    <w:p w14:paraId="2EBC8153">
      <w:pPr>
        <w:pStyle w:val="16"/>
        <w:numPr>
          <w:ilvl w:val="0"/>
          <w:numId w:val="7"/>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乙方提供的可交付成果物必须符合本协议的约定。具体详见附件《工作说明书》。</w:t>
      </w:r>
    </w:p>
    <w:p w14:paraId="10BA0FFE">
      <w:pPr>
        <w:pStyle w:val="16"/>
        <w:numPr>
          <w:ilvl w:val="0"/>
          <w:numId w:val="7"/>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未经甲方书面同意，乙方不能将本协议规定的服务转包或分包给任何第三方。</w:t>
      </w:r>
    </w:p>
    <w:p w14:paraId="4D0437A6">
      <w:pPr>
        <w:pStyle w:val="16"/>
        <w:numPr>
          <w:ilvl w:val="0"/>
          <w:numId w:val="4"/>
        </w:numPr>
        <w:spacing w:after="0" w:line="0" w:lineRule="atLeast"/>
        <w:ind w:left="0" w:firstLine="0"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进度和变更</w:t>
      </w:r>
    </w:p>
    <w:p w14:paraId="35D7B3DF">
      <w:pPr>
        <w:pStyle w:val="16"/>
        <w:numPr>
          <w:ilvl w:val="0"/>
          <w:numId w:val="8"/>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如乙方未能按规定的时间、标准完成相关工作，甲方可以选择：（</w:t>
      </w:r>
      <w:r>
        <w:rPr>
          <w:color w:val="000000" w:themeColor="text1"/>
          <w:sz w:val="21"/>
          <w:szCs w:val="21"/>
          <w14:textFill>
            <w14:solidFill>
              <w14:schemeClr w14:val="tx1"/>
            </w14:solidFill>
          </w14:textFill>
        </w:rPr>
        <w:t>A</w:t>
      </w:r>
      <w:r>
        <w:rPr>
          <w:rFonts w:hint="eastAsia"/>
          <w:color w:val="000000" w:themeColor="text1"/>
          <w:sz w:val="21"/>
          <w:szCs w:val="21"/>
          <w14:textFill>
            <w14:solidFill>
              <w14:schemeClr w14:val="tx1"/>
            </w14:solidFill>
          </w14:textFill>
        </w:rPr>
        <w:t>）授予一个宽限期，（</w:t>
      </w:r>
      <w:r>
        <w:rPr>
          <w:color w:val="000000" w:themeColor="text1"/>
          <w:sz w:val="21"/>
          <w:szCs w:val="21"/>
          <w14:textFill>
            <w14:solidFill>
              <w14:schemeClr w14:val="tx1"/>
            </w14:solidFill>
          </w14:textFill>
        </w:rPr>
        <w:t>B</w:t>
      </w:r>
      <w:r>
        <w:rPr>
          <w:rFonts w:hint="eastAsia"/>
          <w:color w:val="000000" w:themeColor="text1"/>
          <w:sz w:val="21"/>
          <w:szCs w:val="21"/>
          <w14:textFill>
            <w14:solidFill>
              <w14:schemeClr w14:val="tx1"/>
            </w14:solidFill>
          </w14:textFill>
        </w:rPr>
        <w:t>）要求乙方按本协议的约定支付违约金，（</w:t>
      </w:r>
      <w:r>
        <w:rPr>
          <w:color w:val="000000" w:themeColor="text1"/>
          <w:sz w:val="21"/>
          <w:szCs w:val="21"/>
          <w14:textFill>
            <w14:solidFill>
              <w14:schemeClr w14:val="tx1"/>
            </w14:solidFill>
          </w14:textFill>
        </w:rPr>
        <w:t>C</w:t>
      </w:r>
      <w:r>
        <w:rPr>
          <w:rFonts w:hint="eastAsia"/>
          <w:color w:val="000000" w:themeColor="text1"/>
          <w:sz w:val="21"/>
          <w:szCs w:val="21"/>
          <w14:textFill>
            <w14:solidFill>
              <w14:schemeClr w14:val="tx1"/>
            </w14:solidFill>
          </w14:textFill>
        </w:rPr>
        <w:t>）终止相关工作并寻求其他可替代服务，并由乙方承担甲方寻求其他可替代服务产生的相关费用。以上处理不影响甲方依法寻求其他救济的权利。若进度迟延是由甲方的原因导致，则受影响的相关工作进度在受影响的范围内可被相应顺延。</w:t>
      </w:r>
    </w:p>
    <w:p w14:paraId="2F1C4050">
      <w:pPr>
        <w:pStyle w:val="16"/>
        <w:numPr>
          <w:ilvl w:val="0"/>
          <w:numId w:val="8"/>
        </w:numPr>
        <w:spacing w:after="0" w:line="0" w:lineRule="atLeast"/>
        <w:ind w:left="0" w:firstLine="0"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甲方可根据业务需要对服务进行变更</w:t>
      </w:r>
      <w:r>
        <w:rPr>
          <w:rFonts w:hint="eastAsia"/>
          <w:color w:val="000000" w:themeColor="text1"/>
          <w:sz w:val="21"/>
          <w:szCs w:val="21"/>
          <w14:textFill>
            <w14:solidFill>
              <w14:schemeClr w14:val="tx1"/>
            </w14:solidFill>
          </w14:textFill>
        </w:rPr>
        <w:t>。乙方在</w:t>
      </w:r>
      <w:r>
        <w:rPr>
          <w:color w:val="000000" w:themeColor="text1"/>
          <w:sz w:val="21"/>
          <w:szCs w:val="21"/>
          <w14:textFill>
            <w14:solidFill>
              <w14:schemeClr w14:val="tx1"/>
            </w14:solidFill>
          </w14:textFill>
        </w:rPr>
        <w:t>收到甲方书面通知后</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应尽最大的合理努力按照甲方要求调整工作</w:t>
      </w:r>
      <w:r>
        <w:rPr>
          <w:rFonts w:hint="eastAsia"/>
          <w:color w:val="000000" w:themeColor="text1"/>
          <w:sz w:val="21"/>
          <w:szCs w:val="21"/>
          <w14:textFill>
            <w14:solidFill>
              <w14:schemeClr w14:val="tx1"/>
            </w14:solidFill>
          </w14:textFill>
        </w:rPr>
        <w:t>，原则上，服务费用将不受影响，</w:t>
      </w:r>
      <w:r>
        <w:rPr>
          <w:color w:val="000000" w:themeColor="text1"/>
          <w:sz w:val="21"/>
          <w:szCs w:val="21"/>
          <w14:textFill>
            <w14:solidFill>
              <w14:schemeClr w14:val="tx1"/>
            </w14:solidFill>
          </w14:textFill>
        </w:rPr>
        <w:t>如果乙方有合理理由认为需要调整费用的</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应经双方诚信协商一致进行调整并以书面形式进行</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但无论如何</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乙方应采取有效措施降低和避免可能因此给甲方造成的损失</w:t>
      </w:r>
      <w:r>
        <w:rPr>
          <w:rFonts w:hint="eastAsia"/>
          <w:color w:val="000000" w:themeColor="text1"/>
          <w:sz w:val="21"/>
          <w:szCs w:val="21"/>
          <w14:textFill>
            <w14:solidFill>
              <w14:schemeClr w14:val="tx1"/>
            </w14:solidFill>
          </w14:textFill>
        </w:rPr>
        <w:t>。</w:t>
      </w:r>
    </w:p>
    <w:p w14:paraId="69DC0FC8">
      <w:pPr>
        <w:pStyle w:val="16"/>
        <w:numPr>
          <w:ilvl w:val="0"/>
          <w:numId w:val="4"/>
        </w:numPr>
        <w:spacing w:after="0" w:line="0" w:lineRule="atLeast"/>
        <w:ind w:left="0" w:firstLine="0"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验收标准</w:t>
      </w:r>
    </w:p>
    <w:p w14:paraId="3A5659E0">
      <w:pPr>
        <w:pStyle w:val="16"/>
        <w:numPr>
          <w:ilvl w:val="0"/>
          <w:numId w:val="9"/>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验收（考核）标准和/或验收（考核）方式详见附件《工作说明书》。</w:t>
      </w:r>
    </w:p>
    <w:p w14:paraId="1DC2C7A2">
      <w:pPr>
        <w:pStyle w:val="16"/>
        <w:numPr>
          <w:ilvl w:val="0"/>
          <w:numId w:val="9"/>
        </w:numPr>
        <w:spacing w:after="0" w:line="0" w:lineRule="atLeast"/>
        <w:ind w:left="0" w:firstLine="0"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阶段性工作完成后</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乙方可依照本协议及</w:t>
      </w:r>
      <w:r>
        <w:rPr>
          <w:rFonts w:hint="eastAsia"/>
          <w:color w:val="000000" w:themeColor="text1"/>
          <w:sz w:val="21"/>
          <w:szCs w:val="21"/>
          <w14:textFill>
            <w14:solidFill>
              <w14:schemeClr w14:val="tx1"/>
            </w14:solidFill>
          </w14:textFill>
        </w:rPr>
        <w:t>《工作说明书》等文件的要求在规定时间内向甲方提出验收申请并提供加盖乙方公章的书面验收申请书（乙方不得仅通过邮件申请验收），同时将本协议及《工作说明书》等文件中列明的验收材料、物品、文件等可交付物全面完整无误地提交给甲方。</w:t>
      </w:r>
    </w:p>
    <w:p w14:paraId="1CEA063C">
      <w:pPr>
        <w:pStyle w:val="16"/>
        <w:numPr>
          <w:ilvl w:val="0"/>
          <w:numId w:val="9"/>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甲方应按照以上验收标准和验收方式对可交付成果物进行验收，并将验收的结果以书面形式经甲方加盖公章后通知乙方。</w:t>
      </w:r>
    </w:p>
    <w:p w14:paraId="58FDF8BF">
      <w:pPr>
        <w:pStyle w:val="7"/>
        <w:numPr>
          <w:ilvl w:val="0"/>
          <w:numId w:val="9"/>
        </w:numPr>
        <w:spacing w:line="0" w:lineRule="atLeast"/>
        <w:ind w:left="0" w:firstLine="0"/>
        <w:rPr>
          <w:rFonts w:ascii="Calibri" w:hAnsi="Calibri"/>
          <w:b w:val="0"/>
          <w:kern w:val="0"/>
          <w:szCs w:val="21"/>
        </w:rPr>
      </w:pPr>
      <w:r>
        <w:rPr>
          <w:rFonts w:ascii="Calibri" w:hAnsi="Calibri"/>
          <w:b w:val="0"/>
          <w:kern w:val="0"/>
          <w:szCs w:val="21"/>
        </w:rPr>
        <w:t>乙方提交验收申请并提交</w:t>
      </w:r>
      <w:r>
        <w:rPr>
          <w:rFonts w:hint="eastAsia" w:ascii="Calibri" w:hAnsi="Calibri"/>
          <w:b w:val="0"/>
          <w:kern w:val="0"/>
          <w:szCs w:val="21"/>
        </w:rPr>
        <w:t>可交付物</w:t>
      </w:r>
      <w:r>
        <w:rPr>
          <w:rFonts w:ascii="Calibri" w:hAnsi="Calibri"/>
          <w:b w:val="0"/>
          <w:kern w:val="0"/>
          <w:szCs w:val="21"/>
        </w:rPr>
        <w:t>后</w:t>
      </w:r>
      <w:r>
        <w:rPr>
          <w:rFonts w:hint="eastAsia" w:ascii="Calibri" w:hAnsi="Calibri"/>
          <w:b w:val="0"/>
          <w:kern w:val="0"/>
          <w:szCs w:val="21"/>
        </w:rPr>
        <w:t>，应及时与</w:t>
      </w:r>
      <w:r>
        <w:rPr>
          <w:rFonts w:ascii="Calibri" w:hAnsi="Calibri"/>
          <w:b w:val="0"/>
          <w:kern w:val="0"/>
          <w:szCs w:val="21"/>
        </w:rPr>
        <w:t>甲方</w:t>
      </w:r>
      <w:r>
        <w:rPr>
          <w:rFonts w:hint="eastAsia" w:ascii="Calibri" w:hAnsi="Calibri"/>
          <w:b w:val="0"/>
          <w:kern w:val="0"/>
          <w:szCs w:val="21"/>
        </w:rPr>
        <w:t>项目</w:t>
      </w:r>
      <w:r>
        <w:rPr>
          <w:rFonts w:ascii="Calibri" w:hAnsi="Calibri"/>
          <w:b w:val="0"/>
          <w:kern w:val="0"/>
          <w:szCs w:val="21"/>
        </w:rPr>
        <w:t>负责人进行沟通</w:t>
      </w:r>
      <w:r>
        <w:rPr>
          <w:rFonts w:hint="eastAsia" w:ascii="Calibri" w:hAnsi="Calibri"/>
          <w:b w:val="0"/>
          <w:kern w:val="0"/>
          <w:szCs w:val="21"/>
        </w:rPr>
        <w:t>，</w:t>
      </w:r>
      <w:r>
        <w:rPr>
          <w:rFonts w:ascii="Calibri" w:hAnsi="Calibri"/>
          <w:b w:val="0"/>
          <w:kern w:val="0"/>
          <w:szCs w:val="21"/>
        </w:rPr>
        <w:t>共同及时推进验收</w:t>
      </w:r>
      <w:r>
        <w:rPr>
          <w:rFonts w:hint="eastAsia" w:ascii="Calibri" w:hAnsi="Calibri"/>
          <w:b w:val="0"/>
          <w:kern w:val="0"/>
          <w:szCs w:val="21"/>
        </w:rPr>
        <w:t>。</w:t>
      </w:r>
    </w:p>
    <w:p w14:paraId="223CA622">
      <w:pPr>
        <w:pStyle w:val="7"/>
        <w:numPr>
          <w:ilvl w:val="0"/>
          <w:numId w:val="9"/>
        </w:numPr>
        <w:spacing w:line="0" w:lineRule="atLeast"/>
        <w:ind w:left="0" w:firstLine="0"/>
        <w:rPr>
          <w:rFonts w:ascii="Calibri" w:hAnsi="Calibri"/>
          <w:b w:val="0"/>
          <w:kern w:val="0"/>
          <w:szCs w:val="21"/>
        </w:rPr>
      </w:pPr>
      <w:r>
        <w:rPr>
          <w:rFonts w:hint="eastAsia" w:ascii="Calibri" w:hAnsi="Calibri"/>
          <w:b w:val="0"/>
          <w:kern w:val="0"/>
          <w:szCs w:val="21"/>
        </w:rPr>
        <w:t>甲方向乙方出具验收报告的前提是乙方交付的成果通过了甲方客户的验收，且甲方客户</w:t>
      </w:r>
      <w:r>
        <w:rPr>
          <w:rFonts w:ascii="Calibri" w:hAnsi="Calibri"/>
          <w:b w:val="0"/>
          <w:kern w:val="0"/>
          <w:szCs w:val="21"/>
        </w:rPr>
        <w:t>向</w:t>
      </w:r>
      <w:r>
        <w:rPr>
          <w:rFonts w:hint="eastAsia" w:ascii="Calibri" w:hAnsi="Calibri"/>
          <w:b w:val="0"/>
          <w:kern w:val="0"/>
          <w:szCs w:val="21"/>
        </w:rPr>
        <w:t>甲方已出具了书面验收报告。</w:t>
      </w:r>
    </w:p>
    <w:p w14:paraId="0BBE2BAA">
      <w:pPr>
        <w:pStyle w:val="7"/>
        <w:numPr>
          <w:ilvl w:val="0"/>
          <w:numId w:val="9"/>
        </w:numPr>
        <w:spacing w:line="0" w:lineRule="atLeast"/>
        <w:ind w:left="0" w:firstLine="0"/>
        <w:rPr>
          <w:rFonts w:ascii="Calibri" w:hAnsi="Calibri"/>
          <w:b w:val="0"/>
          <w:kern w:val="0"/>
          <w:szCs w:val="21"/>
        </w:rPr>
      </w:pPr>
      <w:r>
        <w:rPr>
          <w:rFonts w:hint="eastAsia" w:ascii="Calibri" w:hAnsi="Calibri"/>
          <w:b w:val="0"/>
          <w:kern w:val="0"/>
          <w:szCs w:val="21"/>
        </w:rPr>
        <w:t>验收报告、验收证明等验收类文件</w:t>
      </w:r>
      <w:r>
        <w:rPr>
          <w:rFonts w:ascii="Calibri" w:hAnsi="Calibri"/>
          <w:b w:val="0"/>
          <w:kern w:val="0"/>
          <w:szCs w:val="21"/>
        </w:rPr>
        <w:t>须</w:t>
      </w:r>
      <w:r>
        <w:rPr>
          <w:rFonts w:hint="eastAsia" w:ascii="Calibri" w:hAnsi="Calibri"/>
          <w:b w:val="0"/>
          <w:kern w:val="0"/>
          <w:szCs w:val="21"/>
        </w:rPr>
        <w:t>经甲方加盖公章后方</w:t>
      </w:r>
      <w:r>
        <w:rPr>
          <w:rFonts w:ascii="Calibri" w:hAnsi="Calibri"/>
          <w:b w:val="0"/>
          <w:kern w:val="0"/>
          <w:szCs w:val="21"/>
        </w:rPr>
        <w:t>为有</w:t>
      </w:r>
      <w:r>
        <w:rPr>
          <w:rFonts w:hint="eastAsia" w:ascii="Calibri" w:hAnsi="Calibri"/>
          <w:b w:val="0"/>
          <w:kern w:val="0"/>
          <w:szCs w:val="21"/>
        </w:rPr>
        <w:t>效，验收报告等验收类文件中加盖甲方任何其他</w:t>
      </w:r>
      <w:r>
        <w:rPr>
          <w:rFonts w:ascii="Calibri" w:hAnsi="Calibri"/>
          <w:b w:val="0"/>
          <w:kern w:val="0"/>
          <w:szCs w:val="21"/>
        </w:rPr>
        <w:t>印</w:t>
      </w:r>
      <w:r>
        <w:rPr>
          <w:rFonts w:hint="eastAsia" w:ascii="Calibri" w:hAnsi="Calibri"/>
          <w:b w:val="0"/>
          <w:kern w:val="0"/>
          <w:szCs w:val="21"/>
        </w:rPr>
        <w:t>章或仅有甲方工作人员签字的不能视为甲方验收合格。</w:t>
      </w:r>
    </w:p>
    <w:p w14:paraId="199DCCE9">
      <w:pPr>
        <w:pStyle w:val="16"/>
        <w:numPr>
          <w:ilvl w:val="255"/>
          <w:numId w:val="0"/>
        </w:numPr>
        <w:spacing w:after="0" w:line="0" w:lineRule="atLeast"/>
        <w:rPr>
          <w:b/>
          <w:color w:val="000000" w:themeColor="text1"/>
          <w14:textFill>
            <w14:solidFill>
              <w14:schemeClr w14:val="tx1"/>
            </w14:solidFill>
          </w14:textFill>
        </w:rPr>
      </w:pPr>
      <w:r>
        <w:rPr>
          <w:rFonts w:hint="eastAsia"/>
          <w:color w:val="000000" w:themeColor="text1"/>
          <w:sz w:val="21"/>
          <w:szCs w:val="21"/>
          <w14:textFill>
            <w14:solidFill>
              <w14:schemeClr w14:val="tx1"/>
            </w14:solidFill>
          </w14:textFill>
        </w:rPr>
        <w:t>6.7 若事先未能在《工作说明书》中明确验收标准和/或验收方式的，或约定的验收标准和/或验收方式不够具体明确的，应首先参照本项目的招投标文件、甲方与甲方客户的项目合同、工作说明书等与本项目执行有关的文件中所列明的验收（考核）标准和/或验收（考核）方式执行，如仍无法明确具体验收（考核）标准和/</w:t>
      </w:r>
      <w:r>
        <w:rPr>
          <w:color w:val="000000" w:themeColor="text1"/>
          <w:sz w:val="21"/>
          <w:szCs w:val="21"/>
          <w14:textFill>
            <w14:solidFill>
              <w14:schemeClr w14:val="tx1"/>
            </w14:solidFill>
          </w14:textFill>
        </w:rPr>
        <w:t>或验收</w:t>
      </w:r>
      <w:r>
        <w:rPr>
          <w:rFonts w:hint="eastAsia"/>
          <w:color w:val="000000" w:themeColor="text1"/>
          <w:sz w:val="21"/>
          <w:szCs w:val="21"/>
          <w14:textFill>
            <w14:solidFill>
              <w14:schemeClr w14:val="tx1"/>
            </w14:solidFill>
          </w14:textFill>
        </w:rPr>
        <w:t>（考核）</w:t>
      </w:r>
      <w:r>
        <w:rPr>
          <w:color w:val="000000" w:themeColor="text1"/>
          <w:sz w:val="21"/>
          <w:szCs w:val="21"/>
          <w14:textFill>
            <w14:solidFill>
              <w14:schemeClr w14:val="tx1"/>
            </w14:solidFill>
          </w14:textFill>
        </w:rPr>
        <w:t>方式的</w:t>
      </w:r>
      <w:r>
        <w:rPr>
          <w:rFonts w:hint="eastAsia"/>
          <w:color w:val="000000" w:themeColor="text1"/>
          <w:sz w:val="21"/>
          <w:szCs w:val="21"/>
          <w14:textFill>
            <w14:solidFill>
              <w14:schemeClr w14:val="tx1"/>
            </w14:solidFill>
          </w14:textFill>
        </w:rPr>
        <w:t>，参照项目开展当时有效的国家标准、行业标准、项目所在地的有关标准、规范等执行。上述标准及要求不一致时，以要求较高的标准为准。如通过上述方式最终仍无法明确具体验收（考核）标准和/或验收（考核）方式的，</w:t>
      </w:r>
      <w:r>
        <w:rPr>
          <w:color w:val="000000" w:themeColor="text1"/>
          <w:sz w:val="21"/>
          <w:szCs w:val="21"/>
          <w14:textFill>
            <w14:solidFill>
              <w14:schemeClr w14:val="tx1"/>
            </w14:solidFill>
          </w14:textFill>
        </w:rPr>
        <w:t>由甲乙</w:t>
      </w:r>
      <w:r>
        <w:rPr>
          <w:rFonts w:hint="eastAsia"/>
          <w:color w:val="000000" w:themeColor="text1"/>
          <w:sz w:val="21"/>
          <w:szCs w:val="21"/>
          <w14:textFill>
            <w14:solidFill>
              <w14:schemeClr w14:val="tx1"/>
            </w14:solidFill>
          </w14:textFill>
        </w:rPr>
        <w:t>双方本着诚信的原则共同厘清，但无论如何，服务和可交付物应能实现甲方签署本协议的目的，达到甲方满意及甲方用户满意的标准。</w:t>
      </w:r>
    </w:p>
    <w:p w14:paraId="5FBFECFF">
      <w:pPr>
        <w:pStyle w:val="16"/>
        <w:numPr>
          <w:ilvl w:val="0"/>
          <w:numId w:val="4"/>
        </w:numPr>
        <w:spacing w:after="0" w:line="0" w:lineRule="atLeast"/>
        <w:ind w:left="0" w:firstLine="0"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双方权利义务</w:t>
      </w:r>
    </w:p>
    <w:p w14:paraId="60F3EA98">
      <w:pPr>
        <w:pStyle w:val="16"/>
        <w:numPr>
          <w:ilvl w:val="0"/>
          <w:numId w:val="10"/>
        </w:numPr>
        <w:spacing w:after="0" w:line="0" w:lineRule="atLeast"/>
        <w:ind w:left="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甲方权利义务</w:t>
      </w:r>
    </w:p>
    <w:p w14:paraId="087BC202">
      <w:pPr>
        <w:pStyle w:val="16"/>
        <w:numPr>
          <w:ilvl w:val="0"/>
          <w:numId w:val="11"/>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按照约定如期支付服务费用。</w:t>
      </w:r>
    </w:p>
    <w:p w14:paraId="0ECE72B6">
      <w:pPr>
        <w:pStyle w:val="16"/>
        <w:numPr>
          <w:ilvl w:val="0"/>
          <w:numId w:val="11"/>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甲方应向乙方提供服务所必须的应由甲方提供的信息、数据及资料。</w:t>
      </w:r>
    </w:p>
    <w:p w14:paraId="21137B7F">
      <w:pPr>
        <w:pStyle w:val="16"/>
        <w:numPr>
          <w:ilvl w:val="0"/>
          <w:numId w:val="11"/>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因项目需要由甲方或甲方客户购买并提供给乙方使用的设备软件或技术资料的所有权属于甲方或甲方客户，乙方应在项目结束之日起【3】日内</w:t>
      </w:r>
      <w:r>
        <w:rPr>
          <w:rFonts w:hint="eastAsia"/>
          <w:color w:val="000000" w:themeColor="text1"/>
          <w:sz w:val="21"/>
          <w:szCs w:val="21"/>
          <w:lang w:eastAsia="zh-Hans"/>
          <w14:textFill>
            <w14:solidFill>
              <w14:schemeClr w14:val="tx1"/>
            </w14:solidFill>
          </w14:textFill>
        </w:rPr>
        <w:t>或本协议解除之日</w:t>
      </w:r>
      <w:r>
        <w:rPr>
          <w:rFonts w:hint="eastAsia"/>
          <w:color w:val="000000" w:themeColor="text1"/>
          <w:sz w:val="21"/>
          <w:szCs w:val="21"/>
          <w14:textFill>
            <w14:solidFill>
              <w14:schemeClr w14:val="tx1"/>
            </w14:solidFill>
          </w14:textFill>
        </w:rPr>
        <w:t>交还给甲方。</w:t>
      </w:r>
    </w:p>
    <w:p w14:paraId="037586A4">
      <w:pPr>
        <w:pStyle w:val="16"/>
        <w:numPr>
          <w:ilvl w:val="0"/>
          <w:numId w:val="11"/>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甲方有权要求在甲方或甲方客户现场服务的乙方运维服务人员遵守甲方或甲方客户的信息安全管理制度、安全管理制度、考勤制度等政策或者制度。</w:t>
      </w:r>
    </w:p>
    <w:p w14:paraId="4EBAEA57">
      <w:pPr>
        <w:pStyle w:val="16"/>
        <w:numPr>
          <w:ilvl w:val="0"/>
          <w:numId w:val="11"/>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甲方在收到乙方提供的乙方运维服务人员的相关信息后，对于符合服务要求的应安排人员对乙方人员进行评估和确认，并及时通知乙方结果。</w:t>
      </w:r>
    </w:p>
    <w:p w14:paraId="73BCDE40">
      <w:pPr>
        <w:pStyle w:val="16"/>
        <w:numPr>
          <w:ilvl w:val="0"/>
          <w:numId w:val="11"/>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甲方有权对乙方提供的服务及乙方服务人员进行考核，并根据考核结果调整服务费用的金额，并有权要求乙方更换不合格的服务人员。</w:t>
      </w:r>
    </w:p>
    <w:p w14:paraId="2FA72481">
      <w:pPr>
        <w:pStyle w:val="16"/>
        <w:numPr>
          <w:ilvl w:val="0"/>
          <w:numId w:val="11"/>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甲方视项目情况有权提前终止本协议或工作说明书，但应提前【30】天通知乙方，运维服务费用按照乙方实际工作量计算。</w:t>
      </w:r>
    </w:p>
    <w:p w14:paraId="3A302807">
      <w:pPr>
        <w:pStyle w:val="16"/>
        <w:numPr>
          <w:ilvl w:val="0"/>
          <w:numId w:val="11"/>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甲方需要增加或减少乙方运维服务人员，应至少提前【</w:t>
      </w:r>
      <w:r>
        <w:rPr>
          <w:color w:val="000000" w:themeColor="text1"/>
          <w:sz w:val="21"/>
          <w:szCs w:val="21"/>
          <w14:textFill>
            <w14:solidFill>
              <w14:schemeClr w14:val="tx1"/>
            </w14:solidFill>
          </w14:textFill>
        </w:rPr>
        <w:t>7</w:t>
      </w:r>
      <w:r>
        <w:rPr>
          <w:rFonts w:hint="eastAsia"/>
          <w:color w:val="000000" w:themeColor="text1"/>
          <w:sz w:val="21"/>
          <w:szCs w:val="21"/>
          <w14:textFill>
            <w14:solidFill>
              <w14:schemeClr w14:val="tx1"/>
            </w14:solidFill>
          </w14:textFill>
        </w:rPr>
        <w:t>】天书面通知乙方，运维服务费用按照乙方实际工作量结算。</w:t>
      </w:r>
    </w:p>
    <w:p w14:paraId="647C731A">
      <w:pPr>
        <w:pStyle w:val="16"/>
        <w:numPr>
          <w:ilvl w:val="0"/>
          <w:numId w:val="11"/>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甲方应指派一名项目负责人，负责对乙方服务进行协调、监督，项目负责人应定期向甲方汇报，与乙方项目负责人沟通，并对乙方提供的服务的工作量和/或可交付成果物进行验收。</w:t>
      </w:r>
    </w:p>
    <w:p w14:paraId="15588F21">
      <w:pPr>
        <w:pStyle w:val="16"/>
        <w:numPr>
          <w:ilvl w:val="0"/>
          <w:numId w:val="11"/>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乙方运维服务人员由乙方自行管理，如由于甲方的过错在甲方场地发生人身意外伤亡的，甲方在其过错范围内承担赔偿责任。</w:t>
      </w:r>
    </w:p>
    <w:p w14:paraId="0177A0EF">
      <w:pPr>
        <w:pStyle w:val="16"/>
        <w:numPr>
          <w:ilvl w:val="0"/>
          <w:numId w:val="11"/>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本协议规定的其他义务。</w:t>
      </w:r>
    </w:p>
    <w:p w14:paraId="6565B049">
      <w:pPr>
        <w:pStyle w:val="16"/>
        <w:numPr>
          <w:ilvl w:val="0"/>
          <w:numId w:val="10"/>
        </w:numPr>
        <w:spacing w:after="0" w:line="0" w:lineRule="atLeast"/>
        <w:ind w:left="0" w:firstLine="0"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乙方权利义务</w:t>
      </w:r>
    </w:p>
    <w:p w14:paraId="0928DAF5">
      <w:pPr>
        <w:pStyle w:val="16"/>
        <w:numPr>
          <w:ilvl w:val="0"/>
          <w:numId w:val="12"/>
        </w:numPr>
        <w:spacing w:after="0" w:line="0" w:lineRule="atLeast"/>
        <w:ind w:left="0" w:firstLine="0"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乙方承诺乙方完全具备履行本协议的资质标准</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履约能力及合法资格</w:t>
      </w:r>
      <w:r>
        <w:rPr>
          <w:rFonts w:hint="eastAsia"/>
          <w:color w:val="000000" w:themeColor="text1"/>
          <w:sz w:val="21"/>
          <w:szCs w:val="21"/>
          <w14:textFill>
            <w14:solidFill>
              <w14:schemeClr w14:val="tx1"/>
            </w14:solidFill>
          </w14:textFill>
        </w:rPr>
        <w:t>，乙方将积极履行和推进本项目，乙方承诺将</w:t>
      </w:r>
      <w:r>
        <w:rPr>
          <w:color w:val="000000" w:themeColor="text1"/>
          <w:sz w:val="21"/>
          <w:szCs w:val="21"/>
          <w14:textFill>
            <w14:solidFill>
              <w14:schemeClr w14:val="tx1"/>
            </w14:solidFill>
          </w14:textFill>
        </w:rPr>
        <w:t>不因乙方的任何自身行为或其他乙方原因导致本项目履行延迟或停滞</w:t>
      </w:r>
      <w:r>
        <w:rPr>
          <w:rFonts w:hint="eastAsia"/>
          <w:color w:val="000000" w:themeColor="text1"/>
          <w:sz w:val="21"/>
          <w:szCs w:val="21"/>
          <w14:textFill>
            <w14:solidFill>
              <w14:schemeClr w14:val="tx1"/>
            </w14:solidFill>
          </w14:textFill>
        </w:rPr>
        <w:t>。乙方将在自身能力范围之内积极防范任何可能导致本项目履行延迟或停滞的各种不利情况，尽力保障本项目顺利实施。</w:t>
      </w:r>
    </w:p>
    <w:p w14:paraId="7F64A04C">
      <w:pPr>
        <w:pStyle w:val="16"/>
        <w:numPr>
          <w:ilvl w:val="0"/>
          <w:numId w:val="12"/>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乙方运维服务人员应按甲乙双方的约定，按时进行运维服务，除不可抗力或甲方书面同意外，不得以任何理由拒绝履行本协议项下任何义务。</w:t>
      </w:r>
    </w:p>
    <w:p w14:paraId="526685C2">
      <w:pPr>
        <w:pStyle w:val="16"/>
        <w:numPr>
          <w:ilvl w:val="0"/>
          <w:numId w:val="12"/>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协议项下可交付成果物均应由乙方以书面形式交付甲方。未经甲方的书面同意，乙方不得直接向甲方客户交付本协议项下成果物；若甲方书面同意，乙方在向甲方客户交付后3日内应将甲方客户的签收文件原件向甲方提供一份以供甲方备案。</w:t>
      </w:r>
    </w:p>
    <w:p w14:paraId="422650F2">
      <w:pPr>
        <w:pStyle w:val="16"/>
        <w:numPr>
          <w:ilvl w:val="0"/>
          <w:numId w:val="12"/>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乙方应在每一个服务现场或项目小组指派一名乙方项目负责人，负责针对乙方运维服务人员及其提供的服务进行管理、监督，及与甲方项目负责人沟通，并协调服务。</w:t>
      </w:r>
    </w:p>
    <w:p w14:paraId="52FC3C37">
      <w:pPr>
        <w:pStyle w:val="16"/>
        <w:numPr>
          <w:ilvl w:val="0"/>
          <w:numId w:val="12"/>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如乙方运维服务人员因临时原因不能到达甲方服务场地提供服务的，乙方应在甲方要求时指派临时替代人员完成乙方缺席人员的工作。</w:t>
      </w:r>
    </w:p>
    <w:p w14:paraId="319EDDD4">
      <w:pPr>
        <w:pStyle w:val="16"/>
        <w:numPr>
          <w:ilvl w:val="0"/>
          <w:numId w:val="12"/>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乙方应保证其在甲方或者甲方客户现场的运维服务人员遵守甲方及其客户的保密制度、安全制度、信息安全管理制度、考勤制度等相关政策、制度与规定。</w:t>
      </w:r>
    </w:p>
    <w:p w14:paraId="36B0CB4F">
      <w:pPr>
        <w:pStyle w:val="16"/>
        <w:numPr>
          <w:ilvl w:val="0"/>
          <w:numId w:val="12"/>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运维服务人员应合理地、有效率地利用甲方或甲方客户提供的各种资源。乙方运维服务人员不得为与甲方项目无关的业务使用甲方提供的各种资源。乙方人员不得在服务场地为非甲方指定的人员或在与甲方业务无关的领域提供服务。</w:t>
      </w:r>
    </w:p>
    <w:p w14:paraId="37745F81">
      <w:pPr>
        <w:pStyle w:val="16"/>
        <w:numPr>
          <w:ilvl w:val="0"/>
          <w:numId w:val="12"/>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对于甲方或甲方客户针对乙方运维服务人员的服务质量和服务进度等所提出的投诉，乙方需在【3】日内就调查和解决的情况做出书面反应，呈交甲方管理部门。</w:t>
      </w:r>
    </w:p>
    <w:p w14:paraId="0680AE7C">
      <w:pPr>
        <w:pStyle w:val="16"/>
        <w:numPr>
          <w:ilvl w:val="0"/>
          <w:numId w:val="12"/>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如乙方运维服务人员的服务不符合甲方要求或者甲方客户需求的，甲方有权要求乙方在【3】个工作日内更换合格的人员，该更换人员不得低于被更换人员的级别及经验。乙方运维服务人员存在职业操守问题，或不能按要求完成服务工作，或在履行服务义务的过程中因故意或重大过失给甲方造成损失，乙方负责赔偿甲方的全部损失，且甲方有权立即停止该乙方运维服务人员根据本协议为甲方所提供的服务，并要求乙方尽快更换运维服务人员或终止本协议。</w:t>
      </w:r>
    </w:p>
    <w:p w14:paraId="11B27DA0">
      <w:pPr>
        <w:pStyle w:val="16"/>
        <w:numPr>
          <w:ilvl w:val="0"/>
          <w:numId w:val="12"/>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如乙方运维服务人员离职的，乙方应至少提前【4】周通知甲方，并按照甲方要求及时指派符合甲方需求的人员进行替换，并进行不少于【3】周的交接，在交接期间，甲方只需支付一名运维服务人员的费用。</w:t>
      </w:r>
    </w:p>
    <w:p w14:paraId="078A2DE8">
      <w:pPr>
        <w:pStyle w:val="16"/>
        <w:numPr>
          <w:ilvl w:val="0"/>
          <w:numId w:val="12"/>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运维服务人员应严格遵照执行由甲方或甲方客户制定的或认可的项目服务计划，未经甲方或甲方客户书面同意不得延迟或进行内容上的变更，如果乙方运维服务人员在执行服务计划的过程中发现影响计划执行质量和进度的不利因素，乙方有义务及时通报给甲方。</w:t>
      </w:r>
    </w:p>
    <w:p w14:paraId="5B0FDB65">
      <w:pPr>
        <w:pStyle w:val="16"/>
        <w:numPr>
          <w:ilvl w:val="0"/>
          <w:numId w:val="12"/>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由甲方或甲方客户负责提供服务质量管理方法和基本服务标准，乙方运维服务人员在项目服务过程中必须严格遵守，并按照这些要求来进行项目服务和管理工作。</w:t>
      </w:r>
    </w:p>
    <w:p w14:paraId="0A60A1CA">
      <w:pPr>
        <w:pStyle w:val="16"/>
        <w:numPr>
          <w:ilvl w:val="0"/>
          <w:numId w:val="12"/>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如甲方或甲方客户向乙方提供在实施过程中所需要的所有文档模版，乙方应按照甲方或用户的文档模版要求进行所有文档的编写工作，乙方不得将文档模板用于甲方或甲方客户实施以外的其他用途，否则视为违反双方保密义务，按照本协议规定进行处理。</w:t>
      </w:r>
    </w:p>
    <w:p w14:paraId="382B6BAB">
      <w:pPr>
        <w:pStyle w:val="16"/>
        <w:numPr>
          <w:ilvl w:val="0"/>
          <w:numId w:val="12"/>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运维服务人员不是甲方的雇员，乙方对乙方人员进行直接、实际的管理，甲方对其不承担任何雇主责任。所谓雇主责任包括但不限于：提供工资及其他职工福利，保管人事档案，办理退休、养老、医疗、工伤、住房等各种社会保险和缴费，职业教育与培训，代扣代缴个人所得税。乙方应按照甲方的要求购买相应险种，包括但并不限于职业责任险。</w:t>
      </w:r>
    </w:p>
    <w:p w14:paraId="74CE5C2E">
      <w:pPr>
        <w:pStyle w:val="16"/>
        <w:numPr>
          <w:ilvl w:val="0"/>
          <w:numId w:val="12"/>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为乙方运维服务人员提供带薪年假、产假、医疗期等不是甲方的责任。这些假期所占时间不包括在甲方的付费时间范围内。乙方运维服务人员休年假、产假或请病假、事假、丧假连续超过三天，乙方应在经甲方同意后指派其他人员加以替代，乙方有责任安排好原服务人员与替代人员之间的交接工作。</w:t>
      </w:r>
    </w:p>
    <w:p w14:paraId="2BB3417B">
      <w:pPr>
        <w:pStyle w:val="16"/>
        <w:numPr>
          <w:ilvl w:val="0"/>
          <w:numId w:val="12"/>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甲方有权对乙方是否合规履行本协议对乙方进行审计，乙方应予以积极配合和支持。</w:t>
      </w:r>
    </w:p>
    <w:p w14:paraId="16E3CD66">
      <w:pPr>
        <w:pStyle w:val="16"/>
        <w:numPr>
          <w:ilvl w:val="255"/>
          <w:numId w:val="0"/>
        </w:numPr>
        <w:spacing w:line="0" w:lineRule="atLeast"/>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7.2.17   乙方应积极履行本协议及相关文件中规定的其他义务。</w:t>
      </w:r>
    </w:p>
    <w:p w14:paraId="3C4B80FF">
      <w:pPr>
        <w:pStyle w:val="16"/>
        <w:numPr>
          <w:ilvl w:val="0"/>
          <w:numId w:val="4"/>
        </w:numPr>
        <w:spacing w:after="0" w:line="0" w:lineRule="atLeast"/>
        <w:ind w:left="0" w:firstLine="0"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服务费用及支付</w:t>
      </w:r>
    </w:p>
    <w:p w14:paraId="37A0804B">
      <w:pPr>
        <w:pStyle w:val="16"/>
        <w:numPr>
          <w:ilvl w:val="0"/>
          <w:numId w:val="13"/>
        </w:numPr>
        <w:spacing w:after="0" w:line="0" w:lineRule="atLeast"/>
        <w:ind w:left="0" w:firstLine="0"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甲方经对乙方提供的服务工作量以及服务内容质量进行确认后</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确定每个结算周期应该支付的款项金额</w:t>
      </w:r>
      <w:r>
        <w:rPr>
          <w:rFonts w:hint="eastAsia"/>
          <w:color w:val="000000" w:themeColor="text1"/>
          <w:sz w:val="21"/>
          <w:szCs w:val="21"/>
          <w14:textFill>
            <w14:solidFill>
              <w14:schemeClr w14:val="tx1"/>
            </w14:solidFill>
          </w14:textFill>
        </w:rPr>
        <w:t>。</w:t>
      </w:r>
    </w:p>
    <w:p w14:paraId="236685EE">
      <w:pPr>
        <w:pStyle w:val="16"/>
        <w:numPr>
          <w:ilvl w:val="0"/>
          <w:numId w:val="13"/>
        </w:numPr>
        <w:spacing w:after="0" w:line="0" w:lineRule="atLeast"/>
        <w:ind w:left="0" w:firstLine="0"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如</w:t>
      </w:r>
      <w:r>
        <w:rPr>
          <w:rFonts w:hint="eastAsia"/>
          <w:color w:val="000000" w:themeColor="text1"/>
          <w:sz w:val="21"/>
          <w:szCs w:val="21"/>
          <w14:textFill>
            <w14:solidFill>
              <w14:schemeClr w14:val="tx1"/>
            </w14:solidFill>
          </w14:textFill>
        </w:rPr>
        <w:t>乙方</w:t>
      </w:r>
      <w:r>
        <w:rPr>
          <w:color w:val="000000" w:themeColor="text1"/>
          <w:sz w:val="21"/>
          <w:szCs w:val="21"/>
          <w14:textFill>
            <w14:solidFill>
              <w14:schemeClr w14:val="tx1"/>
            </w14:solidFill>
          </w14:textFill>
        </w:rPr>
        <w:t>提供的服务涉及向甲方客户提供并经甲方客户验收，则甲方对乙方的任何一笔付款均以甲方收到甲方客户的相应阶段的相应比例款项且乙方已达到相应阶段的付款条件为前提</w:t>
      </w:r>
      <w:r>
        <w:rPr>
          <w:rFonts w:hint="eastAsia"/>
          <w:color w:val="000000" w:themeColor="text1"/>
          <w:sz w:val="21"/>
          <w:szCs w:val="21"/>
          <w14:textFill>
            <w14:solidFill>
              <w14:schemeClr w14:val="tx1"/>
            </w14:solidFill>
          </w14:textFill>
        </w:rPr>
        <w:t>。</w:t>
      </w:r>
    </w:p>
    <w:p w14:paraId="2F2CB648">
      <w:pPr>
        <w:pStyle w:val="16"/>
        <w:numPr>
          <w:ilvl w:val="0"/>
          <w:numId w:val="13"/>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如甲方客户对甲方的付款以审计或考核结果作为结算依据，则本协议甲方向乙方的付款也应按照本项目甲方客户的审计或考核结果对最终结算金额进行相应核减</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核增调整，乙方对此理解并接受且不对此提出异议。</w:t>
      </w:r>
    </w:p>
    <w:p w14:paraId="6159B22F">
      <w:pPr>
        <w:pStyle w:val="7"/>
        <w:numPr>
          <w:ilvl w:val="0"/>
          <w:numId w:val="13"/>
        </w:numPr>
        <w:spacing w:line="0" w:lineRule="atLeast"/>
        <w:ind w:left="0" w:firstLine="0"/>
        <w:rPr>
          <w:szCs w:val="21"/>
        </w:rPr>
      </w:pPr>
      <w:r>
        <w:rPr>
          <w:rFonts w:hint="eastAsia" w:ascii="Calibri" w:hAnsi="Calibri"/>
          <w:b w:val="0"/>
          <w:kern w:val="0"/>
          <w:szCs w:val="21"/>
        </w:rPr>
        <w:t>甲乙双方对于应付款金额、抵销金额等存在分歧，双方应共同尽快推进账务核对，在此情况下，甲方有权暂缓支付且无须承担违约责任。</w:t>
      </w:r>
    </w:p>
    <w:p w14:paraId="4915A099">
      <w:pPr>
        <w:pStyle w:val="7"/>
        <w:numPr>
          <w:ilvl w:val="0"/>
          <w:numId w:val="13"/>
        </w:numPr>
        <w:spacing w:line="0" w:lineRule="atLeast"/>
        <w:ind w:left="0" w:firstLine="0"/>
        <w:rPr>
          <w:szCs w:val="21"/>
        </w:rPr>
      </w:pPr>
      <w:r>
        <w:rPr>
          <w:rFonts w:hint="eastAsia" w:ascii="Calibri" w:hAnsi="Calibri"/>
          <w:b w:val="0"/>
          <w:kern w:val="0"/>
          <w:szCs w:val="21"/>
        </w:rPr>
        <w:t>乙方应在甲方支付款项前，依据甲方确认的结算金额，向甲方提供足额且符合税法规定的增值税专用发票。如乙方未按照要求提供相应发票，甲方有权延迟支付相应费用而不被视为违约，亦无须承担任何违约责任。</w:t>
      </w:r>
    </w:p>
    <w:p w14:paraId="5DBEDA28">
      <w:pPr>
        <w:pStyle w:val="16"/>
        <w:numPr>
          <w:ilvl w:val="0"/>
          <w:numId w:val="13"/>
        </w:numPr>
        <w:spacing w:after="0" w:line="0" w:lineRule="atLeast"/>
        <w:ind w:left="0" w:firstLine="0"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双方根据目前有效适用的法律</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各自承担各自应付的税款</w:t>
      </w:r>
      <w:r>
        <w:rPr>
          <w:rFonts w:hint="eastAsia"/>
          <w:color w:val="000000" w:themeColor="text1"/>
          <w:sz w:val="21"/>
          <w:szCs w:val="21"/>
          <w14:textFill>
            <w14:solidFill>
              <w14:schemeClr w14:val="tx1"/>
            </w14:solidFill>
          </w14:textFill>
        </w:rPr>
        <w:t>。本协议履行过程中，如发生税种、税率等要素因税法修改而发生变动，不含税金额不变，双方可直接依据不含税金额及变动后的税率调整应付金额后继续履行业务并按变动后的新税率开具发票。</w:t>
      </w:r>
    </w:p>
    <w:p w14:paraId="7DC422CB">
      <w:pPr>
        <w:pStyle w:val="16"/>
        <w:numPr>
          <w:ilvl w:val="0"/>
          <w:numId w:val="13"/>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已于协议签署前明确了解到本项目甲方客户及甲方可能存在的收付款风险（如有），乙方在明知该风险可能影响甲方向乙方支付本协议款项的情况下仍自愿签订并履行本协议。乙方对前述原因导致甲方迟延付款的行为表示理解和谅解，同意不要求甲方承担延迟付款违约责任及延期付款利息，不以此暂停本协议的履行而影响甲方整体项目交付验收工作。</w:t>
      </w:r>
    </w:p>
    <w:p w14:paraId="6877C605">
      <w:pPr>
        <w:pStyle w:val="16"/>
        <w:numPr>
          <w:ilvl w:val="0"/>
          <w:numId w:val="13"/>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服务费用说明：除上述按照甲方确认服务费用外，甲方无需另行支付其他任何费用，乙方亦不得主张任何其他费用（包括但不限于差旅费、交通费、加班费等）。</w:t>
      </w:r>
    </w:p>
    <w:p w14:paraId="55F4ACD2">
      <w:pPr>
        <w:pStyle w:val="16"/>
        <w:numPr>
          <w:ilvl w:val="0"/>
          <w:numId w:val="13"/>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若根据本协议约定乙方应当支付违约金和/或承担赔偿责任，甲方有权自乙方服务费用中直接扣除乙方应支付的违约金或赔偿金的部分或全部。</w:t>
      </w:r>
    </w:p>
    <w:p w14:paraId="2696C98F">
      <w:pPr>
        <w:pStyle w:val="16"/>
        <w:numPr>
          <w:ilvl w:val="0"/>
          <w:numId w:val="13"/>
        </w:numPr>
        <w:spacing w:after="0" w:line="0" w:lineRule="atLeast"/>
        <w:ind w:left="0" w:firstLine="0" w:firstLineChars="0"/>
        <w:jc w:val="both"/>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如甲乙双方对于应付款金额</w:t>
      </w:r>
      <w:r>
        <w:rPr>
          <w:rFonts w:hint="eastAsia"/>
          <w:color w:val="000000" w:themeColor="text1"/>
          <w:sz w:val="21"/>
          <w:szCs w:val="21"/>
          <w14:textFill>
            <w14:solidFill>
              <w14:schemeClr w14:val="tx1"/>
            </w14:solidFill>
          </w14:textFill>
        </w:rPr>
        <w:t>、抵销</w:t>
      </w:r>
      <w:r>
        <w:rPr>
          <w:color w:val="000000" w:themeColor="text1"/>
          <w:sz w:val="21"/>
          <w:szCs w:val="21"/>
          <w14:textFill>
            <w14:solidFill>
              <w14:schemeClr w14:val="tx1"/>
            </w14:solidFill>
          </w14:textFill>
        </w:rPr>
        <w:t>金额等存在分歧</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双方应共同尽快推进账务核对</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在此情况下</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甲方有权暂缓支付且无须承担违约责任</w:t>
      </w:r>
      <w:r>
        <w:rPr>
          <w:rFonts w:hint="eastAsia"/>
          <w:color w:val="000000" w:themeColor="text1"/>
          <w:sz w:val="21"/>
          <w:szCs w:val="21"/>
          <w14:textFill>
            <w14:solidFill>
              <w14:schemeClr w14:val="tx1"/>
            </w14:solidFill>
          </w14:textFill>
        </w:rPr>
        <w:t>。</w:t>
      </w:r>
    </w:p>
    <w:p w14:paraId="01BF418E">
      <w:pPr>
        <w:pStyle w:val="16"/>
        <w:numPr>
          <w:ilvl w:val="0"/>
          <w:numId w:val="13"/>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应在甲方支付款项前，依据甲方确认的结算金额，向甲方提供足额且符合税法规定的增值税专用发票。如乙方未按照要求提供相应发票，甲方有权延迟支付相应费用而不被视为违约，亦无须承担任何违约责任。</w:t>
      </w:r>
    </w:p>
    <w:p w14:paraId="21428675">
      <w:pPr>
        <w:pStyle w:val="16"/>
        <w:numPr>
          <w:ilvl w:val="0"/>
          <w:numId w:val="13"/>
        </w:numPr>
        <w:spacing w:after="0" w:line="0" w:lineRule="atLeast"/>
        <w:ind w:left="0" w:firstLine="0" w:firstLineChars="0"/>
        <w:jc w:val="both"/>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双方根据目前有效适用的法律</w:t>
      </w:r>
      <w:r>
        <w:rPr>
          <w:rFonts w:hint="eastAsia"/>
          <w:color w:val="000000" w:themeColor="text1"/>
          <w:sz w:val="21"/>
          <w:szCs w:val="21"/>
          <w14:textFill>
            <w14:solidFill>
              <w14:schemeClr w14:val="tx1"/>
            </w14:solidFill>
          </w14:textFill>
        </w:rPr>
        <w:t>，</w:t>
      </w:r>
      <w:r>
        <w:rPr>
          <w:color w:val="000000" w:themeColor="text1"/>
          <w:sz w:val="21"/>
          <w:szCs w:val="21"/>
          <w14:textFill>
            <w14:solidFill>
              <w14:schemeClr w14:val="tx1"/>
            </w14:solidFill>
          </w14:textFill>
        </w:rPr>
        <w:t>各自承担各自应付的税款</w:t>
      </w:r>
      <w:r>
        <w:rPr>
          <w:rFonts w:hint="eastAsia"/>
          <w:color w:val="000000" w:themeColor="text1"/>
          <w:sz w:val="21"/>
          <w:szCs w:val="21"/>
          <w14:textFill>
            <w14:solidFill>
              <w14:schemeClr w14:val="tx1"/>
            </w14:solidFill>
          </w14:textFill>
        </w:rPr>
        <w:t>。本协议履行过程中，如发生税种、税率等要素因税法修改而发生变动，不含税金额不变，双方可直接依据不含税金额及变动后的税率调整应付金额后继续履行业务并按变动后的新税率开具发票。</w:t>
      </w:r>
    </w:p>
    <w:p w14:paraId="102CEDE2">
      <w:pPr>
        <w:pStyle w:val="16"/>
        <w:spacing w:after="0" w:line="0" w:lineRule="atLeast"/>
        <w:ind w:firstLine="0" w:firstLineChars="0"/>
        <w:rPr>
          <w:color w:val="000000" w:themeColor="text1"/>
          <w:sz w:val="21"/>
          <w:szCs w:val="21"/>
          <w14:textFill>
            <w14:solidFill>
              <w14:schemeClr w14:val="tx1"/>
            </w14:solidFill>
          </w14:textFill>
        </w:rPr>
      </w:pPr>
    </w:p>
    <w:p w14:paraId="26AEA423">
      <w:pPr>
        <w:pStyle w:val="16"/>
        <w:numPr>
          <w:ilvl w:val="0"/>
          <w:numId w:val="4"/>
        </w:numPr>
        <w:spacing w:after="0" w:line="0" w:lineRule="atLeast"/>
        <w:ind w:left="0" w:firstLine="0"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保密信息</w:t>
      </w:r>
    </w:p>
    <w:p w14:paraId="14DB8C90">
      <w:pPr>
        <w:pStyle w:val="16"/>
        <w:numPr>
          <w:ilvl w:val="0"/>
          <w:numId w:val="14"/>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协议签署前及在本协议期限内，一方（“披露方”）可能已经或将要向对方（“接收方”）披露该方的商业、营销、技术、科学或其他资料，这些资料在披露当时被指定为保密信息（或类似标注），或者在保密的情况下披露，或者经双方的合理商业判断为保密信息（“保密信息”）。接收方必须：（A）对保密信息进行保密；（B）不为除本协议规定的目的之外的其他目的使用保密信息；以及（C）除向为履行其职责而确有必要知悉保密信息的该方雇员（或其关联机构、该方律师、会计师或其他顾问的雇员）披露外，不向其他任何人披露保密信息，且上述人员应签署书面保密协议或保证书，其中保密义务的严格程度不得低于本协议规定的标准。</w:t>
      </w:r>
    </w:p>
    <w:p w14:paraId="45AC2C7B">
      <w:pPr>
        <w:pStyle w:val="16"/>
        <w:numPr>
          <w:ilvl w:val="0"/>
          <w:numId w:val="14"/>
        </w:numPr>
        <w:spacing w:after="0" w:line="0" w:lineRule="atLeast"/>
        <w:ind w:left="0"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对甲方所提供的所有资料以及在本协议签订、履行过程中所接触到的甲方及其关联公司的商业秘密、技术资料、客户信息等资料和信息(统称“保密资料”)负有保密义务。未经甲方书面许可，乙方不得向任何第三方披露，不得将保密资料的部分或全部用于本协议约定事项以外的其他用途。乙方有义务对保密资料采取不低于对其本身商业秘密所采取的保护手段予以保护。乙方可仅为本协议目的向其内部有知悉保密资料必要的雇员披露保密资料，但同时须指示其雇员遵守本条规定的保密及不披露义务，乙方仅得为履行本协议之目的对保密资料进行复制。乙方应当妥善保管保密资料，并对保密资料在乙方期间发生的被盗、泄露或其他有损保密资料保密性的事件承担全部责任，因此造成甲方损失的，乙方应负责赔偿。</w:t>
      </w:r>
    </w:p>
    <w:p w14:paraId="79333F0D">
      <w:pPr>
        <w:pStyle w:val="16"/>
        <w:numPr>
          <w:ilvl w:val="0"/>
          <w:numId w:val="14"/>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上款规定的义务对以下信息不适用：（A）在披露时已属于或在披露后进入公共领域的信息，但因接收方违反保密义务所导致的除外；（B）在披露时接收方已经掌握的且对其不承担保密义务的信息；（C）在未违反本协议的情况下接收方从披露方之外的来源获得的信息；（D）由披露方在未附带保密义务的情况下提供给第三方的信息；或（E）接收方未利用披露方披露的信息独立开发的信息。</w:t>
      </w:r>
    </w:p>
    <w:p w14:paraId="3E06C3CB">
      <w:pPr>
        <w:pStyle w:val="16"/>
        <w:numPr>
          <w:ilvl w:val="0"/>
          <w:numId w:val="14"/>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协议期满或终止后，或经披露方随时提出要求，接收方应：（A）向对方归还（或经对方要求销毁）包含对方保密信息的所有材料（包括其复制件）；且（B）在对方提出此项要求后十（10）日内向对方书面保证已经归还或销毁上述资料。</w:t>
      </w:r>
    </w:p>
    <w:p w14:paraId="24921625">
      <w:pPr>
        <w:pStyle w:val="16"/>
        <w:numPr>
          <w:ilvl w:val="0"/>
          <w:numId w:val="14"/>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本条款项下的保密义务持续有效，直至保密信息丧失秘密性为止。</w:t>
      </w:r>
    </w:p>
    <w:p w14:paraId="1368434A">
      <w:pPr>
        <w:pStyle w:val="16"/>
        <w:numPr>
          <w:ilvl w:val="0"/>
          <w:numId w:val="14"/>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如双方决定与本协议同时签署一个独立的保密协议，或援引已签署生效的保密协议，则在本协议项下交流的信息优先受该协议的约束。</w:t>
      </w:r>
    </w:p>
    <w:p w14:paraId="21EA2A0D">
      <w:pPr>
        <w:pStyle w:val="16"/>
        <w:numPr>
          <w:ilvl w:val="0"/>
          <w:numId w:val="14"/>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w:t>
      </w:r>
      <w:r>
        <w:rPr>
          <w:color w:val="000000" w:themeColor="text1"/>
          <w:sz w:val="21"/>
          <w:szCs w:val="21"/>
          <w14:textFill>
            <w14:solidFill>
              <w14:schemeClr w14:val="tx1"/>
            </w14:solidFill>
          </w14:textFill>
        </w:rPr>
        <w:t>协议</w:t>
      </w:r>
      <w:r>
        <w:rPr>
          <w:rFonts w:hint="eastAsia"/>
          <w:color w:val="000000" w:themeColor="text1"/>
          <w:sz w:val="21"/>
          <w:szCs w:val="21"/>
          <w14:textFill>
            <w14:solidFill>
              <w14:schemeClr w14:val="tx1"/>
            </w14:solidFill>
          </w14:textFill>
        </w:rPr>
        <w:t>约定的保密义务不受本</w:t>
      </w:r>
      <w:r>
        <w:rPr>
          <w:color w:val="000000" w:themeColor="text1"/>
          <w:sz w:val="21"/>
          <w:szCs w:val="21"/>
          <w14:textFill>
            <w14:solidFill>
              <w14:schemeClr w14:val="tx1"/>
            </w14:solidFill>
          </w14:textFill>
        </w:rPr>
        <w:t>协议</w:t>
      </w:r>
      <w:r>
        <w:rPr>
          <w:rFonts w:hint="eastAsia"/>
          <w:color w:val="000000" w:themeColor="text1"/>
          <w:sz w:val="21"/>
          <w:szCs w:val="21"/>
          <w14:textFill>
            <w14:solidFill>
              <w14:schemeClr w14:val="tx1"/>
            </w14:solidFill>
          </w14:textFill>
        </w:rPr>
        <w:t>约定的所有期限和本</w:t>
      </w:r>
      <w:r>
        <w:rPr>
          <w:color w:val="000000" w:themeColor="text1"/>
          <w:sz w:val="21"/>
          <w:szCs w:val="21"/>
          <w14:textFill>
            <w14:solidFill>
              <w14:schemeClr w14:val="tx1"/>
            </w14:solidFill>
          </w14:textFill>
        </w:rPr>
        <w:t>协议</w:t>
      </w:r>
      <w:r>
        <w:rPr>
          <w:rFonts w:hint="eastAsia"/>
          <w:color w:val="000000" w:themeColor="text1"/>
          <w:sz w:val="21"/>
          <w:szCs w:val="21"/>
          <w14:textFill>
            <w14:solidFill>
              <w14:schemeClr w14:val="tx1"/>
            </w14:solidFill>
          </w14:textFill>
        </w:rPr>
        <w:t>效力的限制。如果任何一方违反本</w:t>
      </w:r>
      <w:r>
        <w:rPr>
          <w:color w:val="000000" w:themeColor="text1"/>
          <w:sz w:val="21"/>
          <w:szCs w:val="21"/>
          <w14:textFill>
            <w14:solidFill>
              <w14:schemeClr w14:val="tx1"/>
            </w14:solidFill>
          </w14:textFill>
        </w:rPr>
        <w:t>协议</w:t>
      </w:r>
      <w:r>
        <w:rPr>
          <w:rFonts w:hint="eastAsia"/>
          <w:color w:val="000000" w:themeColor="text1"/>
          <w:sz w:val="21"/>
          <w:szCs w:val="21"/>
          <w14:textFill>
            <w14:solidFill>
              <w14:schemeClr w14:val="tx1"/>
            </w14:solidFill>
          </w14:textFill>
        </w:rPr>
        <w:t>约定的保密义务，给</w:t>
      </w:r>
      <w:r>
        <w:rPr>
          <w:color w:val="000000" w:themeColor="text1"/>
          <w:sz w:val="21"/>
          <w:szCs w:val="21"/>
          <w14:textFill>
            <w14:solidFill>
              <w14:schemeClr w14:val="tx1"/>
            </w14:solidFill>
          </w14:textFill>
        </w:rPr>
        <w:t>另一</w:t>
      </w:r>
      <w:r>
        <w:rPr>
          <w:rFonts w:hint="eastAsia"/>
          <w:color w:val="000000" w:themeColor="text1"/>
          <w:sz w:val="21"/>
          <w:szCs w:val="21"/>
          <w14:textFill>
            <w14:solidFill>
              <w14:schemeClr w14:val="tx1"/>
            </w14:solidFill>
          </w14:textFill>
        </w:rPr>
        <w:t>方造成损失的，应当承担赔偿责任。</w:t>
      </w:r>
    </w:p>
    <w:p w14:paraId="2F5C0918">
      <w:pPr>
        <w:pStyle w:val="16"/>
        <w:numPr>
          <w:ilvl w:val="0"/>
          <w:numId w:val="4"/>
        </w:numPr>
        <w:spacing w:after="0" w:line="0" w:lineRule="atLeast"/>
        <w:ind w:left="0" w:firstLine="0"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知识产权</w:t>
      </w:r>
    </w:p>
    <w:p w14:paraId="78D5A56C">
      <w:pPr>
        <w:pStyle w:val="16"/>
        <w:numPr>
          <w:ilvl w:val="0"/>
          <w:numId w:val="15"/>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为执行相关工作说明书提供的可交付物、任何文件、信息或物料的所有权及其中含有的或与之相关的所有权利，包括但不限于知识产权、专利申请权和所有权，归甲方所有。双方确定，甲方利用乙方的服务成果所完成的新的技术成果的所有权利，包括但不限于知识产权、专利申请权和所有权，归甲方所有。未经甲方事先书面许可，乙方不得将上述知识产权及其任何相同或类似的技术、作品用于本协议之外的目的。</w:t>
      </w:r>
    </w:p>
    <w:p w14:paraId="373819EB">
      <w:pPr>
        <w:pStyle w:val="16"/>
        <w:numPr>
          <w:ilvl w:val="0"/>
          <w:numId w:val="15"/>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保证，本协议下乙方向甲方提交的交付成果物及阶段性成果等服务内容不侵犯任何第三方知识产权，包括但不限于专利权、商标权、版权、专有技术和商业秘密，否则应向甲方支付协议总金额的【50】%作为违约金，如该违约金不足以赔偿由此给甲方造成的损失的，还应赔偿由此给甲方造成的全部损失。</w:t>
      </w:r>
      <w:r>
        <w:rPr>
          <w:rFonts w:hint="eastAsia"/>
          <w:color w:val="000000" w:themeColor="text1"/>
          <w:sz w:val="21"/>
          <w:szCs w:val="21"/>
          <w14:textFill>
            <w14:solidFill>
              <w14:schemeClr w14:val="tx1"/>
            </w14:solidFill>
          </w14:textFill>
        </w:rPr>
        <w:tab/>
      </w:r>
    </w:p>
    <w:p w14:paraId="7E47259B">
      <w:pPr>
        <w:pStyle w:val="16"/>
        <w:numPr>
          <w:ilvl w:val="0"/>
          <w:numId w:val="15"/>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乙方承诺，若甲方</w:t>
      </w:r>
      <w:r>
        <w:rPr>
          <w:color w:val="000000" w:themeColor="text1"/>
          <w:sz w:val="21"/>
          <w:szCs w:val="21"/>
          <w14:textFill>
            <w14:solidFill>
              <w14:schemeClr w14:val="tx1"/>
            </w14:solidFill>
          </w14:textFill>
        </w:rPr>
        <w:t>或甲方客户</w:t>
      </w:r>
      <w:r>
        <w:rPr>
          <w:rFonts w:hint="eastAsia"/>
          <w:color w:val="000000" w:themeColor="text1"/>
          <w:sz w:val="21"/>
          <w:szCs w:val="21"/>
          <w14:textFill>
            <w14:solidFill>
              <w14:schemeClr w14:val="tx1"/>
            </w14:solidFill>
          </w14:textFill>
        </w:rPr>
        <w:t>需应对第三方权利人知识产权索赔的，乙方应在收到甲方通知后立即派员协助处理，并最终在和解、调解或者其他协商文件上签字确认。如乙方在收到通知后未派员协助处理的，则视为全权委托甲方处理事务。甲方</w:t>
      </w:r>
      <w:r>
        <w:rPr>
          <w:color w:val="000000" w:themeColor="text1"/>
          <w:sz w:val="21"/>
          <w:szCs w:val="21"/>
          <w14:textFill>
            <w14:solidFill>
              <w14:schemeClr w14:val="tx1"/>
            </w14:solidFill>
          </w14:textFill>
        </w:rPr>
        <w:t>或甲方客户</w:t>
      </w:r>
      <w:r>
        <w:rPr>
          <w:rFonts w:hint="eastAsia"/>
          <w:color w:val="000000" w:themeColor="text1"/>
          <w:sz w:val="21"/>
          <w:szCs w:val="21"/>
          <w14:textFill>
            <w14:solidFill>
              <w14:schemeClr w14:val="tx1"/>
            </w14:solidFill>
          </w14:textFill>
        </w:rPr>
        <w:t>与第三方签署的和解、调解或其他协商文件中涉及甲方</w:t>
      </w:r>
      <w:r>
        <w:rPr>
          <w:color w:val="000000" w:themeColor="text1"/>
          <w:sz w:val="21"/>
          <w:szCs w:val="21"/>
          <w14:textFill>
            <w14:solidFill>
              <w14:schemeClr w14:val="tx1"/>
            </w14:solidFill>
          </w14:textFill>
        </w:rPr>
        <w:t>或甲方客户</w:t>
      </w:r>
      <w:r>
        <w:rPr>
          <w:rFonts w:hint="eastAsia"/>
          <w:color w:val="000000" w:themeColor="text1"/>
          <w:sz w:val="21"/>
          <w:szCs w:val="21"/>
          <w14:textFill>
            <w14:solidFill>
              <w14:schemeClr w14:val="tx1"/>
            </w14:solidFill>
          </w14:textFill>
        </w:rPr>
        <w:t>对第三方承担的赔偿（补偿）责任，均由乙方承担。如果有人提出法律或行政程序(合称“侵权指控”)，声称甲方</w:t>
      </w:r>
      <w:r>
        <w:rPr>
          <w:color w:val="000000" w:themeColor="text1"/>
          <w:sz w:val="21"/>
          <w:szCs w:val="21"/>
          <w14:textFill>
            <w14:solidFill>
              <w14:schemeClr w14:val="tx1"/>
            </w14:solidFill>
          </w14:textFill>
        </w:rPr>
        <w:t>或甲方客户</w:t>
      </w:r>
      <w:r>
        <w:rPr>
          <w:rFonts w:hint="eastAsia"/>
          <w:color w:val="000000" w:themeColor="text1"/>
          <w:sz w:val="21"/>
          <w:szCs w:val="21"/>
          <w14:textFill>
            <w14:solidFill>
              <w14:schemeClr w14:val="tx1"/>
            </w14:solidFill>
          </w14:textFill>
        </w:rPr>
        <w:t>侵犯了其知识产权等合法权益的，乙方应当负责解决，并赔偿甲方</w:t>
      </w:r>
      <w:r>
        <w:rPr>
          <w:color w:val="000000" w:themeColor="text1"/>
          <w:sz w:val="21"/>
          <w:szCs w:val="21"/>
          <w14:textFill>
            <w14:solidFill>
              <w14:schemeClr w14:val="tx1"/>
            </w14:solidFill>
          </w14:textFill>
        </w:rPr>
        <w:t>或甲方客户</w:t>
      </w:r>
      <w:r>
        <w:rPr>
          <w:rFonts w:hint="eastAsia"/>
          <w:color w:val="000000" w:themeColor="text1"/>
          <w:sz w:val="21"/>
          <w:szCs w:val="21"/>
          <w14:textFill>
            <w14:solidFill>
              <w14:schemeClr w14:val="tx1"/>
            </w14:solidFill>
          </w14:textFill>
        </w:rPr>
        <w:t>就此所承担的一切损失和费用，包括但不限于上述侵权指控中所产生的诉讼费用、合理的律师费用、调查费用、和解金额或生效法律文书中规定的赔偿金额。</w:t>
      </w:r>
    </w:p>
    <w:p w14:paraId="0A7AB854">
      <w:pPr>
        <w:pStyle w:val="16"/>
        <w:numPr>
          <w:ilvl w:val="0"/>
          <w:numId w:val="15"/>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本条规定于本协议终止、解除或变更后仍然有效。</w:t>
      </w:r>
    </w:p>
    <w:p w14:paraId="20FE1C4D">
      <w:pPr>
        <w:pStyle w:val="16"/>
        <w:numPr>
          <w:ilvl w:val="0"/>
          <w:numId w:val="4"/>
        </w:numPr>
        <w:spacing w:after="0" w:line="0" w:lineRule="atLeast"/>
        <w:ind w:left="0" w:firstLine="0"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违约责任</w:t>
      </w:r>
    </w:p>
    <w:p w14:paraId="4F9068C6">
      <w:pPr>
        <w:pStyle w:val="16"/>
        <w:numPr>
          <w:ilvl w:val="0"/>
          <w:numId w:val="16"/>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除非双方一致同意或本协议另有约定或法律有相关规定外，任何一方不得提前终止本协议。</w:t>
      </w:r>
    </w:p>
    <w:p w14:paraId="7210539C">
      <w:pPr>
        <w:pStyle w:val="16"/>
        <w:numPr>
          <w:ilvl w:val="0"/>
          <w:numId w:val="16"/>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非因甲方或甲方客户原因，乙方不能按时提供本协议约定的服务，乙方应承担违约责任。每逾期一日，按服务总价格的【1】%或人民币壹仟元（以较高者为准）向甲方违约金，如违约金数额累计达到技术服务费总额的</w:t>
      </w:r>
      <w:r>
        <w:rPr>
          <w:color w:val="000000" w:themeColor="text1"/>
          <w:sz w:val="21"/>
          <w:szCs w:val="21"/>
          <w14:textFill>
            <w14:solidFill>
              <w14:schemeClr w14:val="tx1"/>
            </w14:solidFill>
          </w14:textFill>
        </w:rPr>
        <w:t>10</w:t>
      </w:r>
      <w:r>
        <w:rPr>
          <w:rFonts w:hint="eastAsia"/>
          <w:color w:val="000000" w:themeColor="text1"/>
          <w:sz w:val="21"/>
          <w:szCs w:val="21"/>
          <w14:textFill>
            <w14:solidFill>
              <w14:schemeClr w14:val="tx1"/>
            </w14:solidFill>
          </w14:textFill>
        </w:rPr>
        <w:t>%时，甲方有权终止本合同，乙方仍应支付上述违约金、退还甲方已支付款项并按照合同订立时全国银行间同业拆借中心公布的一年期贷款市场报价利率（LPR）计付利息，同时赔偿甲方的相应损失。如该违约金不足以赔偿由此给甲方造成的损失（包括但不限于甲方客户要求甲方支付的违约金、赔偿金、给甲方造成的其他预期可得利益损失、仲裁费、律师费等费用）的，乙方还应就该不足部分进行赔偿。如甲方合理判断认为乙方将不能按计划完成工作或提供的服务不合格的，可终止本协议及工作说明书，乙方应向甲方支付相当于相关工作说明书约定总价10%的违约金。</w:t>
      </w:r>
    </w:p>
    <w:p w14:paraId="77648626">
      <w:pPr>
        <w:pStyle w:val="16"/>
        <w:numPr>
          <w:ilvl w:val="0"/>
          <w:numId w:val="16"/>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乙方提供的服务</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交付成果物不符合本协议要求的，应根据甲方要求进行整改，并向甲方支付违约金，违约金标准为工作说明书约定总价的</w:t>
      </w:r>
      <w:r>
        <w:rPr>
          <w:color w:val="000000" w:themeColor="text1"/>
          <w:sz w:val="21"/>
          <w:szCs w:val="21"/>
          <w14:textFill>
            <w14:solidFill>
              <w14:schemeClr w14:val="tx1"/>
            </w14:solidFill>
          </w14:textFill>
        </w:rPr>
        <w:t>10%</w:t>
      </w:r>
      <w:r>
        <w:rPr>
          <w:rFonts w:hint="eastAsia"/>
          <w:color w:val="000000" w:themeColor="text1"/>
          <w:sz w:val="21"/>
          <w:szCs w:val="21"/>
          <w14:textFill>
            <w14:solidFill>
              <w14:schemeClr w14:val="tx1"/>
            </w14:solidFill>
          </w14:textFill>
        </w:rPr>
        <w:t>，如经整改后仍不符合本协议要求的，甲方有权解除本协议。</w:t>
      </w:r>
    </w:p>
    <w:p w14:paraId="667B5105">
      <w:pPr>
        <w:pStyle w:val="16"/>
        <w:numPr>
          <w:ilvl w:val="0"/>
          <w:numId w:val="16"/>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因乙方违反本协议约定擅自向甲方客户交付的，乙方应向甲方承担</w:t>
      </w:r>
      <w:r>
        <w:rPr>
          <w:color w:val="000000" w:themeColor="text1"/>
          <w:sz w:val="21"/>
          <w:szCs w:val="21"/>
          <w14:textFill>
            <w14:solidFill>
              <w14:schemeClr w14:val="tx1"/>
            </w14:solidFill>
          </w14:textFill>
        </w:rPr>
        <w:t>本协议</w:t>
      </w:r>
      <w:r>
        <w:rPr>
          <w:rFonts w:hint="eastAsia"/>
          <w:color w:val="000000" w:themeColor="text1"/>
          <w:sz w:val="21"/>
          <w:szCs w:val="21"/>
          <w14:textFill>
            <w14:solidFill>
              <w14:schemeClr w14:val="tx1"/>
            </w14:solidFill>
          </w14:textFill>
        </w:rPr>
        <w:t>及工作说明书约定总价</w:t>
      </w:r>
      <w:r>
        <w:rPr>
          <w:color w:val="000000" w:themeColor="text1"/>
          <w:sz w:val="21"/>
          <w:szCs w:val="21"/>
          <w14:textFill>
            <w14:solidFill>
              <w14:schemeClr w14:val="tx1"/>
            </w14:solidFill>
          </w14:textFill>
        </w:rPr>
        <w:t>10%</w:t>
      </w:r>
      <w:r>
        <w:rPr>
          <w:rFonts w:hint="eastAsia"/>
          <w:color w:val="000000" w:themeColor="text1"/>
          <w:sz w:val="21"/>
          <w:szCs w:val="21"/>
          <w14:textFill>
            <w14:solidFill>
              <w14:schemeClr w14:val="tx1"/>
            </w14:solidFill>
          </w14:textFill>
        </w:rPr>
        <w:t>的违约责任。</w:t>
      </w:r>
    </w:p>
    <w:p w14:paraId="23E01857">
      <w:pPr>
        <w:pStyle w:val="16"/>
        <w:numPr>
          <w:ilvl w:val="0"/>
          <w:numId w:val="16"/>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如乙方交付成果未通过甲方客户验收，并且甲方客户向甲方提出整改要求的，甲方有权向乙方提出整改要求，乙方应当进行整改直至满足甲方客户要求。如</w:t>
      </w:r>
      <w:r>
        <w:rPr>
          <w:color w:val="000000" w:themeColor="text1"/>
          <w:sz w:val="21"/>
          <w:szCs w:val="21"/>
          <w14:textFill>
            <w14:solidFill>
              <w14:schemeClr w14:val="tx1"/>
            </w14:solidFill>
          </w14:textFill>
        </w:rPr>
        <w:t>因此</w:t>
      </w:r>
      <w:r>
        <w:rPr>
          <w:rFonts w:hint="eastAsia"/>
          <w:color w:val="000000" w:themeColor="text1"/>
          <w:sz w:val="21"/>
          <w:szCs w:val="21"/>
          <w14:textFill>
            <w14:solidFill>
              <w14:schemeClr w14:val="tx1"/>
            </w14:solidFill>
          </w14:textFill>
        </w:rPr>
        <w:t>导致甲方客户追究甲方违约责任的，乙方应向甲方承担同等责任并赔偿因此给甲方造成的损失，同时，甲方还有权按照本协议约定追究乙方违约责任。</w:t>
      </w:r>
    </w:p>
    <w:p w14:paraId="67128E2E">
      <w:pPr>
        <w:pStyle w:val="16"/>
        <w:numPr>
          <w:ilvl w:val="0"/>
          <w:numId w:val="16"/>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如乙方提供的增值税发票未能通过税务部门认证，造成甲方不能抵扣的，乙方应向甲方支付未通过认证发票中载明的税款金额作为违约金。违约金不足以弥补甲方损失的，乙方还应予以赔偿。</w:t>
      </w:r>
    </w:p>
    <w:p w14:paraId="4DE56CFA">
      <w:pPr>
        <w:pStyle w:val="16"/>
        <w:numPr>
          <w:ilvl w:val="0"/>
          <w:numId w:val="16"/>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除双方另有约定外，违约金的支付不影响就其他损失进行索赔的权利。</w:t>
      </w:r>
    </w:p>
    <w:p w14:paraId="75928CBB">
      <w:pPr>
        <w:pStyle w:val="16"/>
        <w:numPr>
          <w:ilvl w:val="0"/>
          <w:numId w:val="16"/>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除双方另有约定外，在本协议未终止之前，违约金的支付不影响协议的继续履行。</w:t>
      </w:r>
    </w:p>
    <w:p w14:paraId="122DE0F1">
      <w:pPr>
        <w:pStyle w:val="16"/>
        <w:numPr>
          <w:ilvl w:val="0"/>
          <w:numId w:val="16"/>
        </w:numPr>
        <w:spacing w:after="0" w:line="0" w:lineRule="atLeast"/>
        <w:ind w:left="0" w:firstLine="0"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无论何种情形，甲方因履行本协议所承担的违约金以所涉及的本协议工作说明书金额的</w:t>
      </w:r>
      <w:r>
        <w:rPr>
          <w:rFonts w:hint="eastAsia"/>
          <w:color w:val="000000" w:themeColor="text1"/>
          <w:sz w:val="21"/>
          <w:szCs w:val="21"/>
          <w14:textFill>
            <w14:solidFill>
              <w14:schemeClr w14:val="tx1"/>
            </w14:solidFill>
          </w14:textFill>
        </w:rPr>
        <w:t>10%为限。</w:t>
      </w:r>
    </w:p>
    <w:p w14:paraId="051B2C89">
      <w:pPr>
        <w:pStyle w:val="16"/>
        <w:numPr>
          <w:ilvl w:val="0"/>
          <w:numId w:val="4"/>
        </w:numPr>
        <w:spacing w:after="0" w:line="0" w:lineRule="atLeast"/>
        <w:ind w:left="0" w:firstLine="0"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协议的生效、变更和终止</w:t>
      </w:r>
    </w:p>
    <w:p w14:paraId="7E8832F9">
      <w:pPr>
        <w:pStyle w:val="16"/>
        <w:numPr>
          <w:ilvl w:val="0"/>
          <w:numId w:val="17"/>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本协议经甲乙双方法定代表人或授权代表人签字，并加盖公章或者合同章后自本协议首页载明的生效日期开始生效。</w:t>
      </w:r>
      <w:r>
        <w:rPr>
          <w:color w:val="000000" w:themeColor="text1"/>
          <w:sz w:val="21"/>
          <w:szCs w:val="21"/>
          <w14:textFill>
            <w14:solidFill>
              <w14:schemeClr w14:val="tx1"/>
            </w14:solidFill>
          </w14:textFill>
        </w:rPr>
        <w:t xml:space="preserve"> </w:t>
      </w:r>
    </w:p>
    <w:p w14:paraId="4A1864EE">
      <w:pPr>
        <w:pStyle w:val="16"/>
        <w:numPr>
          <w:ilvl w:val="0"/>
          <w:numId w:val="17"/>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如果发生以下情况，可以视为合同解除或终止，有关责任方承担相应的责任：</w:t>
      </w:r>
    </w:p>
    <w:p w14:paraId="24E4DCA6">
      <w:pPr>
        <w:pStyle w:val="16"/>
        <w:numPr>
          <w:ilvl w:val="0"/>
          <w:numId w:val="18"/>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一方进入解散或清算阶段；</w:t>
      </w:r>
    </w:p>
    <w:p w14:paraId="7AF18C24">
      <w:pPr>
        <w:pStyle w:val="16"/>
        <w:numPr>
          <w:ilvl w:val="0"/>
          <w:numId w:val="18"/>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一方被判为破产或其它原因致使资不抵债；</w:t>
      </w:r>
    </w:p>
    <w:p w14:paraId="1F9A37FE">
      <w:pPr>
        <w:pStyle w:val="16"/>
        <w:numPr>
          <w:ilvl w:val="0"/>
          <w:numId w:val="18"/>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本协议已有效、适当、全面得到履行；</w:t>
      </w:r>
    </w:p>
    <w:p w14:paraId="7A62C8F0">
      <w:pPr>
        <w:pStyle w:val="16"/>
        <w:numPr>
          <w:ilvl w:val="0"/>
          <w:numId w:val="18"/>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双方共同同意以书面文件提前解除协议；</w:t>
      </w:r>
    </w:p>
    <w:p w14:paraId="3AC38BD6">
      <w:pPr>
        <w:pStyle w:val="16"/>
        <w:numPr>
          <w:ilvl w:val="0"/>
          <w:numId w:val="18"/>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甲方客户解除与甲方之间的对应协议；</w:t>
      </w:r>
    </w:p>
    <w:p w14:paraId="7AD852E7">
      <w:pPr>
        <w:pStyle w:val="16"/>
        <w:numPr>
          <w:ilvl w:val="0"/>
          <w:numId w:val="18"/>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根据法院的裁判，本协议解除。</w:t>
      </w:r>
    </w:p>
    <w:p w14:paraId="57F150AB">
      <w:pPr>
        <w:pStyle w:val="16"/>
        <w:numPr>
          <w:ilvl w:val="0"/>
          <w:numId w:val="4"/>
        </w:numPr>
        <w:spacing w:after="0" w:line="0" w:lineRule="atLeast"/>
        <w:ind w:left="0" w:firstLine="0"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争议与诉讼</w:t>
      </w:r>
    </w:p>
    <w:p w14:paraId="5FB08790">
      <w:pPr>
        <w:pStyle w:val="16"/>
        <w:numPr>
          <w:ilvl w:val="0"/>
          <w:numId w:val="19"/>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因执行本协议所发生的和本协议有关的一切争议，双方应首先友好协商解决。如果经协商不能达成协议，则任何一方均应向</w:t>
      </w:r>
      <w:r>
        <w:rPr>
          <w:color w:val="000000" w:themeColor="text1"/>
          <w:sz w:val="21"/>
          <w:szCs w:val="21"/>
          <w14:textFill>
            <w14:solidFill>
              <w14:schemeClr w14:val="tx1"/>
            </w14:solidFill>
          </w14:textFill>
        </w:rPr>
        <w:t>合同签订地</w:t>
      </w:r>
      <w:r>
        <w:rPr>
          <w:rFonts w:hint="eastAsia"/>
          <w:color w:val="000000" w:themeColor="text1"/>
          <w:sz w:val="21"/>
          <w:szCs w:val="21"/>
          <w14:textFill>
            <w14:solidFill>
              <w14:schemeClr w14:val="tx1"/>
            </w14:solidFill>
          </w14:textFill>
        </w:rPr>
        <w:t>的有管辖权的人民法院起诉。</w:t>
      </w:r>
    </w:p>
    <w:p w14:paraId="124D782E">
      <w:pPr>
        <w:pStyle w:val="16"/>
        <w:numPr>
          <w:ilvl w:val="0"/>
          <w:numId w:val="19"/>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在诉讼期间，除必须在诉讼过程中进行解决的问题外，协议其余部分应继续履行。</w:t>
      </w:r>
    </w:p>
    <w:p w14:paraId="41084085">
      <w:pPr>
        <w:pStyle w:val="16"/>
        <w:numPr>
          <w:ilvl w:val="0"/>
          <w:numId w:val="19"/>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本协议的效力、履行、解释均按中华人民共和国法律法规执行。</w:t>
      </w:r>
    </w:p>
    <w:p w14:paraId="74A016EA">
      <w:pPr>
        <w:pStyle w:val="16"/>
        <w:numPr>
          <w:ilvl w:val="0"/>
          <w:numId w:val="4"/>
        </w:numPr>
        <w:spacing w:after="0" w:line="0" w:lineRule="atLeast"/>
        <w:ind w:left="0" w:firstLine="0"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不可抗力</w:t>
      </w:r>
    </w:p>
    <w:p w14:paraId="3C9BFEBA">
      <w:pPr>
        <w:pStyle w:val="16"/>
        <w:numPr>
          <w:ilvl w:val="0"/>
          <w:numId w:val="20"/>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任何一方因受不可抗力事件影响不能全部或部分履行本协议的不承担违约责任。但受不可抗力影响的一方应在不可抗力发生后在合理可行的最快时间内通知对方，并在【5】日内向对方出具相关证明。</w:t>
      </w:r>
    </w:p>
    <w:p w14:paraId="4787F8D1">
      <w:pPr>
        <w:pStyle w:val="16"/>
        <w:numPr>
          <w:ilvl w:val="0"/>
          <w:numId w:val="20"/>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不可抗力事件影响消除后，双方应本着诚实信用的原则协商继续履行本协议。如本协议却已无法继续履行或继续履行已无实际意义的，由双方另行协商。</w:t>
      </w:r>
    </w:p>
    <w:p w14:paraId="46613C32">
      <w:pPr>
        <w:pStyle w:val="16"/>
        <w:numPr>
          <w:ilvl w:val="0"/>
          <w:numId w:val="4"/>
        </w:numPr>
        <w:spacing w:line="240" w:lineRule="auto"/>
        <w:ind w:left="0" w:firstLine="0"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通知和送达</w:t>
      </w:r>
    </w:p>
    <w:p w14:paraId="1B4F34F0">
      <w:pPr>
        <w:pStyle w:val="16"/>
        <w:numPr>
          <w:ilvl w:val="0"/>
          <w:numId w:val="21"/>
        </w:numPr>
        <w:spacing w:after="0" w:line="240" w:lineRule="auto"/>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双方均同意与本协议有关的通知须与书面形式作出，可以面交、邮寄、快递或电子邮件方式送达，各方指定的通讯方式及联系人详见首部及《工作说明书》。</w:t>
      </w:r>
    </w:p>
    <w:p w14:paraId="48AEAECF">
      <w:pPr>
        <w:pStyle w:val="16"/>
        <w:numPr>
          <w:ilvl w:val="0"/>
          <w:numId w:val="21"/>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专人面交的，在接收方签收时视为送达；以邮寄或快递方式发出的通知，如果接收方签收，在签收时视为送达，否则在投邮后</w:t>
      </w:r>
      <w:r>
        <w:rPr>
          <w:color w:val="000000" w:themeColor="text1"/>
          <w:sz w:val="21"/>
          <w:szCs w:val="21"/>
          <w14:textFill>
            <w14:solidFill>
              <w14:schemeClr w14:val="tx1"/>
            </w14:solidFill>
          </w14:textFill>
        </w:rPr>
        <w:t>3</w:t>
      </w:r>
      <w:r>
        <w:rPr>
          <w:rFonts w:hint="eastAsia"/>
          <w:color w:val="000000" w:themeColor="text1"/>
          <w:sz w:val="21"/>
          <w:szCs w:val="21"/>
          <w14:textFill>
            <w14:solidFill>
              <w14:schemeClr w14:val="tx1"/>
            </w14:solidFill>
          </w14:textFill>
        </w:rPr>
        <w:t>日视为送达（即使该邮件可能会被退回）；以电子邮件方式发出的通知，在发出时视为送达（即使该邮件可能会被退回）。</w:t>
      </w:r>
    </w:p>
    <w:p w14:paraId="707509F2">
      <w:pPr>
        <w:pStyle w:val="16"/>
        <w:numPr>
          <w:ilvl w:val="0"/>
          <w:numId w:val="21"/>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任何一方通讯方式发生改变，应当在该变更发生后的三日内通知其他方，在其他方收到变更通知前，原通讯方式视同有效。</w:t>
      </w:r>
    </w:p>
    <w:p w14:paraId="550B8572">
      <w:pPr>
        <w:pStyle w:val="16"/>
        <w:numPr>
          <w:ilvl w:val="0"/>
          <w:numId w:val="21"/>
        </w:numPr>
        <w:spacing w:after="0" w:line="0" w:lineRule="atLeast"/>
        <w:ind w:left="0"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双方同意，以上通讯方式为送达司法文书的确认送达方式。司法文书通过上述通讯方式送达，即视为成功送达。</w:t>
      </w:r>
    </w:p>
    <w:p w14:paraId="360B3C0F">
      <w:pPr>
        <w:pStyle w:val="16"/>
        <w:numPr>
          <w:ilvl w:val="0"/>
          <w:numId w:val="22"/>
        </w:numPr>
        <w:ind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其他事项约定</w:t>
      </w:r>
    </w:p>
    <w:p w14:paraId="680BD686">
      <w:pPr>
        <w:pStyle w:val="16"/>
        <w:spacing w:after="0" w:line="0" w:lineRule="atLeast"/>
        <w:ind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1</w:t>
      </w:r>
      <w:r>
        <w:rPr>
          <w:color w:val="000000" w:themeColor="text1"/>
          <w:sz w:val="21"/>
          <w:szCs w:val="21"/>
          <w14:textFill>
            <w14:solidFill>
              <w14:schemeClr w14:val="tx1"/>
            </w14:solidFill>
          </w14:textFill>
        </w:rPr>
        <w:t>6.1</w:t>
      </w:r>
      <w:r>
        <w:rPr>
          <w:rFonts w:hint="eastAsia"/>
          <w:color w:val="000000" w:themeColor="text1"/>
          <w:sz w:val="21"/>
          <w:szCs w:val="21"/>
          <w14:textFill>
            <w14:solidFill>
              <w14:schemeClr w14:val="tx1"/>
            </w14:solidFill>
          </w14:textFill>
        </w:rPr>
        <w:t>双方在履行本协议的过程中，应遵从所有适用的法律。本协议所载任何内容不应被解释为在甲乙双方间创设合资、合伙、代理、劳务派遣或任何其它本协议目的以外的关系。如因乙方与乙方人员的关系使甲方承担任何本协议外的其他义务或造成甲方任何损失的，乙方应赔偿由此给甲方造成的全部损失。</w:t>
      </w:r>
    </w:p>
    <w:p w14:paraId="2931D309">
      <w:pPr>
        <w:pStyle w:val="16"/>
        <w:spacing w:after="0" w:line="0" w:lineRule="atLeast"/>
        <w:ind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1</w:t>
      </w:r>
      <w:r>
        <w:rPr>
          <w:color w:val="000000" w:themeColor="text1"/>
          <w:sz w:val="21"/>
          <w:szCs w:val="21"/>
          <w14:textFill>
            <w14:solidFill>
              <w14:schemeClr w14:val="tx1"/>
            </w14:solidFill>
          </w14:textFill>
        </w:rPr>
        <w:t>6.2</w:t>
      </w:r>
      <w:r>
        <w:rPr>
          <w:rFonts w:hint="eastAsia"/>
          <w:color w:val="000000" w:themeColor="text1"/>
          <w:sz w:val="21"/>
          <w:szCs w:val="21"/>
          <w14:textFill>
            <w14:solidFill>
              <w14:schemeClr w14:val="tx1"/>
            </w14:solidFill>
          </w14:textFill>
        </w:rPr>
        <w:t>乙方不得向与乙方有实际或潜在业务关系的甲方或甲方关联公司的员工和/或其家属提供任何酬金、礼物或其它有形或无形的利益（在商业交往中按照商业惯例赠送小额广告礼品的除外），任何此类行为均视为商业贿赂，双方同意此类行为将给甲方带来实质性损害。此类行为一经发现，甲方除可解除本协议或相关工作说明外，还可要求乙方支付相关工作说明金额的百分之十（10%）或十（10）万元作为违约金，以较高者为准，并有权追究乙方违约责任并拒付本合同金额。</w:t>
      </w:r>
    </w:p>
    <w:p w14:paraId="7779B983">
      <w:pPr>
        <w:pStyle w:val="16"/>
        <w:spacing w:after="0" w:line="0" w:lineRule="atLeast"/>
        <w:ind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1</w:t>
      </w:r>
      <w:r>
        <w:rPr>
          <w:color w:val="000000" w:themeColor="text1"/>
          <w:sz w:val="21"/>
          <w:szCs w:val="21"/>
          <w14:textFill>
            <w14:solidFill>
              <w14:schemeClr w14:val="tx1"/>
            </w14:solidFill>
          </w14:textFill>
        </w:rPr>
        <w:t>6.3</w:t>
      </w:r>
      <w:r>
        <w:rPr>
          <w:rFonts w:hint="eastAsia"/>
          <w:color w:val="000000" w:themeColor="text1"/>
          <w:sz w:val="21"/>
          <w:szCs w:val="21"/>
          <w14:textFill>
            <w14:solidFill>
              <w14:schemeClr w14:val="tx1"/>
            </w14:solidFill>
          </w14:textFill>
        </w:rPr>
        <w:t>一旦发现甲方董事、员工存在包括任何受贿行为或索贿要求及其他徇私舞弊、滥用职权的行为时，乙方有义务立即向甲方举报。</w:t>
      </w:r>
    </w:p>
    <w:p w14:paraId="13CECE1A">
      <w:pPr>
        <w:pStyle w:val="16"/>
        <w:spacing w:after="0" w:line="0" w:lineRule="atLeast"/>
        <w:ind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1</w:t>
      </w:r>
      <w:r>
        <w:rPr>
          <w:color w:val="000000" w:themeColor="text1"/>
          <w:sz w:val="21"/>
          <w:szCs w:val="21"/>
          <w14:textFill>
            <w14:solidFill>
              <w14:schemeClr w14:val="tx1"/>
            </w14:solidFill>
          </w14:textFill>
        </w:rPr>
        <w:t>6.4</w:t>
      </w:r>
      <w:r>
        <w:rPr>
          <w:rFonts w:hint="eastAsia"/>
          <w:color w:val="000000" w:themeColor="text1"/>
          <w:sz w:val="21"/>
          <w:szCs w:val="21"/>
          <w14:textFill>
            <w14:solidFill>
              <w14:schemeClr w14:val="tx1"/>
            </w14:solidFill>
          </w14:textFill>
        </w:rPr>
        <w:t>如违反上述规定的，甲方有权立即终止与乙方正在履行的合同且不承担违约责任。</w:t>
      </w:r>
    </w:p>
    <w:p w14:paraId="7FC58A7E">
      <w:pPr>
        <w:pStyle w:val="16"/>
        <w:spacing w:after="0" w:line="0" w:lineRule="atLeast"/>
        <w:ind w:firstLine="0"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16.5</w:t>
      </w:r>
      <w:r>
        <w:rPr>
          <w:rFonts w:hint="eastAsia"/>
          <w:color w:val="000000" w:themeColor="text1"/>
          <w:sz w:val="21"/>
          <w:szCs w:val="21"/>
          <w14:textFill>
            <w14:solidFill>
              <w14:schemeClr w14:val="tx1"/>
            </w14:solidFill>
          </w14:textFill>
        </w:rPr>
        <w:t>乙方确认不存在如下利益关系：乙方股东、董事、员工，及其直系亲属与甲方不存在任何“关联”“控制”及/或“母子公司”关系；乙方股东、董事、员工，及其直系亲属未持甲方证券（如股票，债券，期权等）；乙方股东、董事、员工，及其直系亲属与甲方及其关联方不存在个人借款关系。</w:t>
      </w:r>
    </w:p>
    <w:p w14:paraId="585EF5D0">
      <w:pPr>
        <w:pStyle w:val="16"/>
        <w:spacing w:after="0" w:line="0" w:lineRule="atLeast"/>
        <w:ind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1</w:t>
      </w:r>
      <w:r>
        <w:rPr>
          <w:color w:val="000000" w:themeColor="text1"/>
          <w:sz w:val="21"/>
          <w:szCs w:val="21"/>
          <w14:textFill>
            <w14:solidFill>
              <w14:schemeClr w14:val="tx1"/>
            </w14:solidFill>
          </w14:textFill>
        </w:rPr>
        <w:t>6.6</w:t>
      </w:r>
      <w:r>
        <w:rPr>
          <w:rFonts w:hint="eastAsia"/>
          <w:color w:val="000000" w:themeColor="text1"/>
          <w:sz w:val="21"/>
          <w:szCs w:val="21"/>
          <w14:textFill>
            <w14:solidFill>
              <w14:schemeClr w14:val="tx1"/>
            </w14:solidFill>
          </w14:textFill>
        </w:rPr>
        <w:t>如在向甲方提供产品或服务期间新增上述利益冲突关系，乙方将于第一时间向甲方提供相关信息。乙方违反上述规定的，甲方有权立即终止与乙方正在履行的合同且不承担违约责任，并要求乙方赔偿由此给甲方造成的损失。</w:t>
      </w:r>
    </w:p>
    <w:p w14:paraId="4E091816">
      <w:pPr>
        <w:pStyle w:val="16"/>
        <w:spacing w:after="0" w:line="0" w:lineRule="atLeast"/>
        <w:ind w:firstLine="0" w:firstLineChars="0"/>
        <w:jc w:val="both"/>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1</w:t>
      </w:r>
      <w:r>
        <w:rPr>
          <w:color w:val="000000" w:themeColor="text1"/>
          <w:sz w:val="21"/>
          <w:szCs w:val="21"/>
          <w14:textFill>
            <w14:solidFill>
              <w14:schemeClr w14:val="tx1"/>
            </w14:solidFill>
          </w14:textFill>
        </w:rPr>
        <w:t>6.7</w:t>
      </w:r>
      <w:r>
        <w:rPr>
          <w:rFonts w:hint="eastAsia"/>
          <w:color w:val="000000" w:themeColor="text1"/>
          <w:sz w:val="21"/>
          <w:szCs w:val="21"/>
          <w14:textFill>
            <w14:solidFill>
              <w14:schemeClr w14:val="tx1"/>
            </w14:solidFill>
          </w14:textFill>
        </w:rPr>
        <w:t>乙方将遵守可适用的关于信息安全、个人数据和隐私保护的法律法规。如因乙方在提供技术服务过程中或处理数据等过程中，所产生的法律纠纷或信息安全事故，均由乙方独自解决并承担相应法律责任。如因上述纠纷导致甲方或甲方客户遭受损失的，无论本协议中的条款是否有相反规定，乙方应赔偿因此对甲方或甲方客户造成的全部损失。</w:t>
      </w:r>
    </w:p>
    <w:p w14:paraId="4DEDD092">
      <w:pPr>
        <w:spacing w:line="0" w:lineRule="atLeas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w:t>
      </w:r>
      <w:r>
        <w:rPr>
          <w:color w:val="000000" w:themeColor="text1"/>
          <w:szCs w:val="21"/>
          <w14:textFill>
            <w14:solidFill>
              <w14:schemeClr w14:val="tx1"/>
            </w14:solidFill>
          </w14:textFill>
        </w:rPr>
        <w:t>6.8</w:t>
      </w:r>
      <w:r>
        <w:rPr>
          <w:rFonts w:hint="eastAsia"/>
          <w:color w:val="000000" w:themeColor="text1"/>
          <w:szCs w:val="21"/>
          <w14:textFill>
            <w14:solidFill>
              <w14:schemeClr w14:val="tx1"/>
            </w14:solidFill>
          </w14:textFill>
        </w:rPr>
        <w:t>本协议的所有附件均构成本协议的有效组成部分。本协议反映了双方对本协议所述主题的全部协定，并代替所有之前关于本协议所述主题的任何协议及以往惯例。</w:t>
      </w:r>
    </w:p>
    <w:p w14:paraId="37673CF1">
      <w:pPr>
        <w:pStyle w:val="16"/>
        <w:spacing w:after="0" w:line="0" w:lineRule="atLeast"/>
        <w:ind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1</w:t>
      </w:r>
      <w:r>
        <w:rPr>
          <w:color w:val="000000" w:themeColor="text1"/>
          <w:sz w:val="21"/>
          <w:szCs w:val="21"/>
          <w14:textFill>
            <w14:solidFill>
              <w14:schemeClr w14:val="tx1"/>
            </w14:solidFill>
          </w14:textFill>
        </w:rPr>
        <w:t>6.9</w:t>
      </w:r>
      <w:r>
        <w:rPr>
          <w:rFonts w:hint="eastAsia"/>
          <w:color w:val="000000" w:themeColor="text1"/>
          <w:sz w:val="21"/>
          <w:szCs w:val="21"/>
          <w14:textFill>
            <w14:solidFill>
              <w14:schemeClr w14:val="tx1"/>
            </w14:solidFill>
          </w14:textFill>
        </w:rPr>
        <w:t>任何一方未能或延迟行使其在本项下的权利，不能解释为对该权利的放弃。</w:t>
      </w:r>
    </w:p>
    <w:p w14:paraId="0E99C378">
      <w:pPr>
        <w:pStyle w:val="16"/>
        <w:spacing w:after="0" w:line="0" w:lineRule="atLeast"/>
        <w:ind w:firstLine="0"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16.10</w:t>
      </w:r>
      <w:r>
        <w:rPr>
          <w:rFonts w:hint="eastAsia"/>
          <w:color w:val="000000" w:themeColor="text1"/>
          <w:sz w:val="21"/>
          <w:szCs w:val="21"/>
          <w14:textFill>
            <w14:solidFill>
              <w14:schemeClr w14:val="tx1"/>
            </w14:solidFill>
          </w14:textFill>
        </w:rPr>
        <w:t>如有未尽事宜，甲乙双方可以补充协议进行说明。</w:t>
      </w:r>
    </w:p>
    <w:p w14:paraId="3BEC84DF">
      <w:pPr>
        <w:spacing w:line="0" w:lineRule="atLeas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w:t>
      </w:r>
      <w:r>
        <w:rPr>
          <w:color w:val="000000" w:themeColor="text1"/>
          <w:szCs w:val="21"/>
          <w14:textFill>
            <w14:solidFill>
              <w14:schemeClr w14:val="tx1"/>
            </w14:solidFill>
          </w14:textFill>
        </w:rPr>
        <w:t>6.11</w:t>
      </w:r>
      <w:r>
        <w:rPr>
          <w:rFonts w:hint="eastAsia"/>
          <w:color w:val="000000" w:themeColor="text1"/>
          <w:szCs w:val="21"/>
          <w14:textFill>
            <w14:solidFill>
              <w14:schemeClr w14:val="tx1"/>
            </w14:solidFill>
          </w14:textFill>
        </w:rPr>
        <w:t>若本协议中任何条款因任何原因而被认定无效，此种无效条款并不影响其他条款的有效性，且此种无效条款应自始视为不存在。</w:t>
      </w:r>
    </w:p>
    <w:p w14:paraId="7BB23447">
      <w:pPr>
        <w:pStyle w:val="16"/>
        <w:spacing w:after="0" w:line="0" w:lineRule="atLeast"/>
        <w:ind w:firstLine="0" w:firstLineChars="0"/>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16.12</w:t>
      </w:r>
      <w:r>
        <w:rPr>
          <w:rFonts w:hint="eastAsia"/>
          <w:color w:val="000000" w:themeColor="text1"/>
          <w:sz w:val="21"/>
          <w:szCs w:val="21"/>
          <w14:textFill>
            <w14:solidFill>
              <w14:schemeClr w14:val="tx1"/>
            </w14:solidFill>
          </w14:textFill>
        </w:rPr>
        <w:t>本协议制作首页规定的相应份数，双方分别持有。本协议经双方有效签署后自首页载明的生效日起生效，如首页未填写生效日，则以最后一方签署日为生效日。</w:t>
      </w:r>
    </w:p>
    <w:p w14:paraId="7E8C7CC1">
      <w:pPr>
        <w:pStyle w:val="16"/>
        <w:spacing w:after="0" w:line="0" w:lineRule="atLeast"/>
        <w:ind w:firstLine="0" w:firstLineChars="0"/>
        <w:rPr>
          <w:color w:val="000000" w:themeColor="text1"/>
          <w:sz w:val="21"/>
          <w:szCs w:val="21"/>
          <w14:textFill>
            <w14:solidFill>
              <w14:schemeClr w14:val="tx1"/>
            </w14:solidFill>
          </w14:textFill>
        </w:rPr>
      </w:pPr>
    </w:p>
    <w:p w14:paraId="589A1BDA">
      <w:pPr>
        <w:spacing w:line="0" w:lineRule="atLeast"/>
        <w:jc w:val="left"/>
        <w:rPr>
          <w:color w:val="000000" w:themeColor="text1"/>
          <w14:textFill>
            <w14:solidFill>
              <w14:schemeClr w14:val="tx1"/>
            </w14:solidFill>
          </w14:textFill>
        </w:rPr>
        <w:sectPr>
          <w:type w:val="continuous"/>
          <w:pgSz w:w="11906" w:h="16838"/>
          <w:pgMar w:top="720" w:right="720" w:bottom="720" w:left="567" w:header="851" w:footer="992" w:gutter="0"/>
          <w:cols w:space="424" w:num="2" w:sep="1"/>
          <w:docGrid w:type="lines" w:linePitch="312" w:charSpace="0"/>
        </w:sectPr>
      </w:pPr>
      <w:r>
        <w:rPr>
          <w:rFonts w:hint="eastAsia"/>
          <w:color w:val="000000" w:themeColor="text1"/>
          <w14:textFill>
            <w14:solidFill>
              <w14:schemeClr w14:val="tx1"/>
            </w14:solidFill>
          </w14:textFill>
        </w:rPr>
        <w:t>【</w:t>
      </w:r>
      <w:r>
        <w:rPr>
          <w:rFonts w:hint="eastAsia"/>
          <w:b/>
          <w:color w:val="000000" w:themeColor="text1"/>
          <w14:textFill>
            <w14:solidFill>
              <w14:schemeClr w14:val="tx1"/>
            </w14:solidFill>
          </w14:textFill>
        </w:rPr>
        <w:t>以下无正文</w:t>
      </w:r>
      <w:r>
        <w:rPr>
          <w:rFonts w:hint="eastAsia"/>
          <w:color w:val="000000" w:themeColor="text1"/>
          <w14:textFill>
            <w14:solidFill>
              <w14:schemeClr w14:val="tx1"/>
            </w14:solidFill>
          </w14:textFill>
        </w:rPr>
        <w:t>】</w:t>
      </w:r>
    </w:p>
    <w:p w14:paraId="47946B6F">
      <w:pPr>
        <w:widowControl/>
        <w:jc w:val="left"/>
        <w:rPr>
          <w:color w:val="000000" w:themeColor="text1"/>
          <w14:textFill>
            <w14:solidFill>
              <w14:schemeClr w14:val="tx1"/>
            </w14:solidFill>
          </w14:textFill>
        </w:rPr>
      </w:pPr>
    </w:p>
    <w:p w14:paraId="23EA6701">
      <w:pPr>
        <w:widowControl/>
        <w:jc w:val="left"/>
        <w:rPr>
          <w:color w:val="000000" w:themeColor="text1"/>
          <w14:textFill>
            <w14:solidFill>
              <w14:schemeClr w14:val="tx1"/>
            </w14:solidFill>
          </w14:textFill>
        </w:rPr>
      </w:pPr>
      <w:r>
        <w:rPr>
          <w:color w:val="000000" w:themeColor="text1"/>
          <w14:textFill>
            <w14:solidFill>
              <w14:schemeClr w14:val="tx1"/>
            </w14:solidFill>
          </w14:textFill>
        </w:rPr>
        <w:br w:type="page"/>
      </w:r>
    </w:p>
    <w:p w14:paraId="727E577E">
      <w:pPr>
        <w:widowControl/>
        <w:jc w:val="left"/>
        <w:rPr>
          <w:color w:val="000000" w:themeColor="text1"/>
          <w14:textFill>
            <w14:solidFill>
              <w14:schemeClr w14:val="tx1"/>
            </w14:solidFill>
          </w14:textFill>
        </w:rPr>
      </w:pPr>
    </w:p>
    <w:p w14:paraId="73EF7D93">
      <w:pPr>
        <w:widowControl/>
        <w:jc w:val="left"/>
        <w:rPr>
          <w:color w:val="000000" w:themeColor="text1"/>
          <w14:textFill>
            <w14:solidFill>
              <w14:schemeClr w14:val="tx1"/>
            </w14:solidFill>
          </w14:textFill>
        </w:rPr>
      </w:pPr>
    </w:p>
    <w:p w14:paraId="45B15388">
      <w:pPr>
        <w:widowControl/>
        <w:jc w:val="left"/>
        <w:rPr>
          <w:color w:val="000000" w:themeColor="text1"/>
          <w14:textFill>
            <w14:solidFill>
              <w14:schemeClr w14:val="tx1"/>
            </w14:solidFill>
          </w14:textFill>
        </w:rPr>
      </w:pPr>
    </w:p>
    <w:p w14:paraId="3EDE6E3C">
      <w:pPr>
        <w:widowControl/>
        <w:jc w:val="left"/>
        <w:rPr>
          <w:color w:val="000000" w:themeColor="text1"/>
          <w14:textFill>
            <w14:solidFill>
              <w14:schemeClr w14:val="tx1"/>
            </w14:solidFill>
          </w14:textFill>
        </w:rPr>
      </w:pPr>
    </w:p>
    <w:p w14:paraId="7637C7DD">
      <w:pPr>
        <w:widowControl/>
        <w:jc w:val="left"/>
        <w:rPr>
          <w:color w:val="000000" w:themeColor="text1"/>
          <w14:textFill>
            <w14:solidFill>
              <w14:schemeClr w14:val="tx1"/>
            </w14:solidFill>
          </w14:textFill>
        </w:rPr>
      </w:pPr>
    </w:p>
    <w:p w14:paraId="54FB61D8">
      <w:pPr>
        <w:rPr>
          <w:b/>
          <w:color w:val="000000" w:themeColor="text1"/>
          <w:sz w:val="30"/>
          <w:szCs w:val="30"/>
          <w14:textFill>
            <w14:solidFill>
              <w14:schemeClr w14:val="tx1"/>
            </w14:solidFill>
          </w14:textFill>
        </w:rPr>
      </w:pPr>
      <w:r>
        <w:rPr>
          <w:b/>
          <w:color w:val="000000" w:themeColor="text1"/>
          <w:sz w:val="30"/>
          <w:szCs w:val="30"/>
          <w14:textFill>
            <w14:solidFill>
              <w14:schemeClr w14:val="tx1"/>
            </w14:solidFill>
          </w14:textFill>
        </w:rPr>
        <w:t>附件</w:t>
      </w:r>
      <w:r>
        <w:rPr>
          <w:rFonts w:hint="eastAsia"/>
          <w:b/>
          <w:color w:val="000000" w:themeColor="text1"/>
          <w:sz w:val="30"/>
          <w:szCs w:val="30"/>
          <w14:textFill>
            <w14:solidFill>
              <w14:schemeClr w14:val="tx1"/>
            </w14:solidFill>
          </w14:textFill>
        </w:rPr>
        <w:t xml:space="preserve">： </w:t>
      </w:r>
      <w:r>
        <w:rPr>
          <w:b/>
          <w:color w:val="000000" w:themeColor="text1"/>
          <w:sz w:val="30"/>
          <w:szCs w:val="30"/>
          <w14:textFill>
            <w14:solidFill>
              <w14:schemeClr w14:val="tx1"/>
            </w14:solidFill>
          </w14:textFill>
        </w:rPr>
        <w:t xml:space="preserve">               </w:t>
      </w:r>
      <w:r>
        <w:rPr>
          <w:rFonts w:hint="eastAsia"/>
          <w:b/>
          <w:color w:val="000000" w:themeColor="text1"/>
          <w:sz w:val="30"/>
          <w:szCs w:val="30"/>
          <w14:textFill>
            <w14:solidFill>
              <w14:schemeClr w14:val="tx1"/>
            </w14:solidFill>
          </w14:textFill>
        </w:rPr>
        <w:t xml:space="preserve"> </w:t>
      </w:r>
      <w:r>
        <w:rPr>
          <w:b/>
          <w:color w:val="000000" w:themeColor="text1"/>
          <w:sz w:val="30"/>
          <w:szCs w:val="30"/>
          <w14:textFill>
            <w14:solidFill>
              <w14:schemeClr w14:val="tx1"/>
            </w14:solidFill>
          </w14:textFill>
        </w:rPr>
        <w:t xml:space="preserve">      </w:t>
      </w:r>
      <w:r>
        <w:rPr>
          <w:rFonts w:hint="eastAsia"/>
          <w:b/>
          <w:color w:val="000000" w:themeColor="text1"/>
          <w:sz w:val="30"/>
          <w:szCs w:val="30"/>
          <w14:textFill>
            <w14:solidFill>
              <w14:schemeClr w14:val="tx1"/>
            </w14:solidFill>
          </w14:textFill>
        </w:rPr>
        <w:t>工作说明书</w:t>
      </w:r>
    </w:p>
    <w:p w14:paraId="4AE57F59">
      <w:pPr>
        <w:pStyle w:val="16"/>
        <w:numPr>
          <w:ilvl w:val="0"/>
          <w:numId w:val="23"/>
        </w:numPr>
        <w:ind w:firstLineChars="0"/>
        <w:rPr>
          <w:b/>
          <w:color w:val="000000" w:themeColor="text1"/>
          <w14:textFill>
            <w14:solidFill>
              <w14:schemeClr w14:val="tx1"/>
            </w14:solidFill>
          </w14:textFill>
        </w:rPr>
      </w:pPr>
      <w:r>
        <w:rPr>
          <w:b/>
          <w:color w:val="000000" w:themeColor="text1"/>
          <w14:textFill>
            <w14:solidFill>
              <w14:schemeClr w14:val="tx1"/>
            </w14:solidFill>
          </w14:textFill>
        </w:rPr>
        <w:t>总则</w:t>
      </w:r>
    </w:p>
    <w:p w14:paraId="6153580A">
      <w:pPr>
        <w:pStyle w:val="16"/>
        <w:spacing w:after="0" w:line="0" w:lineRule="atLeast"/>
        <w:ind w:left="360"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本工作说明书根据甲乙双方签订的《运维服务协议》（以下称“主协议”）的条款签订，并成为主协议的有效组成部分。本工作说明书用于明确甲乙双方在本工作说明书描述的服务过程中的各自职责。</w:t>
      </w:r>
    </w:p>
    <w:p w14:paraId="55656840">
      <w:pPr>
        <w:pStyle w:val="16"/>
        <w:numPr>
          <w:ilvl w:val="0"/>
          <w:numId w:val="23"/>
        </w:numPr>
        <w:spacing w:after="0" w:line="0" w:lineRule="atLeast"/>
        <w:ind w:firstLineChars="0"/>
        <w:rPr>
          <w:b/>
          <w:color w:val="000000" w:themeColor="text1"/>
          <w14:textFill>
            <w14:solidFill>
              <w14:schemeClr w14:val="tx1"/>
            </w14:solidFill>
          </w14:textFill>
        </w:rPr>
      </w:pPr>
      <w:r>
        <w:rPr>
          <w:b/>
          <w:color w:val="000000" w:themeColor="text1"/>
          <w14:textFill>
            <w14:solidFill>
              <w14:schemeClr w14:val="tx1"/>
            </w14:solidFill>
          </w14:textFill>
        </w:rPr>
        <w:t>服务形式及内容</w:t>
      </w:r>
    </w:p>
    <w:p w14:paraId="2E5D3951">
      <w:pPr>
        <w:pStyle w:val="24"/>
        <w:spacing w:before="156" w:after="156"/>
        <w:rPr>
          <w:color w:val="000000" w:themeColor="text1"/>
          <w:sz w:val="22"/>
          <w:szCs w:val="22"/>
          <w14:textFill>
            <w14:solidFill>
              <w14:schemeClr w14:val="tx1"/>
            </w14:solidFill>
          </w14:textFill>
        </w:rPr>
      </w:pPr>
      <w:r>
        <w:rPr>
          <w:rFonts w:hint="eastAsia"/>
          <w:color w:val="000000" w:themeColor="text1"/>
          <w:sz w:val="22"/>
          <w:szCs w:val="22"/>
          <w14:textFill>
            <w14:solidFill>
              <w14:schemeClr w14:val="tx1"/>
            </w14:solidFill>
          </w14:textFill>
        </w:rPr>
        <w:t>2</w:t>
      </w:r>
      <w:r>
        <w:rPr>
          <w:color w:val="000000" w:themeColor="text1"/>
          <w:sz w:val="22"/>
          <w:szCs w:val="22"/>
          <w14:textFill>
            <w14:solidFill>
              <w14:schemeClr w14:val="tx1"/>
            </w14:solidFill>
          </w14:textFill>
        </w:rPr>
        <w:t>.1</w:t>
      </w:r>
      <w:r>
        <w:rPr>
          <w:rFonts w:hint="eastAsia"/>
          <w:color w:val="000000" w:themeColor="text1"/>
          <w:sz w:val="22"/>
          <w:szCs w:val="22"/>
          <w14:textFill>
            <w14:solidFill>
              <w14:schemeClr w14:val="tx1"/>
            </w14:solidFill>
          </w14:textFill>
        </w:rPr>
        <w:t>、甲方客户</w:t>
      </w:r>
      <w:r>
        <w:rPr>
          <w:rFonts w:hint="eastAsia"/>
          <w:color w:val="000000" w:themeColor="text1"/>
          <w:sz w:val="22"/>
          <w:szCs w:val="22"/>
          <w:highlight w:val="yellow"/>
          <w14:textFill>
            <w14:solidFill>
              <w14:schemeClr w14:val="tx1"/>
            </w14:solidFill>
          </w14:textFill>
        </w:rPr>
        <w:t>【请填写】</w:t>
      </w:r>
    </w:p>
    <w:p w14:paraId="496C98A4">
      <w:pPr>
        <w:pStyle w:val="24"/>
        <w:spacing w:before="156" w:after="156"/>
        <w:rPr>
          <w:color w:val="000000" w:themeColor="text1"/>
          <w:sz w:val="22"/>
          <w:szCs w:val="22"/>
          <w14:textFill>
            <w14:solidFill>
              <w14:schemeClr w14:val="tx1"/>
            </w14:solidFill>
          </w14:textFill>
        </w:rPr>
      </w:pPr>
      <w:bookmarkStart w:id="0" w:name="_Toc38311194"/>
      <w:bookmarkStart w:id="1" w:name="_Toc477942433"/>
      <w:bookmarkStart w:id="2" w:name="_Toc381997395"/>
      <w:r>
        <w:rPr>
          <w:color w:val="000000" w:themeColor="text1"/>
          <w:sz w:val="22"/>
          <w:szCs w:val="22"/>
          <w14:textFill>
            <w14:solidFill>
              <w14:schemeClr w14:val="tx1"/>
            </w14:solidFill>
          </w14:textFill>
        </w:rPr>
        <w:t>2.2</w:t>
      </w:r>
      <w:r>
        <w:rPr>
          <w:rFonts w:hint="eastAsia"/>
          <w:color w:val="000000" w:themeColor="text1"/>
          <w:sz w:val="22"/>
          <w:szCs w:val="22"/>
          <w14:textFill>
            <w14:solidFill>
              <w14:schemeClr w14:val="tx1"/>
            </w14:solidFill>
          </w14:textFill>
        </w:rPr>
        <w:t>、维护</w:t>
      </w:r>
      <w:bookmarkEnd w:id="0"/>
      <w:bookmarkEnd w:id="1"/>
      <w:bookmarkEnd w:id="2"/>
      <w:r>
        <w:rPr>
          <w:rFonts w:hint="eastAsia"/>
          <w:color w:val="000000" w:themeColor="text1"/>
          <w:sz w:val="22"/>
          <w:szCs w:val="22"/>
          <w14:textFill>
            <w14:solidFill>
              <w14:schemeClr w14:val="tx1"/>
            </w14:solidFill>
          </w14:textFill>
        </w:rPr>
        <w:t>服务内容</w:t>
      </w:r>
      <w:r>
        <w:rPr>
          <w:rFonts w:hint="eastAsia"/>
          <w:color w:val="000000" w:themeColor="text1"/>
          <w:sz w:val="22"/>
          <w:szCs w:val="22"/>
          <w:highlight w:val="yellow"/>
          <w14:textFill>
            <w14:solidFill>
              <w14:schemeClr w14:val="tx1"/>
            </w14:solidFill>
          </w14:textFill>
        </w:rPr>
        <w:t xml:space="preserve">【 </w:t>
      </w:r>
      <w:r>
        <w:rPr>
          <w:color w:val="000000" w:themeColor="text1"/>
          <w:sz w:val="22"/>
          <w:szCs w:val="22"/>
          <w:highlight w:val="yellow"/>
          <w14:textFill>
            <w14:solidFill>
              <w14:schemeClr w14:val="tx1"/>
            </w14:solidFill>
          </w14:textFill>
        </w:rPr>
        <w:t xml:space="preserve"> 请填写具体内容           </w:t>
      </w:r>
      <w:r>
        <w:rPr>
          <w:rFonts w:hint="eastAsia"/>
          <w:color w:val="000000" w:themeColor="text1"/>
          <w:sz w:val="22"/>
          <w:szCs w:val="22"/>
          <w:highlight w:val="yellow"/>
          <w14:textFill>
            <w14:solidFill>
              <w14:schemeClr w14:val="tx1"/>
            </w14:solidFill>
          </w14:textFill>
        </w:rPr>
        <w:t>】</w:t>
      </w:r>
    </w:p>
    <w:p w14:paraId="6628989A">
      <w:pPr>
        <w:pStyle w:val="24"/>
        <w:spacing w:before="156" w:after="156"/>
        <w:rPr>
          <w:color w:val="000000" w:themeColor="text1"/>
          <w:sz w:val="22"/>
          <w:szCs w:val="22"/>
          <w14:textFill>
            <w14:solidFill>
              <w14:schemeClr w14:val="tx1"/>
            </w14:solidFill>
          </w14:textFill>
        </w:rPr>
      </w:pPr>
      <w:bookmarkStart w:id="3" w:name="_Toc38311195"/>
      <w:bookmarkStart w:id="4" w:name="_Toc477942434"/>
      <w:bookmarkStart w:id="5" w:name="_Toc381997396"/>
      <w:r>
        <w:rPr>
          <w:color w:val="000000" w:themeColor="text1"/>
          <w:sz w:val="22"/>
          <w:szCs w:val="22"/>
          <w14:textFill>
            <w14:solidFill>
              <w14:schemeClr w14:val="tx1"/>
            </w14:solidFill>
          </w14:textFill>
        </w:rPr>
        <w:t>2.3</w:t>
      </w:r>
      <w:r>
        <w:rPr>
          <w:rFonts w:hint="eastAsia"/>
          <w:color w:val="000000" w:themeColor="text1"/>
          <w:sz w:val="22"/>
          <w:szCs w:val="22"/>
          <w14:textFill>
            <w14:solidFill>
              <w14:schemeClr w14:val="tx1"/>
            </w14:solidFill>
          </w14:textFill>
        </w:rPr>
        <w:t>、维护类别</w:t>
      </w:r>
      <w:bookmarkEnd w:id="3"/>
      <w:bookmarkEnd w:id="4"/>
      <w:bookmarkEnd w:id="5"/>
    </w:p>
    <w:p w14:paraId="3E7341A8">
      <w:pPr>
        <w:pStyle w:val="25"/>
        <w:numPr>
          <w:ilvl w:val="0"/>
          <w:numId w:val="0"/>
        </w:numPr>
        <w:spacing w:before="156" w:after="156"/>
        <w:rPr>
          <w:color w:val="000000" w:themeColor="text1"/>
          <w:sz w:val="22"/>
          <w:szCs w:val="22"/>
          <w14:textFill>
            <w14:solidFill>
              <w14:schemeClr w14:val="tx1"/>
            </w14:solidFill>
          </w14:textFill>
        </w:rPr>
      </w:pPr>
      <w:bookmarkStart w:id="6" w:name="_Toc477942435"/>
      <w:bookmarkStart w:id="7" w:name="_Toc381997397"/>
      <w:bookmarkStart w:id="8" w:name="_Toc38311196"/>
      <w:r>
        <w:rPr>
          <w:color w:val="000000" w:themeColor="text1"/>
          <w:sz w:val="22"/>
          <w:szCs w:val="22"/>
          <w14:textFill>
            <w14:solidFill>
              <w14:schemeClr w14:val="tx1"/>
            </w14:solidFill>
          </w14:textFill>
        </w:rPr>
        <w:t>2.3.1</w:t>
      </w:r>
      <w:r>
        <w:rPr>
          <w:rFonts w:hint="eastAsia"/>
          <w:color w:val="000000" w:themeColor="text1"/>
          <w:sz w:val="22"/>
          <w:szCs w:val="22"/>
          <w14:textFill>
            <w14:solidFill>
              <w14:schemeClr w14:val="tx1"/>
            </w14:solidFill>
          </w14:textFill>
        </w:rPr>
        <w:t>、日常维护</w:t>
      </w:r>
      <w:bookmarkEnd w:id="6"/>
      <w:bookmarkEnd w:id="7"/>
      <w:bookmarkEnd w:id="8"/>
      <w:bookmarkStart w:id="9" w:name="_Toc381997398"/>
      <w:bookmarkStart w:id="10" w:name="_Toc477942436"/>
      <w:bookmarkStart w:id="11" w:name="_Toc38311197"/>
      <w:r>
        <w:rPr>
          <w:rFonts w:hint="eastAsia"/>
          <w:color w:val="000000" w:themeColor="text1"/>
          <w:sz w:val="22"/>
          <w:szCs w:val="22"/>
          <w:highlight w:val="yellow"/>
          <w14:textFill>
            <w14:solidFill>
              <w14:schemeClr w14:val="tx1"/>
            </w14:solidFill>
          </w14:textFill>
        </w:rPr>
        <w:t>【  请填写具体内容  】</w:t>
      </w:r>
    </w:p>
    <w:p w14:paraId="66AAB195">
      <w:pPr>
        <w:pStyle w:val="25"/>
        <w:numPr>
          <w:ilvl w:val="0"/>
          <w:numId w:val="0"/>
        </w:numPr>
        <w:spacing w:before="156" w:after="156"/>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2.3.2</w:t>
      </w:r>
      <w:r>
        <w:rPr>
          <w:rFonts w:hint="eastAsia"/>
          <w:color w:val="000000" w:themeColor="text1"/>
          <w:sz w:val="22"/>
          <w:szCs w:val="22"/>
          <w14:textFill>
            <w14:solidFill>
              <w14:schemeClr w14:val="tx1"/>
            </w14:solidFill>
          </w14:textFill>
        </w:rPr>
        <w:t>、故障恢复</w:t>
      </w:r>
      <w:bookmarkEnd w:id="9"/>
      <w:bookmarkEnd w:id="10"/>
      <w:bookmarkEnd w:id="11"/>
      <w:r>
        <w:rPr>
          <w:rFonts w:hint="eastAsia"/>
          <w:color w:val="000000" w:themeColor="text1"/>
          <w:sz w:val="22"/>
          <w:szCs w:val="22"/>
          <w:highlight w:val="yellow"/>
          <w14:textFill>
            <w14:solidFill>
              <w14:schemeClr w14:val="tx1"/>
            </w14:solidFill>
          </w14:textFill>
        </w:rPr>
        <w:t>【 请填写具体内容   】</w:t>
      </w:r>
    </w:p>
    <w:p w14:paraId="3D6B7C04">
      <w:pPr>
        <w:pStyle w:val="25"/>
        <w:numPr>
          <w:ilvl w:val="0"/>
          <w:numId w:val="0"/>
        </w:numPr>
        <w:spacing w:before="156" w:after="156"/>
        <w:rPr>
          <w:color w:val="000000" w:themeColor="text1"/>
          <w:sz w:val="22"/>
          <w:szCs w:val="22"/>
          <w14:textFill>
            <w14:solidFill>
              <w14:schemeClr w14:val="tx1"/>
            </w14:solidFill>
          </w14:textFill>
        </w:rPr>
      </w:pPr>
      <w:bookmarkStart w:id="12" w:name="_Toc38311198"/>
      <w:bookmarkStart w:id="13" w:name="_Toc477942437"/>
      <w:bookmarkStart w:id="14" w:name="_Toc381997399"/>
      <w:r>
        <w:rPr>
          <w:color w:val="000000" w:themeColor="text1"/>
          <w:sz w:val="22"/>
          <w:szCs w:val="22"/>
          <w14:textFill>
            <w14:solidFill>
              <w14:schemeClr w14:val="tx1"/>
            </w14:solidFill>
          </w14:textFill>
        </w:rPr>
        <w:t>2.3.3</w:t>
      </w:r>
      <w:r>
        <w:rPr>
          <w:rFonts w:hint="eastAsia"/>
          <w:color w:val="000000" w:themeColor="text1"/>
          <w:sz w:val="22"/>
          <w:szCs w:val="22"/>
          <w14:textFill>
            <w14:solidFill>
              <w14:schemeClr w14:val="tx1"/>
            </w14:solidFill>
          </w14:textFill>
        </w:rPr>
        <w:t>、业务协助</w:t>
      </w:r>
      <w:bookmarkEnd w:id="12"/>
      <w:bookmarkEnd w:id="13"/>
      <w:bookmarkEnd w:id="14"/>
      <w:r>
        <w:rPr>
          <w:rFonts w:hint="eastAsia"/>
          <w:color w:val="000000" w:themeColor="text1"/>
          <w:sz w:val="22"/>
          <w:szCs w:val="22"/>
          <w:highlight w:val="yellow"/>
          <w14:textFill>
            <w14:solidFill>
              <w14:schemeClr w14:val="tx1"/>
            </w14:solidFill>
          </w14:textFill>
        </w:rPr>
        <w:t>【  请填写具体内容  】</w:t>
      </w:r>
    </w:p>
    <w:p w14:paraId="5F818BF4">
      <w:pPr>
        <w:pStyle w:val="16"/>
        <w:spacing w:after="0" w:line="0" w:lineRule="atLeast"/>
        <w:ind w:left="750" w:firstLine="0" w:firstLineChars="0"/>
        <w:rPr>
          <w:color w:val="000000" w:themeColor="text1"/>
          <w14:textFill>
            <w14:solidFill>
              <w14:schemeClr w14:val="tx1"/>
            </w14:solidFill>
          </w14:textFill>
        </w:rPr>
      </w:pPr>
    </w:p>
    <w:p w14:paraId="07E2FC11">
      <w:pPr>
        <w:pStyle w:val="16"/>
        <w:numPr>
          <w:ilvl w:val="0"/>
          <w:numId w:val="23"/>
        </w:numPr>
        <w:spacing w:after="0" w:line="0" w:lineRule="atLeast"/>
        <w:ind w:firstLineChars="0"/>
        <w:rPr>
          <w:b/>
          <w:color w:val="000000" w:themeColor="text1"/>
          <w14:textFill>
            <w14:solidFill>
              <w14:schemeClr w14:val="tx1"/>
            </w14:solidFill>
          </w14:textFill>
        </w:rPr>
      </w:pPr>
      <w:r>
        <w:rPr>
          <w:b/>
          <w:color w:val="000000" w:themeColor="text1"/>
          <w14:textFill>
            <w14:solidFill>
              <w14:schemeClr w14:val="tx1"/>
            </w14:solidFill>
          </w14:textFill>
        </w:rPr>
        <w:t>服务时间</w:t>
      </w:r>
    </w:p>
    <w:p w14:paraId="29ECC549">
      <w:pPr>
        <w:ind w:firstLine="420" w:firstLineChars="200"/>
        <w:rPr>
          <w:color w:val="000000" w:themeColor="text1"/>
          <w14:textFill>
            <w14:solidFill>
              <w14:schemeClr w14:val="tx1"/>
            </w14:solidFill>
          </w14:textFill>
        </w:rPr>
      </w:pPr>
      <w:r>
        <w:rPr>
          <w:color w:val="000000" w:themeColor="text1"/>
          <w14:textFill>
            <w14:solidFill>
              <w14:schemeClr w14:val="tx1"/>
            </w14:solidFill>
          </w14:textFill>
        </w:rPr>
        <w:t>乙方提供本工作说明书项下的服务期间为：</w:t>
      </w:r>
      <w:r>
        <w:rPr>
          <w:rFonts w:hint="eastAsia"/>
          <w:color w:val="000000" w:themeColor="text1"/>
          <w:highlight w:val="yellow"/>
          <w14:textFill>
            <w14:solidFill>
              <w14:schemeClr w14:val="tx1"/>
            </w14:solidFill>
          </w14:textFill>
        </w:rPr>
        <w:t>自【</w:t>
      </w:r>
      <w:r>
        <w:rPr>
          <w:color w:val="000000" w:themeColor="text1"/>
          <w:highlight w:val="yellow"/>
          <w14:textFill>
            <w14:solidFill>
              <w14:schemeClr w14:val="tx1"/>
            </w14:solidFill>
          </w14:textFill>
        </w:rPr>
        <w:t xml:space="preserve">    </w:t>
      </w:r>
      <w:r>
        <w:rPr>
          <w:rFonts w:hint="eastAsia"/>
          <w:color w:val="000000" w:themeColor="text1"/>
          <w:highlight w:val="yellow"/>
          <w14:textFill>
            <w14:solidFill>
              <w14:schemeClr w14:val="tx1"/>
            </w14:solidFill>
          </w14:textFill>
        </w:rPr>
        <w:t>】年【】月【】日至【】年【】月【】日止</w:t>
      </w:r>
      <w:r>
        <w:rPr>
          <w:rFonts w:hint="eastAsia"/>
          <w:color w:val="000000" w:themeColor="text1"/>
          <w14:textFill>
            <w14:solidFill>
              <w14:schemeClr w14:val="tx1"/>
            </w14:solidFill>
          </w14:textFill>
        </w:rPr>
        <w:t>。</w:t>
      </w:r>
    </w:p>
    <w:p w14:paraId="7B594254">
      <w:pPr>
        <w:ind w:firstLine="420" w:firstLineChars="200"/>
        <w:rPr>
          <w:color w:val="000000" w:themeColor="text1"/>
          <w14:textFill>
            <w14:solidFill>
              <w14:schemeClr w14:val="tx1"/>
            </w14:solidFill>
          </w14:textFill>
        </w:rPr>
      </w:pPr>
    </w:p>
    <w:p w14:paraId="2A52954A">
      <w:pPr>
        <w:pStyle w:val="16"/>
        <w:numPr>
          <w:ilvl w:val="0"/>
          <w:numId w:val="23"/>
        </w:numPr>
        <w:spacing w:after="0" w:line="0" w:lineRule="atLeast"/>
        <w:ind w:firstLineChars="0"/>
        <w:rPr>
          <w:b/>
          <w:color w:val="000000" w:themeColor="text1"/>
          <w:highlight w:val="yellow"/>
          <w14:textFill>
            <w14:solidFill>
              <w14:schemeClr w14:val="tx1"/>
            </w14:solidFill>
          </w14:textFill>
        </w:rPr>
      </w:pPr>
      <w:r>
        <w:rPr>
          <w:b/>
          <w:color w:val="000000" w:themeColor="text1"/>
          <w14:textFill>
            <w14:solidFill>
              <w14:schemeClr w14:val="tx1"/>
            </w14:solidFill>
          </w14:textFill>
        </w:rPr>
        <w:t>运维考核方案</w:t>
      </w:r>
      <w:r>
        <w:rPr>
          <w:rFonts w:hint="eastAsia"/>
          <w:b/>
          <w:color w:val="000000" w:themeColor="text1"/>
          <w14:textFill>
            <w14:solidFill>
              <w14:schemeClr w14:val="tx1"/>
            </w14:solidFill>
          </w14:textFill>
        </w:rPr>
        <w:t>【</w:t>
      </w:r>
      <w:r>
        <w:rPr>
          <w:rFonts w:hint="eastAsia"/>
          <w:b/>
          <w:color w:val="000000" w:themeColor="text1"/>
          <w:highlight w:val="yellow"/>
          <w14:textFill>
            <w14:solidFill>
              <w14:schemeClr w14:val="tx1"/>
            </w14:solidFill>
          </w14:textFill>
        </w:rPr>
        <w:t>以下运维考核方案仅作为参考，可根据具体项目要求制定具体考核方案  】</w:t>
      </w:r>
    </w:p>
    <w:p w14:paraId="3D360CA1">
      <w:pPr>
        <w:pStyle w:val="16"/>
        <w:ind w:left="360" w:firstLine="0" w:firstLineChars="0"/>
        <w:rPr>
          <w:b/>
          <w:color w:val="000000" w:themeColor="text1"/>
          <w14:textFill>
            <w14:solidFill>
              <w14:schemeClr w14:val="tx1"/>
            </w14:solidFill>
          </w14:textFill>
        </w:rPr>
      </w:pPr>
      <w:r>
        <w:rPr>
          <w:b/>
          <w:color w:val="000000" w:themeColor="text1"/>
          <w:highlight w:val="yellow"/>
          <w14:textFill>
            <w14:solidFill>
              <w14:schemeClr w14:val="tx1"/>
            </w14:solidFill>
          </w14:textFill>
        </w:rPr>
        <w:t>注</w:t>
      </w:r>
      <w:r>
        <w:rPr>
          <w:rFonts w:hint="eastAsia"/>
          <w:b/>
          <w:color w:val="000000" w:themeColor="text1"/>
          <w:highlight w:val="yellow"/>
          <w14:textFill>
            <w14:solidFill>
              <w14:schemeClr w14:val="tx1"/>
            </w14:solidFill>
          </w14:textFill>
        </w:rPr>
        <w:t>：</w:t>
      </w:r>
      <w:r>
        <w:rPr>
          <w:b/>
          <w:color w:val="000000" w:themeColor="text1"/>
          <w:highlight w:val="yellow"/>
          <w14:textFill>
            <w14:solidFill>
              <w14:schemeClr w14:val="tx1"/>
            </w14:solidFill>
          </w14:textFill>
        </w:rPr>
        <w:t>具体运维考核方案将根据各区县市甲方客户单位对甲方的考核方案进行相应修改</w:t>
      </w:r>
      <w:r>
        <w:rPr>
          <w:rFonts w:hint="eastAsia"/>
          <w:b/>
          <w:color w:val="000000" w:themeColor="text1"/>
          <w:highlight w:val="yellow"/>
          <w14:textFill>
            <w14:solidFill>
              <w14:schemeClr w14:val="tx1"/>
            </w14:solidFill>
          </w14:textFill>
        </w:rPr>
        <w:t>。</w:t>
      </w:r>
    </w:p>
    <w:p w14:paraId="5D8F40AC">
      <w:pPr>
        <w:spacing w:line="276" w:lineRule="auto"/>
        <w:ind w:firstLine="420" w:firstLineChars="200"/>
        <w:rPr>
          <w:color w:val="FF0000"/>
        </w:rPr>
      </w:pPr>
      <w:r>
        <w:rPr>
          <w:rFonts w:hint="eastAsia"/>
          <w:color w:val="FF0000"/>
        </w:rPr>
        <w:t>4</w:t>
      </w:r>
      <w:r>
        <w:rPr>
          <w:color w:val="FF0000"/>
        </w:rPr>
        <w:t>.1</w:t>
      </w:r>
      <w:r>
        <w:rPr>
          <w:rFonts w:hint="eastAsia"/>
          <w:color w:val="FF0000"/>
        </w:rPr>
        <w:t>、甲方是运维工作考核的单位，乙方是被考核对象。</w:t>
      </w:r>
    </w:p>
    <w:p w14:paraId="2D49CE6D">
      <w:pPr>
        <w:spacing w:line="276" w:lineRule="auto"/>
        <w:ind w:firstLine="420" w:firstLineChars="200"/>
        <w:rPr>
          <w:color w:val="FF0000"/>
        </w:rPr>
      </w:pPr>
      <w:r>
        <w:rPr>
          <w:rFonts w:hint="eastAsia"/>
          <w:color w:val="FF0000"/>
        </w:rPr>
        <w:t>4</w:t>
      </w:r>
      <w:r>
        <w:rPr>
          <w:color w:val="FF0000"/>
        </w:rPr>
        <w:t>.2</w:t>
      </w:r>
      <w:r>
        <w:rPr>
          <w:rFonts w:hint="eastAsia"/>
          <w:color w:val="FF0000"/>
        </w:rPr>
        <w:t>、考核办法采用百分制分系统考核。考核分月考核部分和年考核部分，月考核部分为每月考核一次，年考核部分为每考核年度考核一次，每考核年度内12个月月考核得分的算术平均值（取小数点后两位）加上年考核部分得为值为当年考核得分。考核评分满95分的（含95分），按当年的运维合同金额支付建设费用。当年考核得分60-95分（不含95分）每减1分（与95分做减法）扣除比例运维合同金额支付；当年考核得分60分以下（不含60分）的最多扣除运维合同金额的50%支付。</w:t>
      </w:r>
    </w:p>
    <w:p w14:paraId="038100A5">
      <w:pPr>
        <w:spacing w:line="276" w:lineRule="auto"/>
        <w:ind w:firstLine="420" w:firstLineChars="200"/>
        <w:rPr>
          <w:color w:val="FF0000"/>
        </w:rPr>
      </w:pPr>
      <w:r>
        <w:rPr>
          <w:color w:val="FF0000"/>
        </w:rPr>
        <w:t>4.3</w:t>
      </w:r>
      <w:r>
        <w:rPr>
          <w:rFonts w:hint="eastAsia"/>
          <w:color w:val="FF0000"/>
        </w:rPr>
        <w:t>、乙方应针对本项目成立专门的售后服务团队，专业技术人员不少于合同要求人数，</w:t>
      </w:r>
      <w:bookmarkStart w:id="15" w:name="_Toc38311230"/>
      <w:r>
        <w:rPr>
          <w:rFonts w:hint="eastAsia"/>
          <w:color w:val="FF0000"/>
        </w:rPr>
        <w:t>根据项目运行实际情况制定有相应的管理制度，包括：值班制度、交接班制度、培训学习制度、接电出勤制度、设备管理和使用制度、异常情况处理制度。</w:t>
      </w:r>
      <w:bookmarkEnd w:id="15"/>
    </w:p>
    <w:p w14:paraId="070273A4">
      <w:pPr>
        <w:spacing w:line="276" w:lineRule="auto"/>
        <w:ind w:firstLine="420" w:firstLineChars="200"/>
        <w:rPr>
          <w:color w:val="FF0000"/>
        </w:rPr>
      </w:pPr>
      <w:r>
        <w:rPr>
          <w:rFonts w:hint="eastAsia"/>
          <w:color w:val="FF0000"/>
        </w:rPr>
        <w:t>4</w:t>
      </w:r>
      <w:r>
        <w:rPr>
          <w:color w:val="FF0000"/>
        </w:rPr>
        <w:t>.4</w:t>
      </w:r>
      <w:r>
        <w:rPr>
          <w:rFonts w:hint="eastAsia"/>
          <w:color w:val="FF0000"/>
        </w:rPr>
        <w:t>、乙方应制定详细的售后服务保障方案，及时受理甲方故障申告。乙方在收到甲方故障申告后，应当按本合同的约定及时解决，保障本项目正常运行；甲方按照本合同的约定对乙方故障处置及售后服务情况进行考核打分。</w:t>
      </w:r>
    </w:p>
    <w:p w14:paraId="041B08D0">
      <w:pPr>
        <w:spacing w:line="360" w:lineRule="auto"/>
        <w:ind w:firstLine="420" w:firstLineChars="200"/>
        <w:rPr>
          <w:color w:val="FF0000"/>
        </w:rPr>
      </w:pPr>
      <w:bookmarkStart w:id="16" w:name="_Toc38311232"/>
      <w:r>
        <w:rPr>
          <w:color w:val="FF0000"/>
        </w:rPr>
        <w:t>4.5</w:t>
      </w:r>
      <w:r>
        <w:rPr>
          <w:rFonts w:hint="eastAsia"/>
          <w:color w:val="FF0000"/>
        </w:rPr>
        <w:t>、考核故障级别定义与服务的具体要求</w:t>
      </w:r>
      <w:bookmarkEnd w:id="16"/>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45"/>
        <w:gridCol w:w="1778"/>
        <w:gridCol w:w="3313"/>
      </w:tblGrid>
      <w:tr w14:paraId="25D78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5245" w:type="dxa"/>
            <w:tcBorders>
              <w:top w:val="single" w:color="auto" w:sz="4" w:space="0"/>
              <w:left w:val="single" w:color="auto" w:sz="4" w:space="0"/>
              <w:bottom w:val="single" w:color="auto" w:sz="4" w:space="0"/>
              <w:right w:val="single" w:color="auto" w:sz="4" w:space="0"/>
            </w:tcBorders>
            <w:vAlign w:val="center"/>
          </w:tcPr>
          <w:p w14:paraId="1C2DC9D0">
            <w:pPr>
              <w:spacing w:line="340" w:lineRule="exact"/>
              <w:jc w:val="center"/>
              <w:rPr>
                <w:rFonts w:ascii="宋体" w:hAnsi="宋体"/>
                <w:b/>
                <w:color w:val="FF0000"/>
                <w:sz w:val="18"/>
                <w:szCs w:val="18"/>
              </w:rPr>
            </w:pPr>
            <w:r>
              <w:rPr>
                <w:rFonts w:hint="eastAsia" w:ascii="宋体" w:hAnsi="宋体"/>
                <w:b/>
                <w:color w:val="FF0000"/>
                <w:sz w:val="18"/>
                <w:szCs w:val="18"/>
              </w:rPr>
              <w:t>故障级别</w:t>
            </w:r>
          </w:p>
        </w:tc>
        <w:tc>
          <w:tcPr>
            <w:tcW w:w="1778" w:type="dxa"/>
            <w:tcBorders>
              <w:top w:val="single" w:color="auto" w:sz="4" w:space="0"/>
              <w:left w:val="single" w:color="auto" w:sz="4" w:space="0"/>
              <w:bottom w:val="single" w:color="auto" w:sz="4" w:space="0"/>
              <w:right w:val="single" w:color="auto" w:sz="4" w:space="0"/>
            </w:tcBorders>
            <w:vAlign w:val="center"/>
          </w:tcPr>
          <w:p w14:paraId="23A3F786">
            <w:pPr>
              <w:spacing w:line="340" w:lineRule="exact"/>
              <w:jc w:val="center"/>
              <w:rPr>
                <w:rFonts w:ascii="宋体" w:hAnsi="宋体"/>
                <w:b/>
                <w:color w:val="FF0000"/>
                <w:sz w:val="18"/>
                <w:szCs w:val="18"/>
              </w:rPr>
            </w:pPr>
            <w:r>
              <w:rPr>
                <w:rFonts w:hint="eastAsia" w:ascii="宋体" w:hAnsi="宋体"/>
                <w:b/>
                <w:color w:val="FF0000"/>
                <w:sz w:val="18"/>
                <w:szCs w:val="18"/>
              </w:rPr>
              <w:t>技术人员到场时间</w:t>
            </w:r>
          </w:p>
        </w:tc>
        <w:tc>
          <w:tcPr>
            <w:tcW w:w="3313" w:type="dxa"/>
            <w:tcBorders>
              <w:top w:val="single" w:color="auto" w:sz="4" w:space="0"/>
              <w:left w:val="single" w:color="auto" w:sz="4" w:space="0"/>
              <w:bottom w:val="single" w:color="auto" w:sz="4" w:space="0"/>
              <w:right w:val="single" w:color="auto" w:sz="4" w:space="0"/>
            </w:tcBorders>
            <w:vAlign w:val="center"/>
          </w:tcPr>
          <w:p w14:paraId="645B83AE">
            <w:pPr>
              <w:spacing w:line="340" w:lineRule="exact"/>
              <w:jc w:val="center"/>
              <w:rPr>
                <w:rFonts w:ascii="宋体" w:hAnsi="宋体"/>
                <w:b/>
                <w:color w:val="FF0000"/>
                <w:sz w:val="18"/>
                <w:szCs w:val="18"/>
              </w:rPr>
            </w:pPr>
            <w:r>
              <w:rPr>
                <w:rFonts w:hint="eastAsia" w:ascii="宋体" w:hAnsi="宋体"/>
                <w:b/>
                <w:color w:val="FF0000"/>
                <w:sz w:val="18"/>
                <w:szCs w:val="18"/>
              </w:rPr>
              <w:t>解决时间</w:t>
            </w:r>
          </w:p>
        </w:tc>
      </w:tr>
      <w:tr w14:paraId="34AC9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05" w:hRule="atLeast"/>
          <w:jc w:val="center"/>
        </w:trPr>
        <w:tc>
          <w:tcPr>
            <w:tcW w:w="5245" w:type="dxa"/>
            <w:tcBorders>
              <w:top w:val="single" w:color="auto" w:sz="4" w:space="0"/>
              <w:left w:val="single" w:color="auto" w:sz="4" w:space="0"/>
              <w:bottom w:val="single" w:color="auto" w:sz="4" w:space="0"/>
              <w:right w:val="single" w:color="auto" w:sz="4" w:space="0"/>
            </w:tcBorders>
          </w:tcPr>
          <w:p w14:paraId="5847F483">
            <w:pPr>
              <w:spacing w:line="340" w:lineRule="exact"/>
              <w:ind w:firstLine="361"/>
              <w:rPr>
                <w:rFonts w:ascii="宋体" w:hAnsi="宋体"/>
                <w:color w:val="FF0000"/>
                <w:sz w:val="18"/>
                <w:szCs w:val="18"/>
              </w:rPr>
            </w:pPr>
            <w:r>
              <w:rPr>
                <w:rFonts w:ascii="宋体" w:hAnsi="宋体"/>
                <w:b/>
                <w:color w:val="FF0000"/>
                <w:sz w:val="18"/>
                <w:szCs w:val="18"/>
              </w:rPr>
              <w:t>I</w:t>
            </w:r>
            <w:r>
              <w:rPr>
                <w:rFonts w:hint="eastAsia" w:ascii="宋体" w:hAnsi="宋体"/>
                <w:b/>
                <w:color w:val="FF0000"/>
                <w:sz w:val="18"/>
                <w:szCs w:val="18"/>
              </w:rPr>
              <w:t>级：</w:t>
            </w:r>
            <w:r>
              <w:rPr>
                <w:rFonts w:hint="eastAsia" w:ascii="宋体" w:hAnsi="宋体"/>
                <w:color w:val="FF0000"/>
                <w:sz w:val="18"/>
                <w:szCs w:val="18"/>
              </w:rPr>
              <w:t>属于重特大故障：其具体现象为：无法访问视频专网资源共享平台即视频专网监控平台或通过视频资源共享平台无法调取、存储所有点位视频录像；核心交换机、运营商机房汇聚交换机主备均发生故障导致网络瘫痪。直接影响系统整体运行。</w:t>
            </w:r>
          </w:p>
          <w:p w14:paraId="5B7C3CCD">
            <w:pPr>
              <w:spacing w:line="340" w:lineRule="exact"/>
              <w:ind w:firstLine="360"/>
              <w:rPr>
                <w:rFonts w:ascii="宋体" w:hAnsi="宋体"/>
                <w:color w:val="FF0000"/>
                <w:sz w:val="18"/>
                <w:szCs w:val="18"/>
              </w:rPr>
            </w:pPr>
            <w:r>
              <w:rPr>
                <w:rFonts w:hint="eastAsia" w:ascii="宋体" w:hAnsi="宋体"/>
                <w:color w:val="FF0000"/>
                <w:sz w:val="18"/>
                <w:szCs w:val="18"/>
              </w:rPr>
              <w:t>备注：因运营商线路故障或者电力故障或者人为破坏或不可抗力引起的故障不在考核范围内。</w:t>
            </w:r>
          </w:p>
        </w:tc>
        <w:tc>
          <w:tcPr>
            <w:tcW w:w="1778" w:type="dxa"/>
            <w:tcBorders>
              <w:top w:val="single" w:color="auto" w:sz="4" w:space="0"/>
              <w:left w:val="single" w:color="auto" w:sz="4" w:space="0"/>
              <w:bottom w:val="single" w:color="auto" w:sz="4" w:space="0"/>
              <w:right w:val="single" w:color="auto" w:sz="4" w:space="0"/>
            </w:tcBorders>
          </w:tcPr>
          <w:p w14:paraId="48355DF0">
            <w:pPr>
              <w:spacing w:line="340" w:lineRule="exact"/>
              <w:rPr>
                <w:rFonts w:ascii="宋体" w:hAnsi="宋体"/>
                <w:color w:val="FF0000"/>
                <w:sz w:val="18"/>
                <w:szCs w:val="18"/>
              </w:rPr>
            </w:pPr>
            <w:r>
              <w:rPr>
                <w:rFonts w:hint="eastAsia" w:ascii="宋体" w:hAnsi="宋体"/>
                <w:color w:val="FF0000"/>
                <w:sz w:val="18"/>
                <w:szCs w:val="18"/>
              </w:rPr>
              <w:t>接到甲方通知后30分钟以内响应，40分钟以内到达故障现场</w:t>
            </w:r>
          </w:p>
        </w:tc>
        <w:tc>
          <w:tcPr>
            <w:tcW w:w="3313" w:type="dxa"/>
            <w:tcBorders>
              <w:top w:val="single" w:color="auto" w:sz="4" w:space="0"/>
              <w:left w:val="single" w:color="auto" w:sz="4" w:space="0"/>
              <w:bottom w:val="single" w:color="auto" w:sz="4" w:space="0"/>
              <w:right w:val="single" w:color="auto" w:sz="4" w:space="0"/>
            </w:tcBorders>
          </w:tcPr>
          <w:p w14:paraId="42619562">
            <w:pPr>
              <w:spacing w:line="340" w:lineRule="exact"/>
              <w:rPr>
                <w:rFonts w:ascii="宋体" w:hAnsi="宋体"/>
                <w:color w:val="FF0000"/>
                <w:sz w:val="18"/>
                <w:szCs w:val="18"/>
              </w:rPr>
            </w:pPr>
            <w:r>
              <w:rPr>
                <w:rFonts w:hint="eastAsia" w:ascii="宋体" w:hAnsi="宋体"/>
                <w:color w:val="FF0000"/>
                <w:sz w:val="18"/>
                <w:szCs w:val="18"/>
              </w:rPr>
              <w:t>6小时以内恢复系统正常运行。12小时内恢复系统常态化运行。</w:t>
            </w:r>
          </w:p>
        </w:tc>
      </w:tr>
      <w:tr w14:paraId="3F1D3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5" w:hRule="atLeast"/>
          <w:jc w:val="center"/>
        </w:trPr>
        <w:tc>
          <w:tcPr>
            <w:tcW w:w="5245" w:type="dxa"/>
            <w:tcBorders>
              <w:top w:val="single" w:color="auto" w:sz="4" w:space="0"/>
              <w:left w:val="single" w:color="auto" w:sz="4" w:space="0"/>
              <w:bottom w:val="single" w:color="auto" w:sz="4" w:space="0"/>
              <w:right w:val="single" w:color="auto" w:sz="4" w:space="0"/>
            </w:tcBorders>
          </w:tcPr>
          <w:p w14:paraId="5C590226">
            <w:pPr>
              <w:spacing w:line="340" w:lineRule="exact"/>
              <w:ind w:firstLine="361"/>
              <w:rPr>
                <w:rFonts w:ascii="宋体" w:hAnsi="宋体"/>
                <w:color w:val="FF0000"/>
                <w:sz w:val="18"/>
                <w:szCs w:val="18"/>
              </w:rPr>
            </w:pPr>
            <w:r>
              <w:rPr>
                <w:rFonts w:ascii="宋体" w:hAnsi="宋体"/>
                <w:b/>
                <w:color w:val="FF0000"/>
                <w:sz w:val="18"/>
                <w:szCs w:val="18"/>
              </w:rPr>
              <w:t>II</w:t>
            </w:r>
            <w:r>
              <w:rPr>
                <w:rFonts w:hint="eastAsia" w:ascii="宋体" w:hAnsi="宋体"/>
                <w:b/>
                <w:color w:val="FF0000"/>
                <w:sz w:val="18"/>
                <w:szCs w:val="18"/>
              </w:rPr>
              <w:t>级：</w:t>
            </w:r>
            <w:r>
              <w:rPr>
                <w:rFonts w:hint="eastAsia" w:ascii="宋体" w:hAnsi="宋体"/>
                <w:color w:val="FF0000"/>
                <w:sz w:val="18"/>
                <w:szCs w:val="18"/>
              </w:rPr>
              <w:t>属于严重问题；其具体现象为：网管系统；联网平台；流量异常检测系统，数据防泄漏系统，网管系统等。 UPS电源系统无法正常使用，但不影响系统整体运行。</w:t>
            </w:r>
          </w:p>
          <w:p w14:paraId="5DB4492A">
            <w:pPr>
              <w:spacing w:line="340" w:lineRule="exact"/>
              <w:ind w:firstLine="360"/>
              <w:rPr>
                <w:rFonts w:ascii="宋体" w:hAnsi="宋体"/>
                <w:color w:val="FF0000"/>
                <w:sz w:val="18"/>
                <w:szCs w:val="18"/>
              </w:rPr>
            </w:pPr>
            <w:r>
              <w:rPr>
                <w:rFonts w:hint="eastAsia" w:ascii="宋体" w:hAnsi="宋体"/>
                <w:color w:val="FF0000"/>
                <w:sz w:val="18"/>
                <w:szCs w:val="18"/>
              </w:rPr>
              <w:t>备注：因运营商线路故障或者电力故障或者人为破坏或不可抗力引起的故障不在考核范围内。</w:t>
            </w:r>
          </w:p>
        </w:tc>
        <w:tc>
          <w:tcPr>
            <w:tcW w:w="1778" w:type="dxa"/>
            <w:tcBorders>
              <w:top w:val="single" w:color="auto" w:sz="4" w:space="0"/>
              <w:left w:val="single" w:color="auto" w:sz="4" w:space="0"/>
              <w:bottom w:val="single" w:color="auto" w:sz="4" w:space="0"/>
              <w:right w:val="single" w:color="auto" w:sz="4" w:space="0"/>
            </w:tcBorders>
          </w:tcPr>
          <w:p w14:paraId="6867B688">
            <w:pPr>
              <w:spacing w:line="340" w:lineRule="exact"/>
              <w:rPr>
                <w:rFonts w:ascii="宋体" w:hAnsi="宋体"/>
                <w:color w:val="FF0000"/>
                <w:sz w:val="18"/>
                <w:szCs w:val="18"/>
              </w:rPr>
            </w:pPr>
            <w:r>
              <w:rPr>
                <w:rFonts w:hint="eastAsia" w:ascii="宋体" w:hAnsi="宋体"/>
                <w:color w:val="FF0000"/>
                <w:sz w:val="18"/>
                <w:szCs w:val="18"/>
              </w:rPr>
              <w:t>接到甲方通知后30分钟以内响应，1小时内到达故障现场</w:t>
            </w:r>
          </w:p>
        </w:tc>
        <w:tc>
          <w:tcPr>
            <w:tcW w:w="3313" w:type="dxa"/>
            <w:tcBorders>
              <w:top w:val="single" w:color="auto" w:sz="4" w:space="0"/>
              <w:left w:val="single" w:color="auto" w:sz="4" w:space="0"/>
              <w:bottom w:val="single" w:color="auto" w:sz="4" w:space="0"/>
              <w:right w:val="single" w:color="auto" w:sz="4" w:space="0"/>
            </w:tcBorders>
          </w:tcPr>
          <w:p w14:paraId="6DD27D49">
            <w:pPr>
              <w:spacing w:line="340" w:lineRule="exact"/>
              <w:rPr>
                <w:rFonts w:ascii="宋体" w:hAnsi="宋体"/>
                <w:color w:val="FF0000"/>
                <w:sz w:val="18"/>
                <w:szCs w:val="18"/>
              </w:rPr>
            </w:pPr>
            <w:r>
              <w:rPr>
                <w:rFonts w:hint="eastAsia" w:ascii="宋体" w:hAnsi="宋体"/>
                <w:color w:val="FF0000"/>
                <w:sz w:val="18"/>
                <w:szCs w:val="18"/>
              </w:rPr>
              <w:t>8小时以内恢复系统正常运行。24小时内恢复系统常态化运行。</w:t>
            </w:r>
          </w:p>
        </w:tc>
      </w:tr>
      <w:tr w14:paraId="2839D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2" w:hRule="atLeast"/>
          <w:jc w:val="center"/>
        </w:trPr>
        <w:tc>
          <w:tcPr>
            <w:tcW w:w="5245" w:type="dxa"/>
            <w:tcBorders>
              <w:top w:val="single" w:color="auto" w:sz="4" w:space="0"/>
              <w:left w:val="single" w:color="auto" w:sz="4" w:space="0"/>
              <w:bottom w:val="single" w:color="auto" w:sz="4" w:space="0"/>
              <w:right w:val="single" w:color="auto" w:sz="4" w:space="0"/>
            </w:tcBorders>
          </w:tcPr>
          <w:p w14:paraId="5F2E17D2">
            <w:pPr>
              <w:spacing w:line="340" w:lineRule="exact"/>
              <w:ind w:firstLine="361"/>
              <w:rPr>
                <w:rFonts w:ascii="宋体" w:hAnsi="宋体"/>
                <w:color w:val="FF0000"/>
                <w:sz w:val="18"/>
                <w:szCs w:val="18"/>
              </w:rPr>
            </w:pPr>
            <w:r>
              <w:rPr>
                <w:rFonts w:ascii="宋体" w:hAnsi="宋体"/>
                <w:b/>
                <w:color w:val="FF0000"/>
                <w:sz w:val="18"/>
                <w:szCs w:val="18"/>
              </w:rPr>
              <w:t>III</w:t>
            </w:r>
            <w:r>
              <w:rPr>
                <w:rFonts w:hint="eastAsia" w:ascii="宋体" w:hAnsi="宋体"/>
                <w:b/>
                <w:color w:val="FF0000"/>
                <w:sz w:val="18"/>
                <w:szCs w:val="18"/>
              </w:rPr>
              <w:t>级：</w:t>
            </w:r>
            <w:r>
              <w:rPr>
                <w:rFonts w:hint="eastAsia" w:ascii="宋体" w:hAnsi="宋体"/>
                <w:color w:val="FF0000"/>
                <w:sz w:val="18"/>
                <w:szCs w:val="18"/>
              </w:rPr>
              <w:t>属于较严重问题；其具体现象为：通过视频专网资源共享平台无法调看超10%的实时视频，无法调取超过10%视频监控点位视频录像，无法调取治安卡口系统中卡口图片共享平台，10%以上高清治安卡口系统前端设备无法正常使用；视频专网和公网边界接入安全系统出现故障。</w:t>
            </w:r>
          </w:p>
          <w:p w14:paraId="0654C33C">
            <w:pPr>
              <w:spacing w:line="340" w:lineRule="exact"/>
              <w:ind w:firstLine="360"/>
              <w:rPr>
                <w:rFonts w:ascii="宋体" w:hAnsi="宋体"/>
                <w:color w:val="FF0000"/>
                <w:sz w:val="18"/>
                <w:szCs w:val="18"/>
              </w:rPr>
            </w:pPr>
            <w:r>
              <w:rPr>
                <w:rFonts w:hint="eastAsia" w:ascii="宋体" w:hAnsi="宋体"/>
                <w:color w:val="FF0000"/>
                <w:sz w:val="18"/>
                <w:szCs w:val="18"/>
              </w:rPr>
              <w:t>备注：因运营商线路故障或者电力故障或者人为破坏或不可抗力引起的故障不在考核范围内。</w:t>
            </w:r>
          </w:p>
        </w:tc>
        <w:tc>
          <w:tcPr>
            <w:tcW w:w="1778" w:type="dxa"/>
            <w:tcBorders>
              <w:top w:val="single" w:color="auto" w:sz="4" w:space="0"/>
              <w:left w:val="single" w:color="auto" w:sz="4" w:space="0"/>
              <w:bottom w:val="single" w:color="auto" w:sz="4" w:space="0"/>
              <w:right w:val="single" w:color="auto" w:sz="4" w:space="0"/>
            </w:tcBorders>
          </w:tcPr>
          <w:p w14:paraId="7CD29681">
            <w:pPr>
              <w:spacing w:line="340" w:lineRule="exact"/>
              <w:rPr>
                <w:rFonts w:ascii="宋体" w:hAnsi="宋体"/>
                <w:color w:val="FF0000"/>
                <w:sz w:val="18"/>
                <w:szCs w:val="18"/>
              </w:rPr>
            </w:pPr>
            <w:r>
              <w:rPr>
                <w:rFonts w:hint="eastAsia" w:ascii="宋体" w:hAnsi="宋体"/>
                <w:color w:val="FF0000"/>
                <w:sz w:val="18"/>
                <w:szCs w:val="18"/>
              </w:rPr>
              <w:t>接到甲方通知后30分钟内响应，2小时内到达故障现场</w:t>
            </w:r>
          </w:p>
        </w:tc>
        <w:tc>
          <w:tcPr>
            <w:tcW w:w="3313" w:type="dxa"/>
            <w:tcBorders>
              <w:top w:val="single" w:color="auto" w:sz="4" w:space="0"/>
              <w:left w:val="single" w:color="auto" w:sz="4" w:space="0"/>
              <w:bottom w:val="single" w:color="auto" w:sz="4" w:space="0"/>
              <w:right w:val="single" w:color="auto" w:sz="4" w:space="0"/>
            </w:tcBorders>
          </w:tcPr>
          <w:p w14:paraId="35E4DE88">
            <w:pPr>
              <w:spacing w:line="340" w:lineRule="exact"/>
              <w:rPr>
                <w:rFonts w:ascii="宋体" w:hAnsi="宋体"/>
                <w:color w:val="FF0000"/>
                <w:sz w:val="18"/>
                <w:szCs w:val="18"/>
              </w:rPr>
            </w:pPr>
            <w:r>
              <w:rPr>
                <w:rFonts w:hint="eastAsia" w:ascii="宋体" w:hAnsi="宋体"/>
                <w:color w:val="FF0000"/>
                <w:sz w:val="18"/>
                <w:szCs w:val="18"/>
              </w:rPr>
              <w:t>12小时内给出临时解决方案。软件故障48个小时内提供修复版本恢复系统常态化运行。硬件故障：备品备件库涵盖的设备18小时内更换并恢复系统正常运行，不在备品备件库涵盖的设备须7天内保证原厂配件到达现场，须12小时内更换并恢复系统正常运行。</w:t>
            </w:r>
          </w:p>
        </w:tc>
      </w:tr>
      <w:tr w14:paraId="1DE54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3" w:hRule="atLeast"/>
          <w:jc w:val="center"/>
        </w:trPr>
        <w:tc>
          <w:tcPr>
            <w:tcW w:w="5245" w:type="dxa"/>
            <w:tcBorders>
              <w:top w:val="single" w:color="auto" w:sz="4" w:space="0"/>
              <w:left w:val="single" w:color="auto" w:sz="4" w:space="0"/>
              <w:bottom w:val="single" w:color="auto" w:sz="4" w:space="0"/>
              <w:right w:val="single" w:color="auto" w:sz="4" w:space="0"/>
            </w:tcBorders>
          </w:tcPr>
          <w:p w14:paraId="4D161B7E">
            <w:pPr>
              <w:spacing w:line="340" w:lineRule="exact"/>
              <w:ind w:firstLine="361"/>
              <w:rPr>
                <w:rFonts w:ascii="宋体" w:hAnsi="宋体"/>
                <w:color w:val="FF0000"/>
                <w:sz w:val="18"/>
                <w:szCs w:val="18"/>
              </w:rPr>
            </w:pPr>
            <w:r>
              <w:rPr>
                <w:rFonts w:ascii="宋体" w:hAnsi="宋体"/>
                <w:b/>
                <w:color w:val="FF0000"/>
                <w:sz w:val="18"/>
                <w:szCs w:val="18"/>
              </w:rPr>
              <w:t>IV</w:t>
            </w:r>
            <w:r>
              <w:rPr>
                <w:rFonts w:hint="eastAsia" w:ascii="宋体" w:hAnsi="宋体"/>
                <w:b/>
                <w:color w:val="FF0000"/>
                <w:sz w:val="18"/>
                <w:szCs w:val="18"/>
              </w:rPr>
              <w:t>级：</w:t>
            </w:r>
            <w:r>
              <w:rPr>
                <w:rFonts w:hint="eastAsia" w:ascii="宋体" w:hAnsi="宋体"/>
                <w:color w:val="FF0000"/>
                <w:sz w:val="18"/>
                <w:szCs w:val="18"/>
              </w:rPr>
              <w:t>属于普通问题：其具体现象为：前端监控点单个设备故障（前端监控点传输设备或线路故障除外）；基础视频云平台单个存储硬盘故障； 2%以内发生故障；其它子系统故障；</w:t>
            </w:r>
          </w:p>
          <w:p w14:paraId="642991F4">
            <w:pPr>
              <w:spacing w:line="340" w:lineRule="exact"/>
              <w:ind w:firstLine="360"/>
              <w:rPr>
                <w:rFonts w:ascii="宋体" w:hAnsi="宋体"/>
                <w:color w:val="FF0000"/>
                <w:sz w:val="18"/>
                <w:szCs w:val="18"/>
              </w:rPr>
            </w:pPr>
            <w:r>
              <w:rPr>
                <w:rFonts w:hint="eastAsia" w:ascii="宋体" w:hAnsi="宋体"/>
                <w:color w:val="FF0000"/>
                <w:sz w:val="18"/>
                <w:szCs w:val="18"/>
              </w:rPr>
              <w:t>备注：因运营商线路故障或者电力故障或者人为破坏或不可抗力引起的故障不在考核范围内。</w:t>
            </w:r>
          </w:p>
        </w:tc>
        <w:tc>
          <w:tcPr>
            <w:tcW w:w="1778" w:type="dxa"/>
            <w:tcBorders>
              <w:top w:val="single" w:color="auto" w:sz="4" w:space="0"/>
              <w:left w:val="single" w:color="auto" w:sz="4" w:space="0"/>
              <w:bottom w:val="single" w:color="auto" w:sz="4" w:space="0"/>
              <w:right w:val="single" w:color="auto" w:sz="4" w:space="0"/>
            </w:tcBorders>
          </w:tcPr>
          <w:p w14:paraId="29D12E09">
            <w:pPr>
              <w:spacing w:line="340" w:lineRule="exact"/>
              <w:rPr>
                <w:rFonts w:ascii="宋体" w:hAnsi="宋体"/>
                <w:color w:val="FF0000"/>
                <w:sz w:val="18"/>
                <w:szCs w:val="18"/>
              </w:rPr>
            </w:pPr>
            <w:r>
              <w:rPr>
                <w:rFonts w:hint="eastAsia" w:ascii="宋体" w:hAnsi="宋体"/>
                <w:color w:val="FF0000"/>
                <w:sz w:val="18"/>
                <w:szCs w:val="18"/>
              </w:rPr>
              <w:t>接到甲方通知后30分钟内响应，24小时内到达故障现场</w:t>
            </w:r>
          </w:p>
        </w:tc>
        <w:tc>
          <w:tcPr>
            <w:tcW w:w="3313" w:type="dxa"/>
            <w:tcBorders>
              <w:top w:val="single" w:color="auto" w:sz="4" w:space="0"/>
              <w:left w:val="single" w:color="auto" w:sz="4" w:space="0"/>
              <w:bottom w:val="single" w:color="auto" w:sz="4" w:space="0"/>
              <w:right w:val="single" w:color="auto" w:sz="4" w:space="0"/>
            </w:tcBorders>
          </w:tcPr>
          <w:p w14:paraId="58DFD46D">
            <w:pPr>
              <w:spacing w:line="340" w:lineRule="exact"/>
              <w:rPr>
                <w:rFonts w:ascii="宋体" w:hAnsi="宋体"/>
                <w:color w:val="FF0000"/>
                <w:sz w:val="18"/>
                <w:szCs w:val="18"/>
              </w:rPr>
            </w:pPr>
            <w:r>
              <w:rPr>
                <w:rFonts w:hint="eastAsia" w:ascii="宋体" w:hAnsi="宋体"/>
                <w:color w:val="FF0000"/>
                <w:sz w:val="18"/>
                <w:szCs w:val="18"/>
              </w:rPr>
              <w:t>备品备件库涵盖的设备24小时内更换并恢复系统正常运行，不在备品备件库涵盖的设备须7天内保证原厂配件到达现场，须12小时内更换并恢复系统正常运行。</w:t>
            </w:r>
          </w:p>
        </w:tc>
      </w:tr>
    </w:tbl>
    <w:p w14:paraId="00B6160A">
      <w:pPr>
        <w:pStyle w:val="24"/>
        <w:spacing w:before="156" w:after="156"/>
        <w:rPr>
          <w:rFonts w:asciiTheme="minorHAnsi" w:hAnsiTheme="minorHAnsi" w:eastAsiaTheme="minorEastAsia" w:cstheme="minorBidi"/>
          <w:b w:val="0"/>
          <w:bCs w:val="0"/>
          <w:color w:val="FF0000"/>
          <w:sz w:val="21"/>
          <w:szCs w:val="22"/>
        </w:rPr>
      </w:pPr>
      <w:bookmarkStart w:id="17" w:name="_Toc38311233"/>
      <w:r>
        <w:rPr>
          <w:rFonts w:hint="eastAsia" w:asciiTheme="minorHAnsi" w:hAnsiTheme="minorHAnsi" w:eastAsiaTheme="minorEastAsia" w:cstheme="minorBidi"/>
          <w:b w:val="0"/>
          <w:bCs w:val="0"/>
          <w:color w:val="FF0000"/>
          <w:sz w:val="21"/>
          <w:szCs w:val="22"/>
        </w:rPr>
        <w:t>4</w:t>
      </w:r>
      <w:r>
        <w:rPr>
          <w:rFonts w:asciiTheme="minorHAnsi" w:hAnsiTheme="minorHAnsi" w:eastAsiaTheme="minorEastAsia" w:cstheme="minorBidi"/>
          <w:b w:val="0"/>
          <w:bCs w:val="0"/>
          <w:color w:val="FF0000"/>
          <w:sz w:val="21"/>
          <w:szCs w:val="22"/>
        </w:rPr>
        <w:t>.6</w:t>
      </w:r>
      <w:r>
        <w:rPr>
          <w:rFonts w:hint="eastAsia" w:asciiTheme="minorHAnsi" w:hAnsiTheme="minorHAnsi" w:eastAsiaTheme="minorEastAsia" w:cstheme="minorBidi"/>
          <w:b w:val="0"/>
          <w:bCs w:val="0"/>
          <w:color w:val="FF0000"/>
          <w:sz w:val="21"/>
          <w:szCs w:val="22"/>
        </w:rPr>
        <w:t>运维服务考核评分办法</w:t>
      </w:r>
      <w:bookmarkEnd w:id="17"/>
    </w:p>
    <w:tbl>
      <w:tblPr>
        <w:tblStyle w:val="9"/>
        <w:tblW w:w="10206" w:type="dxa"/>
        <w:tblInd w:w="250" w:type="dxa"/>
        <w:tblLayout w:type="autofit"/>
        <w:tblCellMar>
          <w:top w:w="0" w:type="dxa"/>
          <w:left w:w="108" w:type="dxa"/>
          <w:bottom w:w="0" w:type="dxa"/>
          <w:right w:w="108" w:type="dxa"/>
        </w:tblCellMar>
      </w:tblPr>
      <w:tblGrid>
        <w:gridCol w:w="3119"/>
        <w:gridCol w:w="1984"/>
        <w:gridCol w:w="851"/>
        <w:gridCol w:w="4252"/>
      </w:tblGrid>
      <w:tr w14:paraId="7203B0B6">
        <w:tblPrEx>
          <w:tblCellMar>
            <w:top w:w="0" w:type="dxa"/>
            <w:left w:w="108" w:type="dxa"/>
            <w:bottom w:w="0" w:type="dxa"/>
            <w:right w:w="108" w:type="dxa"/>
          </w:tblCellMar>
        </w:tblPrEx>
        <w:trPr>
          <w:trHeight w:val="315" w:hRule="atLeast"/>
        </w:trPr>
        <w:tc>
          <w:tcPr>
            <w:tcW w:w="10206" w:type="dxa"/>
            <w:gridSpan w:val="4"/>
            <w:tcBorders>
              <w:top w:val="single" w:color="auto" w:sz="4" w:space="0"/>
              <w:left w:val="single" w:color="auto" w:sz="4" w:space="0"/>
              <w:bottom w:val="single" w:color="auto" w:sz="4" w:space="0"/>
              <w:right w:val="single" w:color="auto" w:sz="4" w:space="0"/>
            </w:tcBorders>
            <w:shd w:val="clear" w:color="auto" w:fill="auto"/>
            <w:vAlign w:val="center"/>
          </w:tcPr>
          <w:p w14:paraId="6478312E">
            <w:pPr>
              <w:jc w:val="center"/>
              <w:rPr>
                <w:rFonts w:ascii="宋体" w:hAnsi="宋体" w:cs="宋体"/>
                <w:b/>
                <w:color w:val="FF0000"/>
                <w:kern w:val="0"/>
                <w:sz w:val="18"/>
                <w:szCs w:val="18"/>
              </w:rPr>
            </w:pPr>
            <w:r>
              <w:rPr>
                <w:rFonts w:hint="eastAsia" w:ascii="宋体" w:hAnsi="宋体" w:cs="宋体"/>
                <w:b/>
                <w:color w:val="FF0000"/>
                <w:kern w:val="0"/>
                <w:sz w:val="18"/>
                <w:szCs w:val="18"/>
              </w:rPr>
              <w:t>系统设备硬件、软件：（75分），月考核部分</w:t>
            </w:r>
          </w:p>
        </w:tc>
      </w:tr>
      <w:tr w14:paraId="6B8472CB">
        <w:tblPrEx>
          <w:tblCellMar>
            <w:top w:w="0" w:type="dxa"/>
            <w:left w:w="108" w:type="dxa"/>
            <w:bottom w:w="0" w:type="dxa"/>
            <w:right w:w="108" w:type="dxa"/>
          </w:tblCellMar>
        </w:tblPrEx>
        <w:trPr>
          <w:trHeight w:val="315" w:hRule="atLeast"/>
        </w:trPr>
        <w:tc>
          <w:tcPr>
            <w:tcW w:w="3119" w:type="dxa"/>
            <w:tcBorders>
              <w:top w:val="single" w:color="auto" w:sz="4" w:space="0"/>
              <w:left w:val="single" w:color="auto" w:sz="4" w:space="0"/>
              <w:bottom w:val="single" w:color="auto" w:sz="4" w:space="0"/>
              <w:right w:val="single" w:color="auto" w:sz="4" w:space="0"/>
            </w:tcBorders>
            <w:shd w:val="clear" w:color="auto" w:fill="auto"/>
            <w:vAlign w:val="center"/>
          </w:tcPr>
          <w:p w14:paraId="129F3D37">
            <w:pPr>
              <w:rPr>
                <w:rFonts w:ascii="宋体" w:hAnsi="宋体" w:cs="宋体"/>
                <w:b/>
                <w:color w:val="FF0000"/>
                <w:kern w:val="0"/>
                <w:sz w:val="18"/>
                <w:szCs w:val="18"/>
              </w:rPr>
            </w:pPr>
            <w:r>
              <w:rPr>
                <w:rFonts w:hint="eastAsia" w:ascii="宋体" w:hAnsi="宋体" w:cs="宋体"/>
                <w:b/>
                <w:color w:val="FF0000"/>
                <w:kern w:val="0"/>
                <w:sz w:val="18"/>
                <w:szCs w:val="18"/>
              </w:rPr>
              <w:t>考核项</w:t>
            </w:r>
          </w:p>
        </w:tc>
        <w:tc>
          <w:tcPr>
            <w:tcW w:w="1984" w:type="dxa"/>
            <w:tcBorders>
              <w:top w:val="single" w:color="auto" w:sz="4" w:space="0"/>
              <w:left w:val="nil"/>
              <w:bottom w:val="single" w:color="auto" w:sz="4" w:space="0"/>
              <w:right w:val="single" w:color="auto" w:sz="4" w:space="0"/>
            </w:tcBorders>
            <w:shd w:val="clear" w:color="auto" w:fill="auto"/>
            <w:vAlign w:val="center"/>
          </w:tcPr>
          <w:p w14:paraId="01FC2DA4">
            <w:pPr>
              <w:rPr>
                <w:rFonts w:ascii="宋体" w:hAnsi="宋体" w:cs="宋体"/>
                <w:b/>
                <w:color w:val="FF0000"/>
                <w:kern w:val="0"/>
                <w:sz w:val="18"/>
                <w:szCs w:val="18"/>
              </w:rPr>
            </w:pPr>
            <w:r>
              <w:rPr>
                <w:rFonts w:hint="eastAsia" w:ascii="宋体" w:hAnsi="宋体" w:cs="宋体"/>
                <w:b/>
                <w:color w:val="FF0000"/>
                <w:kern w:val="0"/>
                <w:sz w:val="18"/>
                <w:szCs w:val="18"/>
              </w:rPr>
              <w:t>考核指标</w:t>
            </w:r>
          </w:p>
        </w:tc>
        <w:tc>
          <w:tcPr>
            <w:tcW w:w="851" w:type="dxa"/>
            <w:tcBorders>
              <w:top w:val="single" w:color="auto" w:sz="4" w:space="0"/>
              <w:left w:val="nil"/>
              <w:bottom w:val="single" w:color="auto" w:sz="4" w:space="0"/>
              <w:right w:val="single" w:color="auto" w:sz="4" w:space="0"/>
            </w:tcBorders>
            <w:shd w:val="clear" w:color="auto" w:fill="auto"/>
            <w:vAlign w:val="center"/>
          </w:tcPr>
          <w:p w14:paraId="426FAB12">
            <w:pPr>
              <w:rPr>
                <w:rFonts w:ascii="宋体" w:hAnsi="宋体" w:cs="宋体"/>
                <w:b/>
                <w:color w:val="FF0000"/>
                <w:kern w:val="0"/>
                <w:sz w:val="18"/>
                <w:szCs w:val="18"/>
              </w:rPr>
            </w:pPr>
            <w:r>
              <w:rPr>
                <w:rFonts w:hint="eastAsia" w:ascii="宋体" w:hAnsi="宋体" w:cs="宋体"/>
                <w:b/>
                <w:color w:val="FF0000"/>
                <w:kern w:val="0"/>
                <w:sz w:val="18"/>
                <w:szCs w:val="18"/>
              </w:rPr>
              <w:t>分值</w:t>
            </w:r>
          </w:p>
        </w:tc>
        <w:tc>
          <w:tcPr>
            <w:tcW w:w="4252" w:type="dxa"/>
            <w:tcBorders>
              <w:top w:val="single" w:color="auto" w:sz="4" w:space="0"/>
              <w:left w:val="single" w:color="auto" w:sz="4" w:space="0"/>
              <w:bottom w:val="single" w:color="auto" w:sz="4" w:space="0"/>
              <w:right w:val="single" w:color="auto" w:sz="4" w:space="0"/>
            </w:tcBorders>
            <w:shd w:val="clear" w:color="auto" w:fill="auto"/>
            <w:vAlign w:val="center"/>
          </w:tcPr>
          <w:p w14:paraId="510297C0">
            <w:pPr>
              <w:rPr>
                <w:rFonts w:ascii="宋体" w:hAnsi="宋体" w:cs="宋体"/>
                <w:b/>
                <w:color w:val="FF0000"/>
                <w:kern w:val="0"/>
                <w:sz w:val="18"/>
                <w:szCs w:val="18"/>
              </w:rPr>
            </w:pPr>
            <w:r>
              <w:rPr>
                <w:rFonts w:hint="eastAsia" w:ascii="宋体" w:hAnsi="宋体" w:cs="宋体"/>
                <w:b/>
                <w:color w:val="FF0000"/>
                <w:kern w:val="0"/>
                <w:sz w:val="18"/>
                <w:szCs w:val="18"/>
              </w:rPr>
              <w:t>备注</w:t>
            </w:r>
          </w:p>
        </w:tc>
      </w:tr>
      <w:tr w14:paraId="77B7C8EE">
        <w:tblPrEx>
          <w:tblCellMar>
            <w:top w:w="0" w:type="dxa"/>
            <w:left w:w="108" w:type="dxa"/>
            <w:bottom w:w="0" w:type="dxa"/>
            <w:right w:w="108" w:type="dxa"/>
          </w:tblCellMar>
        </w:tblPrEx>
        <w:trPr>
          <w:trHeight w:val="315" w:hRule="atLeast"/>
        </w:trPr>
        <w:tc>
          <w:tcPr>
            <w:tcW w:w="3119"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5334D1FA">
            <w:pPr>
              <w:rPr>
                <w:rFonts w:ascii="宋体" w:hAnsi="宋体" w:cs="宋体"/>
                <w:color w:val="FF0000"/>
                <w:kern w:val="0"/>
                <w:sz w:val="18"/>
                <w:szCs w:val="18"/>
              </w:rPr>
            </w:pPr>
            <w:r>
              <w:rPr>
                <w:rFonts w:hint="eastAsia" w:ascii="宋体" w:hAnsi="宋体" w:cs="宋体"/>
                <w:color w:val="FF0000"/>
                <w:kern w:val="0"/>
                <w:sz w:val="18"/>
                <w:szCs w:val="18"/>
              </w:rPr>
              <w:t>前端摄像机在线率（20分）</w:t>
            </w:r>
          </w:p>
        </w:tc>
        <w:tc>
          <w:tcPr>
            <w:tcW w:w="1984" w:type="dxa"/>
            <w:tcBorders>
              <w:top w:val="single" w:color="auto" w:sz="4" w:space="0"/>
              <w:left w:val="nil"/>
              <w:bottom w:val="single" w:color="auto" w:sz="4" w:space="0"/>
              <w:right w:val="single" w:color="auto" w:sz="4" w:space="0"/>
            </w:tcBorders>
            <w:shd w:val="clear" w:color="auto" w:fill="auto"/>
            <w:vAlign w:val="center"/>
          </w:tcPr>
          <w:p w14:paraId="2C6843F4">
            <w:pPr>
              <w:rPr>
                <w:rFonts w:ascii="宋体" w:hAnsi="宋体" w:cs="宋体"/>
                <w:color w:val="FF0000"/>
                <w:kern w:val="0"/>
                <w:sz w:val="18"/>
                <w:szCs w:val="18"/>
              </w:rPr>
            </w:pPr>
            <w:r>
              <w:rPr>
                <w:rFonts w:hint="eastAsia" w:ascii="宋体" w:hAnsi="宋体" w:cs="宋体"/>
                <w:color w:val="FF0000"/>
                <w:kern w:val="0"/>
                <w:sz w:val="18"/>
                <w:szCs w:val="18"/>
              </w:rPr>
              <w:t>在线率≥95%</w:t>
            </w:r>
          </w:p>
        </w:tc>
        <w:tc>
          <w:tcPr>
            <w:tcW w:w="851" w:type="dxa"/>
            <w:tcBorders>
              <w:top w:val="single" w:color="auto" w:sz="4" w:space="0"/>
              <w:left w:val="nil"/>
              <w:bottom w:val="single" w:color="auto" w:sz="4" w:space="0"/>
              <w:right w:val="single" w:color="auto" w:sz="4" w:space="0"/>
            </w:tcBorders>
            <w:shd w:val="clear" w:color="auto" w:fill="auto"/>
            <w:vAlign w:val="center"/>
          </w:tcPr>
          <w:p w14:paraId="3703C334">
            <w:pPr>
              <w:rPr>
                <w:rFonts w:ascii="宋体" w:hAnsi="宋体" w:cs="宋体"/>
                <w:color w:val="FF0000"/>
                <w:kern w:val="0"/>
                <w:sz w:val="18"/>
                <w:szCs w:val="18"/>
              </w:rPr>
            </w:pPr>
            <w:r>
              <w:rPr>
                <w:rFonts w:hint="eastAsia" w:ascii="宋体" w:hAnsi="宋体" w:cs="宋体"/>
                <w:color w:val="FF0000"/>
                <w:kern w:val="0"/>
                <w:sz w:val="18"/>
                <w:szCs w:val="18"/>
              </w:rPr>
              <w:t>20</w:t>
            </w:r>
          </w:p>
        </w:tc>
        <w:tc>
          <w:tcPr>
            <w:tcW w:w="4252"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6647A62">
            <w:pPr>
              <w:rPr>
                <w:rFonts w:ascii="宋体" w:hAnsi="宋体" w:cs="宋体"/>
                <w:color w:val="FF0000"/>
                <w:kern w:val="0"/>
                <w:sz w:val="18"/>
                <w:szCs w:val="18"/>
              </w:rPr>
            </w:pPr>
            <w:r>
              <w:rPr>
                <w:rFonts w:hint="eastAsia" w:ascii="宋体" w:hAnsi="宋体" w:cs="宋体"/>
                <w:color w:val="FF0000"/>
                <w:kern w:val="0"/>
                <w:sz w:val="18"/>
                <w:szCs w:val="18"/>
              </w:rPr>
              <w:t>延建或拆除点位不在考核范围内</w:t>
            </w:r>
          </w:p>
        </w:tc>
      </w:tr>
      <w:tr w14:paraId="3828DAEE">
        <w:tblPrEx>
          <w:tblCellMar>
            <w:top w:w="0" w:type="dxa"/>
            <w:left w:w="108" w:type="dxa"/>
            <w:bottom w:w="0" w:type="dxa"/>
            <w:right w:w="108" w:type="dxa"/>
          </w:tblCellMar>
        </w:tblPrEx>
        <w:trPr>
          <w:trHeight w:val="315" w:hRule="atLeast"/>
        </w:trPr>
        <w:tc>
          <w:tcPr>
            <w:tcW w:w="3119" w:type="dxa"/>
            <w:vMerge w:val="continue"/>
            <w:tcBorders>
              <w:top w:val="single" w:color="auto" w:sz="4" w:space="0"/>
              <w:left w:val="single" w:color="auto" w:sz="4" w:space="0"/>
              <w:bottom w:val="single" w:color="auto" w:sz="4" w:space="0"/>
              <w:right w:val="single" w:color="auto" w:sz="4" w:space="0"/>
            </w:tcBorders>
            <w:vAlign w:val="center"/>
          </w:tcPr>
          <w:p w14:paraId="60A44FAA">
            <w:pPr>
              <w:jc w:val="left"/>
              <w:rPr>
                <w:rFonts w:ascii="宋体" w:hAnsi="宋体" w:cs="宋体"/>
                <w:color w:val="FF0000"/>
                <w:kern w:val="0"/>
                <w:sz w:val="18"/>
                <w:szCs w:val="18"/>
              </w:rPr>
            </w:pPr>
          </w:p>
        </w:tc>
        <w:tc>
          <w:tcPr>
            <w:tcW w:w="1984" w:type="dxa"/>
            <w:tcBorders>
              <w:top w:val="single" w:color="auto" w:sz="4" w:space="0"/>
              <w:left w:val="nil"/>
              <w:bottom w:val="single" w:color="auto" w:sz="4" w:space="0"/>
              <w:right w:val="single" w:color="auto" w:sz="4" w:space="0"/>
            </w:tcBorders>
            <w:shd w:val="clear" w:color="auto" w:fill="auto"/>
            <w:vAlign w:val="center"/>
          </w:tcPr>
          <w:p w14:paraId="1A911AAE">
            <w:pPr>
              <w:rPr>
                <w:rFonts w:ascii="宋体" w:hAnsi="宋体" w:cs="宋体"/>
                <w:color w:val="FF0000"/>
                <w:kern w:val="0"/>
                <w:sz w:val="18"/>
                <w:szCs w:val="18"/>
              </w:rPr>
            </w:pPr>
            <w:r>
              <w:rPr>
                <w:rFonts w:hint="eastAsia" w:ascii="宋体" w:hAnsi="宋体" w:cs="宋体"/>
                <w:color w:val="FF0000"/>
                <w:kern w:val="0"/>
                <w:sz w:val="18"/>
                <w:szCs w:val="18"/>
              </w:rPr>
              <w:t>90≤在线率＜95%</w:t>
            </w:r>
          </w:p>
        </w:tc>
        <w:tc>
          <w:tcPr>
            <w:tcW w:w="851" w:type="dxa"/>
            <w:tcBorders>
              <w:top w:val="single" w:color="auto" w:sz="4" w:space="0"/>
              <w:left w:val="nil"/>
              <w:bottom w:val="single" w:color="auto" w:sz="4" w:space="0"/>
              <w:right w:val="single" w:color="auto" w:sz="4" w:space="0"/>
            </w:tcBorders>
            <w:shd w:val="clear" w:color="auto" w:fill="auto"/>
            <w:vAlign w:val="center"/>
          </w:tcPr>
          <w:p w14:paraId="4BB94A98">
            <w:pPr>
              <w:rPr>
                <w:rFonts w:ascii="宋体" w:hAnsi="宋体" w:cs="宋体"/>
                <w:color w:val="FF0000"/>
                <w:kern w:val="0"/>
                <w:sz w:val="18"/>
                <w:szCs w:val="18"/>
              </w:rPr>
            </w:pPr>
            <w:r>
              <w:rPr>
                <w:rFonts w:hint="eastAsia" w:ascii="宋体" w:hAnsi="宋体" w:cs="宋体"/>
                <w:color w:val="FF0000"/>
                <w:kern w:val="0"/>
                <w:sz w:val="18"/>
                <w:szCs w:val="18"/>
              </w:rPr>
              <w:t>15</w:t>
            </w:r>
          </w:p>
        </w:tc>
        <w:tc>
          <w:tcPr>
            <w:tcW w:w="4252" w:type="dxa"/>
            <w:vMerge w:val="continue"/>
            <w:tcBorders>
              <w:top w:val="single" w:color="auto" w:sz="4" w:space="0"/>
              <w:left w:val="single" w:color="auto" w:sz="4" w:space="0"/>
              <w:bottom w:val="single" w:color="auto" w:sz="4" w:space="0"/>
              <w:right w:val="single" w:color="auto" w:sz="4" w:space="0"/>
            </w:tcBorders>
            <w:vAlign w:val="center"/>
          </w:tcPr>
          <w:p w14:paraId="1E6F8AB4">
            <w:pPr>
              <w:jc w:val="left"/>
              <w:rPr>
                <w:rFonts w:ascii="宋体" w:hAnsi="宋体" w:cs="宋体"/>
                <w:color w:val="FF0000"/>
                <w:kern w:val="0"/>
                <w:sz w:val="18"/>
                <w:szCs w:val="18"/>
              </w:rPr>
            </w:pPr>
          </w:p>
        </w:tc>
      </w:tr>
      <w:tr w14:paraId="54429477">
        <w:trPr>
          <w:trHeight w:val="315" w:hRule="atLeast"/>
        </w:trPr>
        <w:tc>
          <w:tcPr>
            <w:tcW w:w="3119" w:type="dxa"/>
            <w:vMerge w:val="continue"/>
            <w:tcBorders>
              <w:top w:val="single" w:color="auto" w:sz="4" w:space="0"/>
              <w:left w:val="single" w:color="auto" w:sz="4" w:space="0"/>
              <w:bottom w:val="single" w:color="auto" w:sz="4" w:space="0"/>
              <w:right w:val="single" w:color="auto" w:sz="4" w:space="0"/>
            </w:tcBorders>
            <w:vAlign w:val="center"/>
          </w:tcPr>
          <w:p w14:paraId="1263B780">
            <w:pPr>
              <w:jc w:val="left"/>
              <w:rPr>
                <w:rFonts w:ascii="宋体" w:hAnsi="宋体" w:cs="宋体"/>
                <w:color w:val="FF0000"/>
                <w:kern w:val="0"/>
                <w:sz w:val="18"/>
                <w:szCs w:val="18"/>
              </w:rPr>
            </w:pPr>
          </w:p>
        </w:tc>
        <w:tc>
          <w:tcPr>
            <w:tcW w:w="1984" w:type="dxa"/>
            <w:tcBorders>
              <w:top w:val="single" w:color="auto" w:sz="4" w:space="0"/>
              <w:left w:val="nil"/>
              <w:bottom w:val="single" w:color="auto" w:sz="4" w:space="0"/>
              <w:right w:val="single" w:color="auto" w:sz="4" w:space="0"/>
            </w:tcBorders>
            <w:shd w:val="clear" w:color="auto" w:fill="auto"/>
            <w:vAlign w:val="center"/>
          </w:tcPr>
          <w:p w14:paraId="16837794">
            <w:pPr>
              <w:rPr>
                <w:rFonts w:ascii="宋体" w:hAnsi="宋体" w:cs="宋体"/>
                <w:color w:val="FF0000"/>
                <w:kern w:val="0"/>
                <w:sz w:val="18"/>
                <w:szCs w:val="18"/>
              </w:rPr>
            </w:pPr>
            <w:r>
              <w:rPr>
                <w:rFonts w:hint="eastAsia" w:ascii="宋体" w:hAnsi="宋体" w:cs="宋体"/>
                <w:color w:val="FF0000"/>
                <w:kern w:val="0"/>
                <w:sz w:val="18"/>
                <w:szCs w:val="18"/>
              </w:rPr>
              <w:t>80≤在线率＜90%</w:t>
            </w:r>
          </w:p>
        </w:tc>
        <w:tc>
          <w:tcPr>
            <w:tcW w:w="851" w:type="dxa"/>
            <w:tcBorders>
              <w:top w:val="single" w:color="auto" w:sz="4" w:space="0"/>
              <w:left w:val="nil"/>
              <w:bottom w:val="single" w:color="auto" w:sz="4" w:space="0"/>
              <w:right w:val="single" w:color="auto" w:sz="4" w:space="0"/>
            </w:tcBorders>
            <w:shd w:val="clear" w:color="auto" w:fill="auto"/>
            <w:vAlign w:val="center"/>
          </w:tcPr>
          <w:p w14:paraId="4C8F2695">
            <w:pPr>
              <w:rPr>
                <w:rFonts w:ascii="宋体" w:hAnsi="宋体" w:cs="宋体"/>
                <w:color w:val="FF0000"/>
                <w:kern w:val="0"/>
                <w:sz w:val="18"/>
                <w:szCs w:val="18"/>
              </w:rPr>
            </w:pPr>
            <w:r>
              <w:rPr>
                <w:rFonts w:hint="eastAsia" w:ascii="宋体" w:hAnsi="宋体" w:cs="宋体"/>
                <w:color w:val="FF0000"/>
                <w:kern w:val="0"/>
                <w:sz w:val="18"/>
                <w:szCs w:val="18"/>
              </w:rPr>
              <w:t>10</w:t>
            </w:r>
          </w:p>
        </w:tc>
        <w:tc>
          <w:tcPr>
            <w:tcW w:w="4252" w:type="dxa"/>
            <w:vMerge w:val="continue"/>
            <w:tcBorders>
              <w:top w:val="single" w:color="auto" w:sz="4" w:space="0"/>
              <w:left w:val="single" w:color="auto" w:sz="4" w:space="0"/>
              <w:bottom w:val="single" w:color="auto" w:sz="4" w:space="0"/>
              <w:right w:val="single" w:color="auto" w:sz="4" w:space="0"/>
            </w:tcBorders>
            <w:vAlign w:val="center"/>
          </w:tcPr>
          <w:p w14:paraId="2AC7F65A">
            <w:pPr>
              <w:jc w:val="left"/>
              <w:rPr>
                <w:rFonts w:ascii="宋体" w:hAnsi="宋体" w:cs="宋体"/>
                <w:color w:val="FF0000"/>
                <w:kern w:val="0"/>
                <w:sz w:val="18"/>
                <w:szCs w:val="18"/>
              </w:rPr>
            </w:pPr>
          </w:p>
        </w:tc>
      </w:tr>
      <w:tr w14:paraId="4ED7D7E1">
        <w:tblPrEx>
          <w:tblCellMar>
            <w:top w:w="0" w:type="dxa"/>
            <w:left w:w="108" w:type="dxa"/>
            <w:bottom w:w="0" w:type="dxa"/>
            <w:right w:w="108" w:type="dxa"/>
          </w:tblCellMar>
        </w:tblPrEx>
        <w:trPr>
          <w:trHeight w:val="315" w:hRule="atLeast"/>
        </w:trPr>
        <w:tc>
          <w:tcPr>
            <w:tcW w:w="3119" w:type="dxa"/>
            <w:vMerge w:val="continue"/>
            <w:tcBorders>
              <w:top w:val="single" w:color="auto" w:sz="4" w:space="0"/>
              <w:left w:val="single" w:color="auto" w:sz="4" w:space="0"/>
              <w:bottom w:val="single" w:color="auto" w:sz="4" w:space="0"/>
              <w:right w:val="single" w:color="auto" w:sz="4" w:space="0"/>
            </w:tcBorders>
            <w:vAlign w:val="center"/>
          </w:tcPr>
          <w:p w14:paraId="194674CC">
            <w:pPr>
              <w:jc w:val="left"/>
              <w:rPr>
                <w:rFonts w:ascii="宋体" w:hAnsi="宋体" w:cs="宋体"/>
                <w:color w:val="FF0000"/>
                <w:kern w:val="0"/>
                <w:sz w:val="18"/>
                <w:szCs w:val="18"/>
              </w:rPr>
            </w:pPr>
          </w:p>
        </w:tc>
        <w:tc>
          <w:tcPr>
            <w:tcW w:w="1984" w:type="dxa"/>
            <w:tcBorders>
              <w:top w:val="single" w:color="auto" w:sz="4" w:space="0"/>
              <w:left w:val="nil"/>
              <w:bottom w:val="single" w:color="auto" w:sz="4" w:space="0"/>
              <w:right w:val="single" w:color="auto" w:sz="4" w:space="0"/>
            </w:tcBorders>
            <w:shd w:val="clear" w:color="auto" w:fill="auto"/>
            <w:vAlign w:val="center"/>
          </w:tcPr>
          <w:p w14:paraId="3EFB683D">
            <w:pPr>
              <w:rPr>
                <w:rFonts w:ascii="宋体" w:hAnsi="宋体" w:cs="宋体"/>
                <w:color w:val="FF0000"/>
                <w:kern w:val="0"/>
                <w:sz w:val="18"/>
                <w:szCs w:val="18"/>
              </w:rPr>
            </w:pPr>
            <w:r>
              <w:rPr>
                <w:rFonts w:hint="eastAsia" w:ascii="宋体" w:hAnsi="宋体" w:cs="宋体"/>
                <w:color w:val="FF0000"/>
                <w:kern w:val="0"/>
                <w:sz w:val="18"/>
                <w:szCs w:val="18"/>
              </w:rPr>
              <w:t>在线率＜80%</w:t>
            </w:r>
          </w:p>
        </w:tc>
        <w:tc>
          <w:tcPr>
            <w:tcW w:w="851" w:type="dxa"/>
            <w:tcBorders>
              <w:top w:val="single" w:color="auto" w:sz="4" w:space="0"/>
              <w:left w:val="nil"/>
              <w:bottom w:val="single" w:color="auto" w:sz="4" w:space="0"/>
              <w:right w:val="single" w:color="auto" w:sz="4" w:space="0"/>
            </w:tcBorders>
            <w:shd w:val="clear" w:color="auto" w:fill="auto"/>
            <w:vAlign w:val="center"/>
          </w:tcPr>
          <w:p w14:paraId="4DDAB37E">
            <w:pPr>
              <w:rPr>
                <w:rFonts w:ascii="宋体" w:hAnsi="宋体" w:cs="宋体"/>
                <w:color w:val="FF0000"/>
                <w:kern w:val="0"/>
                <w:sz w:val="18"/>
                <w:szCs w:val="18"/>
              </w:rPr>
            </w:pPr>
            <w:r>
              <w:rPr>
                <w:rFonts w:hint="eastAsia" w:ascii="宋体" w:hAnsi="宋体" w:cs="宋体"/>
                <w:color w:val="FF0000"/>
                <w:kern w:val="0"/>
                <w:sz w:val="18"/>
                <w:szCs w:val="18"/>
              </w:rPr>
              <w:t>0</w:t>
            </w:r>
          </w:p>
        </w:tc>
        <w:tc>
          <w:tcPr>
            <w:tcW w:w="4252" w:type="dxa"/>
            <w:vMerge w:val="continue"/>
            <w:tcBorders>
              <w:top w:val="single" w:color="auto" w:sz="4" w:space="0"/>
              <w:left w:val="single" w:color="auto" w:sz="4" w:space="0"/>
              <w:bottom w:val="single" w:color="auto" w:sz="4" w:space="0"/>
              <w:right w:val="single" w:color="auto" w:sz="4" w:space="0"/>
            </w:tcBorders>
            <w:vAlign w:val="center"/>
          </w:tcPr>
          <w:p w14:paraId="5A24BF9D">
            <w:pPr>
              <w:jc w:val="left"/>
              <w:rPr>
                <w:rFonts w:ascii="宋体" w:hAnsi="宋体" w:cs="宋体"/>
                <w:color w:val="FF0000"/>
                <w:kern w:val="0"/>
                <w:sz w:val="18"/>
                <w:szCs w:val="18"/>
              </w:rPr>
            </w:pPr>
          </w:p>
        </w:tc>
      </w:tr>
      <w:tr w14:paraId="53DC9366">
        <w:tblPrEx>
          <w:tblCellMar>
            <w:top w:w="0" w:type="dxa"/>
            <w:left w:w="108" w:type="dxa"/>
            <w:bottom w:w="0" w:type="dxa"/>
            <w:right w:w="108" w:type="dxa"/>
          </w:tblCellMar>
        </w:tblPrEx>
        <w:trPr>
          <w:trHeight w:val="315" w:hRule="atLeast"/>
        </w:trPr>
        <w:tc>
          <w:tcPr>
            <w:tcW w:w="3119"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981B784">
            <w:pPr>
              <w:rPr>
                <w:rFonts w:ascii="宋体" w:hAnsi="宋体" w:cs="宋体"/>
                <w:color w:val="FF0000"/>
                <w:kern w:val="0"/>
                <w:sz w:val="18"/>
                <w:szCs w:val="18"/>
              </w:rPr>
            </w:pPr>
            <w:r>
              <w:rPr>
                <w:rFonts w:hint="eastAsia" w:ascii="宋体" w:hAnsi="宋体" w:cs="宋体"/>
                <w:color w:val="FF0000"/>
                <w:kern w:val="0"/>
                <w:sz w:val="18"/>
                <w:szCs w:val="18"/>
              </w:rPr>
              <w:t>前端摄像机故障及时更换率（10分）</w:t>
            </w:r>
          </w:p>
        </w:tc>
        <w:tc>
          <w:tcPr>
            <w:tcW w:w="1984" w:type="dxa"/>
            <w:tcBorders>
              <w:top w:val="single" w:color="auto" w:sz="4" w:space="0"/>
              <w:left w:val="nil"/>
              <w:bottom w:val="single" w:color="auto" w:sz="4" w:space="0"/>
              <w:right w:val="single" w:color="auto" w:sz="4" w:space="0"/>
            </w:tcBorders>
            <w:shd w:val="clear" w:color="auto" w:fill="auto"/>
            <w:vAlign w:val="center"/>
          </w:tcPr>
          <w:p w14:paraId="106A288F">
            <w:pPr>
              <w:rPr>
                <w:rFonts w:ascii="宋体" w:hAnsi="宋体" w:cs="宋体"/>
                <w:color w:val="FF0000"/>
                <w:kern w:val="0"/>
                <w:sz w:val="18"/>
                <w:szCs w:val="18"/>
              </w:rPr>
            </w:pPr>
            <w:r>
              <w:rPr>
                <w:rFonts w:hint="eastAsia" w:ascii="宋体" w:hAnsi="宋体" w:cs="宋体"/>
                <w:color w:val="FF0000"/>
                <w:kern w:val="0"/>
                <w:sz w:val="18"/>
                <w:szCs w:val="18"/>
              </w:rPr>
              <w:t>更换率≥95%</w:t>
            </w:r>
          </w:p>
        </w:tc>
        <w:tc>
          <w:tcPr>
            <w:tcW w:w="851" w:type="dxa"/>
            <w:tcBorders>
              <w:top w:val="single" w:color="auto" w:sz="4" w:space="0"/>
              <w:left w:val="nil"/>
              <w:bottom w:val="single" w:color="auto" w:sz="4" w:space="0"/>
              <w:right w:val="single" w:color="auto" w:sz="4" w:space="0"/>
            </w:tcBorders>
            <w:shd w:val="clear" w:color="auto" w:fill="auto"/>
            <w:vAlign w:val="center"/>
          </w:tcPr>
          <w:p w14:paraId="53A2B51D">
            <w:pPr>
              <w:rPr>
                <w:rFonts w:ascii="宋体" w:hAnsi="宋体" w:cs="宋体"/>
                <w:color w:val="FF0000"/>
                <w:kern w:val="0"/>
                <w:sz w:val="18"/>
                <w:szCs w:val="18"/>
              </w:rPr>
            </w:pPr>
            <w:r>
              <w:rPr>
                <w:rFonts w:hint="eastAsia" w:ascii="宋体" w:hAnsi="宋体" w:cs="宋体"/>
                <w:color w:val="FF0000"/>
                <w:kern w:val="0"/>
                <w:sz w:val="18"/>
                <w:szCs w:val="18"/>
              </w:rPr>
              <w:t>10</w:t>
            </w:r>
          </w:p>
        </w:tc>
        <w:tc>
          <w:tcPr>
            <w:tcW w:w="4252"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40AF819">
            <w:pPr>
              <w:rPr>
                <w:rFonts w:ascii="宋体" w:hAnsi="宋体" w:cs="宋体"/>
                <w:color w:val="FF0000"/>
                <w:kern w:val="0"/>
                <w:sz w:val="18"/>
                <w:szCs w:val="18"/>
              </w:rPr>
            </w:pPr>
            <w:r>
              <w:rPr>
                <w:rFonts w:hint="eastAsia" w:ascii="宋体" w:hAnsi="宋体" w:cs="宋体"/>
                <w:color w:val="FF0000"/>
                <w:kern w:val="0"/>
                <w:sz w:val="18"/>
                <w:szCs w:val="18"/>
              </w:rPr>
              <w:t>更换率＝摄像头按时及时更换次数÷故障申告次数*100%</w:t>
            </w:r>
          </w:p>
        </w:tc>
      </w:tr>
      <w:tr w14:paraId="519E21DA">
        <w:tblPrEx>
          <w:tblCellMar>
            <w:top w:w="0" w:type="dxa"/>
            <w:left w:w="108" w:type="dxa"/>
            <w:bottom w:w="0" w:type="dxa"/>
            <w:right w:w="108" w:type="dxa"/>
          </w:tblCellMar>
        </w:tblPrEx>
        <w:trPr>
          <w:trHeight w:val="315" w:hRule="atLeast"/>
        </w:trPr>
        <w:tc>
          <w:tcPr>
            <w:tcW w:w="3119" w:type="dxa"/>
            <w:vMerge w:val="continue"/>
            <w:tcBorders>
              <w:top w:val="nil"/>
              <w:left w:val="single" w:color="auto" w:sz="4" w:space="0"/>
              <w:bottom w:val="single" w:color="auto" w:sz="4" w:space="0"/>
              <w:right w:val="single" w:color="auto" w:sz="4" w:space="0"/>
            </w:tcBorders>
            <w:vAlign w:val="center"/>
          </w:tcPr>
          <w:p w14:paraId="500F925C">
            <w:pPr>
              <w:jc w:val="left"/>
              <w:rPr>
                <w:rFonts w:ascii="宋体" w:hAnsi="宋体" w:cs="宋体"/>
                <w:color w:val="FF0000"/>
                <w:kern w:val="0"/>
                <w:sz w:val="18"/>
                <w:szCs w:val="18"/>
              </w:rPr>
            </w:pPr>
          </w:p>
        </w:tc>
        <w:tc>
          <w:tcPr>
            <w:tcW w:w="1984" w:type="dxa"/>
            <w:tcBorders>
              <w:top w:val="nil"/>
              <w:left w:val="nil"/>
              <w:bottom w:val="single" w:color="auto" w:sz="4" w:space="0"/>
              <w:right w:val="single" w:color="auto" w:sz="4" w:space="0"/>
            </w:tcBorders>
            <w:shd w:val="clear" w:color="auto" w:fill="auto"/>
            <w:vAlign w:val="center"/>
          </w:tcPr>
          <w:p w14:paraId="006EB941">
            <w:pPr>
              <w:rPr>
                <w:rFonts w:ascii="宋体" w:hAnsi="宋体" w:cs="宋体"/>
                <w:color w:val="FF0000"/>
                <w:kern w:val="0"/>
                <w:sz w:val="18"/>
                <w:szCs w:val="18"/>
              </w:rPr>
            </w:pPr>
            <w:r>
              <w:rPr>
                <w:rFonts w:hint="eastAsia" w:ascii="宋体" w:hAnsi="宋体" w:cs="宋体"/>
                <w:color w:val="FF0000"/>
                <w:kern w:val="0"/>
                <w:sz w:val="18"/>
                <w:szCs w:val="18"/>
              </w:rPr>
              <w:t>90%≤更换率＜95%</w:t>
            </w:r>
          </w:p>
        </w:tc>
        <w:tc>
          <w:tcPr>
            <w:tcW w:w="851" w:type="dxa"/>
            <w:tcBorders>
              <w:top w:val="nil"/>
              <w:left w:val="nil"/>
              <w:bottom w:val="single" w:color="auto" w:sz="4" w:space="0"/>
              <w:right w:val="single" w:color="auto" w:sz="4" w:space="0"/>
            </w:tcBorders>
            <w:shd w:val="clear" w:color="auto" w:fill="auto"/>
            <w:vAlign w:val="center"/>
          </w:tcPr>
          <w:p w14:paraId="32C5A052">
            <w:pPr>
              <w:rPr>
                <w:rFonts w:ascii="宋体" w:hAnsi="宋体" w:cs="宋体"/>
                <w:color w:val="FF0000"/>
                <w:kern w:val="0"/>
                <w:sz w:val="18"/>
                <w:szCs w:val="18"/>
              </w:rPr>
            </w:pPr>
            <w:r>
              <w:rPr>
                <w:rFonts w:hint="eastAsia" w:ascii="宋体" w:hAnsi="宋体" w:cs="宋体"/>
                <w:color w:val="FF0000"/>
                <w:kern w:val="0"/>
                <w:sz w:val="18"/>
                <w:szCs w:val="18"/>
              </w:rPr>
              <w:t>7</w:t>
            </w:r>
          </w:p>
        </w:tc>
        <w:tc>
          <w:tcPr>
            <w:tcW w:w="4252" w:type="dxa"/>
            <w:vMerge w:val="continue"/>
            <w:tcBorders>
              <w:top w:val="nil"/>
              <w:left w:val="single" w:color="auto" w:sz="4" w:space="0"/>
              <w:bottom w:val="single" w:color="auto" w:sz="4" w:space="0"/>
              <w:right w:val="single" w:color="auto" w:sz="4" w:space="0"/>
            </w:tcBorders>
            <w:vAlign w:val="center"/>
          </w:tcPr>
          <w:p w14:paraId="62A43BFC">
            <w:pPr>
              <w:jc w:val="left"/>
              <w:rPr>
                <w:rFonts w:ascii="宋体" w:hAnsi="宋体" w:cs="宋体"/>
                <w:color w:val="FF0000"/>
                <w:kern w:val="0"/>
                <w:sz w:val="18"/>
                <w:szCs w:val="18"/>
              </w:rPr>
            </w:pPr>
          </w:p>
        </w:tc>
      </w:tr>
      <w:tr w14:paraId="0F3195BF">
        <w:tblPrEx>
          <w:tblCellMar>
            <w:top w:w="0" w:type="dxa"/>
            <w:left w:w="108" w:type="dxa"/>
            <w:bottom w:w="0" w:type="dxa"/>
            <w:right w:w="108" w:type="dxa"/>
          </w:tblCellMar>
        </w:tblPrEx>
        <w:trPr>
          <w:trHeight w:val="315" w:hRule="atLeast"/>
        </w:trPr>
        <w:tc>
          <w:tcPr>
            <w:tcW w:w="3119" w:type="dxa"/>
            <w:vMerge w:val="continue"/>
            <w:tcBorders>
              <w:top w:val="nil"/>
              <w:left w:val="single" w:color="auto" w:sz="4" w:space="0"/>
              <w:bottom w:val="single" w:color="auto" w:sz="4" w:space="0"/>
              <w:right w:val="single" w:color="auto" w:sz="4" w:space="0"/>
            </w:tcBorders>
            <w:vAlign w:val="center"/>
          </w:tcPr>
          <w:p w14:paraId="3A858E8C">
            <w:pPr>
              <w:jc w:val="left"/>
              <w:rPr>
                <w:rFonts w:ascii="宋体" w:hAnsi="宋体" w:cs="宋体"/>
                <w:color w:val="FF0000"/>
                <w:kern w:val="0"/>
                <w:sz w:val="18"/>
                <w:szCs w:val="18"/>
              </w:rPr>
            </w:pPr>
          </w:p>
        </w:tc>
        <w:tc>
          <w:tcPr>
            <w:tcW w:w="1984" w:type="dxa"/>
            <w:tcBorders>
              <w:top w:val="nil"/>
              <w:left w:val="nil"/>
              <w:bottom w:val="single" w:color="auto" w:sz="4" w:space="0"/>
              <w:right w:val="single" w:color="auto" w:sz="4" w:space="0"/>
            </w:tcBorders>
            <w:shd w:val="clear" w:color="auto" w:fill="auto"/>
            <w:vAlign w:val="center"/>
          </w:tcPr>
          <w:p w14:paraId="30BA6F58">
            <w:pPr>
              <w:rPr>
                <w:rFonts w:ascii="宋体" w:hAnsi="宋体" w:cs="宋体"/>
                <w:color w:val="FF0000"/>
                <w:kern w:val="0"/>
                <w:sz w:val="18"/>
                <w:szCs w:val="18"/>
              </w:rPr>
            </w:pPr>
            <w:r>
              <w:rPr>
                <w:rFonts w:hint="eastAsia" w:ascii="宋体" w:hAnsi="宋体" w:cs="宋体"/>
                <w:color w:val="FF0000"/>
                <w:kern w:val="0"/>
                <w:sz w:val="18"/>
                <w:szCs w:val="18"/>
              </w:rPr>
              <w:t xml:space="preserve">80%≤更换率＜90% </w:t>
            </w:r>
          </w:p>
        </w:tc>
        <w:tc>
          <w:tcPr>
            <w:tcW w:w="851" w:type="dxa"/>
            <w:tcBorders>
              <w:top w:val="nil"/>
              <w:left w:val="nil"/>
              <w:bottom w:val="single" w:color="auto" w:sz="4" w:space="0"/>
              <w:right w:val="single" w:color="auto" w:sz="4" w:space="0"/>
            </w:tcBorders>
            <w:shd w:val="clear" w:color="auto" w:fill="auto"/>
            <w:vAlign w:val="center"/>
          </w:tcPr>
          <w:p w14:paraId="7B4E5EAD">
            <w:pPr>
              <w:rPr>
                <w:rFonts w:ascii="宋体" w:hAnsi="宋体" w:cs="宋体"/>
                <w:color w:val="FF0000"/>
                <w:kern w:val="0"/>
                <w:sz w:val="18"/>
                <w:szCs w:val="18"/>
              </w:rPr>
            </w:pPr>
            <w:r>
              <w:rPr>
                <w:rFonts w:hint="eastAsia" w:ascii="宋体" w:hAnsi="宋体" w:cs="宋体"/>
                <w:color w:val="FF0000"/>
                <w:kern w:val="0"/>
                <w:sz w:val="18"/>
                <w:szCs w:val="18"/>
              </w:rPr>
              <w:t>5</w:t>
            </w:r>
          </w:p>
        </w:tc>
        <w:tc>
          <w:tcPr>
            <w:tcW w:w="4252" w:type="dxa"/>
            <w:vMerge w:val="continue"/>
            <w:tcBorders>
              <w:top w:val="nil"/>
              <w:left w:val="single" w:color="auto" w:sz="4" w:space="0"/>
              <w:bottom w:val="single" w:color="auto" w:sz="4" w:space="0"/>
              <w:right w:val="single" w:color="auto" w:sz="4" w:space="0"/>
            </w:tcBorders>
            <w:vAlign w:val="center"/>
          </w:tcPr>
          <w:p w14:paraId="08931FA4">
            <w:pPr>
              <w:jc w:val="left"/>
              <w:rPr>
                <w:rFonts w:ascii="宋体" w:hAnsi="宋体" w:cs="宋体"/>
                <w:color w:val="FF0000"/>
                <w:kern w:val="0"/>
                <w:sz w:val="18"/>
                <w:szCs w:val="18"/>
              </w:rPr>
            </w:pPr>
          </w:p>
        </w:tc>
      </w:tr>
      <w:tr w14:paraId="3FB63B43">
        <w:tblPrEx>
          <w:tblCellMar>
            <w:top w:w="0" w:type="dxa"/>
            <w:left w:w="108" w:type="dxa"/>
            <w:bottom w:w="0" w:type="dxa"/>
            <w:right w:w="108" w:type="dxa"/>
          </w:tblCellMar>
        </w:tblPrEx>
        <w:trPr>
          <w:trHeight w:val="315" w:hRule="atLeast"/>
        </w:trPr>
        <w:tc>
          <w:tcPr>
            <w:tcW w:w="3119" w:type="dxa"/>
            <w:vMerge w:val="continue"/>
            <w:tcBorders>
              <w:top w:val="nil"/>
              <w:left w:val="single" w:color="auto" w:sz="4" w:space="0"/>
              <w:bottom w:val="single" w:color="auto" w:sz="4" w:space="0"/>
              <w:right w:val="single" w:color="auto" w:sz="4" w:space="0"/>
            </w:tcBorders>
            <w:vAlign w:val="center"/>
          </w:tcPr>
          <w:p w14:paraId="7C4A7894">
            <w:pPr>
              <w:jc w:val="left"/>
              <w:rPr>
                <w:rFonts w:ascii="宋体" w:hAnsi="宋体" w:cs="宋体"/>
                <w:color w:val="FF0000"/>
                <w:kern w:val="0"/>
                <w:sz w:val="18"/>
                <w:szCs w:val="18"/>
              </w:rPr>
            </w:pPr>
          </w:p>
        </w:tc>
        <w:tc>
          <w:tcPr>
            <w:tcW w:w="1984" w:type="dxa"/>
            <w:tcBorders>
              <w:top w:val="nil"/>
              <w:left w:val="nil"/>
              <w:bottom w:val="single" w:color="auto" w:sz="4" w:space="0"/>
              <w:right w:val="single" w:color="auto" w:sz="4" w:space="0"/>
            </w:tcBorders>
            <w:shd w:val="clear" w:color="auto" w:fill="auto"/>
            <w:vAlign w:val="center"/>
          </w:tcPr>
          <w:p w14:paraId="5000CECF">
            <w:pPr>
              <w:rPr>
                <w:rFonts w:ascii="宋体" w:hAnsi="宋体" w:cs="宋体"/>
                <w:color w:val="FF0000"/>
                <w:kern w:val="0"/>
                <w:sz w:val="18"/>
                <w:szCs w:val="18"/>
              </w:rPr>
            </w:pPr>
            <w:r>
              <w:rPr>
                <w:rFonts w:hint="eastAsia" w:ascii="宋体" w:hAnsi="宋体" w:cs="宋体"/>
                <w:color w:val="FF0000"/>
                <w:kern w:val="0"/>
                <w:sz w:val="18"/>
                <w:szCs w:val="18"/>
              </w:rPr>
              <w:t xml:space="preserve">更换率＜80% </w:t>
            </w:r>
          </w:p>
        </w:tc>
        <w:tc>
          <w:tcPr>
            <w:tcW w:w="851" w:type="dxa"/>
            <w:tcBorders>
              <w:top w:val="nil"/>
              <w:left w:val="nil"/>
              <w:bottom w:val="single" w:color="auto" w:sz="4" w:space="0"/>
              <w:right w:val="single" w:color="auto" w:sz="4" w:space="0"/>
            </w:tcBorders>
            <w:shd w:val="clear" w:color="auto" w:fill="auto"/>
            <w:vAlign w:val="center"/>
          </w:tcPr>
          <w:p w14:paraId="4A0ABD94">
            <w:pPr>
              <w:rPr>
                <w:rFonts w:ascii="宋体" w:hAnsi="宋体" w:cs="宋体"/>
                <w:color w:val="FF0000"/>
                <w:kern w:val="0"/>
                <w:sz w:val="18"/>
                <w:szCs w:val="18"/>
              </w:rPr>
            </w:pPr>
            <w:r>
              <w:rPr>
                <w:rFonts w:hint="eastAsia" w:ascii="宋体" w:hAnsi="宋体" w:cs="宋体"/>
                <w:color w:val="FF0000"/>
                <w:kern w:val="0"/>
                <w:sz w:val="18"/>
                <w:szCs w:val="18"/>
              </w:rPr>
              <w:t>0</w:t>
            </w:r>
          </w:p>
        </w:tc>
        <w:tc>
          <w:tcPr>
            <w:tcW w:w="4252" w:type="dxa"/>
            <w:vMerge w:val="continue"/>
            <w:tcBorders>
              <w:top w:val="nil"/>
              <w:left w:val="single" w:color="auto" w:sz="4" w:space="0"/>
              <w:bottom w:val="single" w:color="auto" w:sz="4" w:space="0"/>
              <w:right w:val="single" w:color="auto" w:sz="4" w:space="0"/>
            </w:tcBorders>
            <w:vAlign w:val="center"/>
          </w:tcPr>
          <w:p w14:paraId="1917C390">
            <w:pPr>
              <w:jc w:val="left"/>
              <w:rPr>
                <w:rFonts w:ascii="宋体" w:hAnsi="宋体" w:cs="宋体"/>
                <w:color w:val="FF0000"/>
                <w:kern w:val="0"/>
                <w:sz w:val="18"/>
                <w:szCs w:val="18"/>
              </w:rPr>
            </w:pPr>
          </w:p>
        </w:tc>
      </w:tr>
      <w:tr w14:paraId="46AA1E76">
        <w:tblPrEx>
          <w:tblCellMar>
            <w:top w:w="0" w:type="dxa"/>
            <w:left w:w="108" w:type="dxa"/>
            <w:bottom w:w="0" w:type="dxa"/>
            <w:right w:w="108" w:type="dxa"/>
          </w:tblCellMar>
        </w:tblPrEx>
        <w:trPr>
          <w:trHeight w:val="315" w:hRule="atLeast"/>
        </w:trPr>
        <w:tc>
          <w:tcPr>
            <w:tcW w:w="3119" w:type="dxa"/>
            <w:vMerge w:val="restart"/>
            <w:tcBorders>
              <w:top w:val="nil"/>
              <w:left w:val="single" w:color="auto" w:sz="4" w:space="0"/>
              <w:bottom w:val="single" w:color="auto" w:sz="4" w:space="0"/>
              <w:right w:val="single" w:color="auto" w:sz="4" w:space="0"/>
            </w:tcBorders>
            <w:shd w:val="clear" w:color="auto" w:fill="auto"/>
            <w:vAlign w:val="center"/>
          </w:tcPr>
          <w:p w14:paraId="4D0C4BE9">
            <w:pPr>
              <w:rPr>
                <w:rFonts w:ascii="宋体" w:hAnsi="宋体" w:cs="宋体"/>
                <w:color w:val="FF0000"/>
                <w:kern w:val="0"/>
                <w:sz w:val="18"/>
                <w:szCs w:val="18"/>
              </w:rPr>
            </w:pPr>
            <w:r>
              <w:rPr>
                <w:rFonts w:hint="eastAsia" w:ascii="宋体" w:hAnsi="宋体" w:cs="宋体"/>
                <w:color w:val="FF0000"/>
                <w:kern w:val="0"/>
                <w:sz w:val="18"/>
                <w:szCs w:val="18"/>
              </w:rPr>
              <w:t>前端其他设备故障及时更换率（10分）</w:t>
            </w:r>
          </w:p>
        </w:tc>
        <w:tc>
          <w:tcPr>
            <w:tcW w:w="1984" w:type="dxa"/>
            <w:tcBorders>
              <w:top w:val="nil"/>
              <w:left w:val="nil"/>
              <w:bottom w:val="single" w:color="auto" w:sz="4" w:space="0"/>
              <w:right w:val="single" w:color="auto" w:sz="4" w:space="0"/>
            </w:tcBorders>
            <w:shd w:val="clear" w:color="auto" w:fill="auto"/>
            <w:vAlign w:val="center"/>
          </w:tcPr>
          <w:p w14:paraId="6BC909ED">
            <w:pPr>
              <w:rPr>
                <w:rFonts w:ascii="宋体" w:hAnsi="宋体" w:cs="宋体"/>
                <w:color w:val="FF0000"/>
                <w:kern w:val="0"/>
                <w:sz w:val="18"/>
                <w:szCs w:val="18"/>
              </w:rPr>
            </w:pPr>
            <w:r>
              <w:rPr>
                <w:rFonts w:hint="eastAsia" w:ascii="宋体" w:hAnsi="宋体" w:cs="宋体"/>
                <w:color w:val="FF0000"/>
                <w:kern w:val="0"/>
                <w:sz w:val="18"/>
                <w:szCs w:val="18"/>
              </w:rPr>
              <w:t>更换率≥95%</w:t>
            </w:r>
          </w:p>
        </w:tc>
        <w:tc>
          <w:tcPr>
            <w:tcW w:w="851" w:type="dxa"/>
            <w:tcBorders>
              <w:top w:val="nil"/>
              <w:left w:val="nil"/>
              <w:bottom w:val="single" w:color="auto" w:sz="4" w:space="0"/>
              <w:right w:val="single" w:color="auto" w:sz="4" w:space="0"/>
            </w:tcBorders>
            <w:shd w:val="clear" w:color="auto" w:fill="auto"/>
            <w:vAlign w:val="center"/>
          </w:tcPr>
          <w:p w14:paraId="1A8EB299">
            <w:pPr>
              <w:rPr>
                <w:rFonts w:ascii="宋体" w:hAnsi="宋体" w:cs="宋体"/>
                <w:color w:val="FF0000"/>
                <w:kern w:val="0"/>
                <w:sz w:val="18"/>
                <w:szCs w:val="18"/>
              </w:rPr>
            </w:pPr>
            <w:r>
              <w:rPr>
                <w:rFonts w:hint="eastAsia" w:ascii="宋体" w:hAnsi="宋体" w:cs="宋体"/>
                <w:color w:val="FF0000"/>
                <w:kern w:val="0"/>
                <w:sz w:val="18"/>
                <w:szCs w:val="18"/>
              </w:rPr>
              <w:t>10</w:t>
            </w:r>
          </w:p>
        </w:tc>
        <w:tc>
          <w:tcPr>
            <w:tcW w:w="4252" w:type="dxa"/>
            <w:vMerge w:val="restart"/>
            <w:tcBorders>
              <w:top w:val="nil"/>
              <w:left w:val="single" w:color="auto" w:sz="4" w:space="0"/>
              <w:bottom w:val="single" w:color="auto" w:sz="4" w:space="0"/>
              <w:right w:val="single" w:color="auto" w:sz="4" w:space="0"/>
            </w:tcBorders>
            <w:shd w:val="clear" w:color="auto" w:fill="auto"/>
            <w:vAlign w:val="center"/>
          </w:tcPr>
          <w:p w14:paraId="6F6667D4">
            <w:pPr>
              <w:rPr>
                <w:rFonts w:ascii="宋体" w:hAnsi="宋体" w:cs="宋体"/>
                <w:color w:val="FF0000"/>
                <w:kern w:val="0"/>
                <w:sz w:val="18"/>
                <w:szCs w:val="18"/>
              </w:rPr>
            </w:pPr>
            <w:r>
              <w:rPr>
                <w:rFonts w:hint="eastAsia" w:ascii="宋体" w:hAnsi="宋体" w:cs="宋体"/>
                <w:color w:val="FF0000"/>
                <w:kern w:val="0"/>
                <w:sz w:val="18"/>
                <w:szCs w:val="18"/>
              </w:rPr>
              <w:t>更换率＝前端其他设备及时更换次数÷故障申告次数*100%</w:t>
            </w:r>
          </w:p>
        </w:tc>
      </w:tr>
      <w:tr w14:paraId="48FC56A1">
        <w:tblPrEx>
          <w:tblCellMar>
            <w:top w:w="0" w:type="dxa"/>
            <w:left w:w="108" w:type="dxa"/>
            <w:bottom w:w="0" w:type="dxa"/>
            <w:right w:w="108" w:type="dxa"/>
          </w:tblCellMar>
        </w:tblPrEx>
        <w:trPr>
          <w:trHeight w:val="315" w:hRule="atLeast"/>
        </w:trPr>
        <w:tc>
          <w:tcPr>
            <w:tcW w:w="3119" w:type="dxa"/>
            <w:vMerge w:val="continue"/>
            <w:tcBorders>
              <w:top w:val="nil"/>
              <w:left w:val="single" w:color="auto" w:sz="4" w:space="0"/>
              <w:bottom w:val="single" w:color="auto" w:sz="4" w:space="0"/>
              <w:right w:val="single" w:color="auto" w:sz="4" w:space="0"/>
            </w:tcBorders>
            <w:vAlign w:val="center"/>
          </w:tcPr>
          <w:p w14:paraId="075F64D2">
            <w:pPr>
              <w:jc w:val="left"/>
              <w:rPr>
                <w:rFonts w:ascii="宋体" w:hAnsi="宋体" w:cs="宋体"/>
                <w:color w:val="FF0000"/>
                <w:kern w:val="0"/>
                <w:sz w:val="18"/>
                <w:szCs w:val="18"/>
              </w:rPr>
            </w:pPr>
          </w:p>
        </w:tc>
        <w:tc>
          <w:tcPr>
            <w:tcW w:w="1984" w:type="dxa"/>
            <w:tcBorders>
              <w:top w:val="nil"/>
              <w:left w:val="nil"/>
              <w:bottom w:val="single" w:color="auto" w:sz="4" w:space="0"/>
              <w:right w:val="single" w:color="auto" w:sz="4" w:space="0"/>
            </w:tcBorders>
            <w:shd w:val="clear" w:color="auto" w:fill="auto"/>
            <w:vAlign w:val="center"/>
          </w:tcPr>
          <w:p w14:paraId="71AB787E">
            <w:pPr>
              <w:rPr>
                <w:rFonts w:ascii="宋体" w:hAnsi="宋体" w:cs="宋体"/>
                <w:color w:val="FF0000"/>
                <w:kern w:val="0"/>
                <w:sz w:val="18"/>
                <w:szCs w:val="18"/>
              </w:rPr>
            </w:pPr>
            <w:r>
              <w:rPr>
                <w:rFonts w:hint="eastAsia" w:ascii="宋体" w:hAnsi="宋体" w:cs="宋体"/>
                <w:color w:val="FF0000"/>
                <w:kern w:val="0"/>
                <w:sz w:val="18"/>
                <w:szCs w:val="18"/>
              </w:rPr>
              <w:t>90%≤更换率＜95%</w:t>
            </w:r>
          </w:p>
        </w:tc>
        <w:tc>
          <w:tcPr>
            <w:tcW w:w="851" w:type="dxa"/>
            <w:tcBorders>
              <w:top w:val="nil"/>
              <w:left w:val="nil"/>
              <w:bottom w:val="single" w:color="auto" w:sz="4" w:space="0"/>
              <w:right w:val="single" w:color="auto" w:sz="4" w:space="0"/>
            </w:tcBorders>
            <w:shd w:val="clear" w:color="auto" w:fill="auto"/>
            <w:vAlign w:val="center"/>
          </w:tcPr>
          <w:p w14:paraId="5A3A806B">
            <w:pPr>
              <w:rPr>
                <w:rFonts w:ascii="宋体" w:hAnsi="宋体" w:cs="宋体"/>
                <w:color w:val="FF0000"/>
                <w:kern w:val="0"/>
                <w:sz w:val="18"/>
                <w:szCs w:val="18"/>
              </w:rPr>
            </w:pPr>
            <w:r>
              <w:rPr>
                <w:rFonts w:hint="eastAsia" w:ascii="宋体" w:hAnsi="宋体" w:cs="宋体"/>
                <w:color w:val="FF0000"/>
                <w:kern w:val="0"/>
                <w:sz w:val="18"/>
                <w:szCs w:val="18"/>
              </w:rPr>
              <w:t>7</w:t>
            </w:r>
          </w:p>
        </w:tc>
        <w:tc>
          <w:tcPr>
            <w:tcW w:w="4252" w:type="dxa"/>
            <w:vMerge w:val="continue"/>
            <w:tcBorders>
              <w:top w:val="nil"/>
              <w:left w:val="single" w:color="auto" w:sz="4" w:space="0"/>
              <w:bottom w:val="single" w:color="auto" w:sz="4" w:space="0"/>
              <w:right w:val="single" w:color="auto" w:sz="4" w:space="0"/>
            </w:tcBorders>
            <w:vAlign w:val="center"/>
          </w:tcPr>
          <w:p w14:paraId="115D7273">
            <w:pPr>
              <w:jc w:val="left"/>
              <w:rPr>
                <w:rFonts w:ascii="宋体" w:hAnsi="宋体" w:cs="宋体"/>
                <w:color w:val="FF0000"/>
                <w:kern w:val="0"/>
                <w:sz w:val="18"/>
                <w:szCs w:val="18"/>
              </w:rPr>
            </w:pPr>
          </w:p>
        </w:tc>
      </w:tr>
      <w:tr w14:paraId="05B92C75">
        <w:tblPrEx>
          <w:tblCellMar>
            <w:top w:w="0" w:type="dxa"/>
            <w:left w:w="108" w:type="dxa"/>
            <w:bottom w:w="0" w:type="dxa"/>
            <w:right w:w="108" w:type="dxa"/>
          </w:tblCellMar>
        </w:tblPrEx>
        <w:trPr>
          <w:trHeight w:val="315" w:hRule="atLeast"/>
        </w:trPr>
        <w:tc>
          <w:tcPr>
            <w:tcW w:w="3119" w:type="dxa"/>
            <w:vMerge w:val="continue"/>
            <w:tcBorders>
              <w:top w:val="nil"/>
              <w:left w:val="single" w:color="auto" w:sz="4" w:space="0"/>
              <w:bottom w:val="single" w:color="auto" w:sz="4" w:space="0"/>
              <w:right w:val="single" w:color="auto" w:sz="4" w:space="0"/>
            </w:tcBorders>
            <w:vAlign w:val="center"/>
          </w:tcPr>
          <w:p w14:paraId="139448D1">
            <w:pPr>
              <w:jc w:val="left"/>
              <w:rPr>
                <w:rFonts w:ascii="宋体" w:hAnsi="宋体" w:cs="宋体"/>
                <w:color w:val="FF0000"/>
                <w:kern w:val="0"/>
                <w:sz w:val="18"/>
                <w:szCs w:val="18"/>
              </w:rPr>
            </w:pPr>
          </w:p>
        </w:tc>
        <w:tc>
          <w:tcPr>
            <w:tcW w:w="1984" w:type="dxa"/>
            <w:tcBorders>
              <w:top w:val="nil"/>
              <w:left w:val="nil"/>
              <w:bottom w:val="single" w:color="auto" w:sz="4" w:space="0"/>
              <w:right w:val="single" w:color="auto" w:sz="4" w:space="0"/>
            </w:tcBorders>
            <w:shd w:val="clear" w:color="auto" w:fill="auto"/>
            <w:vAlign w:val="center"/>
          </w:tcPr>
          <w:p w14:paraId="3ABA23BD">
            <w:pPr>
              <w:rPr>
                <w:rFonts w:ascii="宋体" w:hAnsi="宋体" w:cs="宋体"/>
                <w:color w:val="FF0000"/>
                <w:kern w:val="0"/>
                <w:sz w:val="18"/>
                <w:szCs w:val="18"/>
              </w:rPr>
            </w:pPr>
            <w:r>
              <w:rPr>
                <w:rFonts w:hint="eastAsia" w:ascii="宋体" w:hAnsi="宋体" w:cs="宋体"/>
                <w:color w:val="FF0000"/>
                <w:kern w:val="0"/>
                <w:sz w:val="18"/>
                <w:szCs w:val="18"/>
              </w:rPr>
              <w:t xml:space="preserve">80%≤更换率＜90% </w:t>
            </w:r>
          </w:p>
        </w:tc>
        <w:tc>
          <w:tcPr>
            <w:tcW w:w="851" w:type="dxa"/>
            <w:tcBorders>
              <w:top w:val="nil"/>
              <w:left w:val="nil"/>
              <w:bottom w:val="single" w:color="auto" w:sz="4" w:space="0"/>
              <w:right w:val="single" w:color="auto" w:sz="4" w:space="0"/>
            </w:tcBorders>
            <w:shd w:val="clear" w:color="auto" w:fill="auto"/>
            <w:vAlign w:val="center"/>
          </w:tcPr>
          <w:p w14:paraId="11F9CAC7">
            <w:pPr>
              <w:rPr>
                <w:rFonts w:ascii="宋体" w:hAnsi="宋体" w:cs="宋体"/>
                <w:color w:val="FF0000"/>
                <w:kern w:val="0"/>
                <w:sz w:val="18"/>
                <w:szCs w:val="18"/>
              </w:rPr>
            </w:pPr>
            <w:r>
              <w:rPr>
                <w:rFonts w:hint="eastAsia" w:ascii="宋体" w:hAnsi="宋体" w:cs="宋体"/>
                <w:color w:val="FF0000"/>
                <w:kern w:val="0"/>
                <w:sz w:val="18"/>
                <w:szCs w:val="18"/>
              </w:rPr>
              <w:t>5</w:t>
            </w:r>
          </w:p>
        </w:tc>
        <w:tc>
          <w:tcPr>
            <w:tcW w:w="4252" w:type="dxa"/>
            <w:vMerge w:val="continue"/>
            <w:tcBorders>
              <w:top w:val="nil"/>
              <w:left w:val="single" w:color="auto" w:sz="4" w:space="0"/>
              <w:bottom w:val="single" w:color="auto" w:sz="4" w:space="0"/>
              <w:right w:val="single" w:color="auto" w:sz="4" w:space="0"/>
            </w:tcBorders>
            <w:vAlign w:val="center"/>
          </w:tcPr>
          <w:p w14:paraId="36E4E1DA">
            <w:pPr>
              <w:jc w:val="left"/>
              <w:rPr>
                <w:rFonts w:ascii="宋体" w:hAnsi="宋体" w:cs="宋体"/>
                <w:color w:val="FF0000"/>
                <w:kern w:val="0"/>
                <w:sz w:val="18"/>
                <w:szCs w:val="18"/>
              </w:rPr>
            </w:pPr>
          </w:p>
        </w:tc>
      </w:tr>
      <w:tr w14:paraId="6E6F6E47">
        <w:trPr>
          <w:trHeight w:val="315" w:hRule="atLeast"/>
        </w:trPr>
        <w:tc>
          <w:tcPr>
            <w:tcW w:w="3119" w:type="dxa"/>
            <w:vMerge w:val="continue"/>
            <w:tcBorders>
              <w:top w:val="nil"/>
              <w:left w:val="single" w:color="auto" w:sz="4" w:space="0"/>
              <w:bottom w:val="single" w:color="auto" w:sz="4" w:space="0"/>
              <w:right w:val="single" w:color="auto" w:sz="4" w:space="0"/>
            </w:tcBorders>
            <w:vAlign w:val="center"/>
          </w:tcPr>
          <w:p w14:paraId="2BEB4A30">
            <w:pPr>
              <w:jc w:val="left"/>
              <w:rPr>
                <w:rFonts w:ascii="宋体" w:hAnsi="宋体" w:cs="宋体"/>
                <w:color w:val="FF0000"/>
                <w:kern w:val="0"/>
                <w:sz w:val="18"/>
                <w:szCs w:val="18"/>
              </w:rPr>
            </w:pPr>
          </w:p>
        </w:tc>
        <w:tc>
          <w:tcPr>
            <w:tcW w:w="1984" w:type="dxa"/>
            <w:tcBorders>
              <w:top w:val="nil"/>
              <w:left w:val="nil"/>
              <w:bottom w:val="single" w:color="auto" w:sz="4" w:space="0"/>
              <w:right w:val="single" w:color="auto" w:sz="4" w:space="0"/>
            </w:tcBorders>
            <w:shd w:val="clear" w:color="auto" w:fill="auto"/>
            <w:vAlign w:val="center"/>
          </w:tcPr>
          <w:p w14:paraId="7C89EA6D">
            <w:pPr>
              <w:rPr>
                <w:rFonts w:ascii="宋体" w:hAnsi="宋体" w:cs="宋体"/>
                <w:color w:val="FF0000"/>
                <w:kern w:val="0"/>
                <w:sz w:val="18"/>
                <w:szCs w:val="18"/>
              </w:rPr>
            </w:pPr>
            <w:r>
              <w:rPr>
                <w:rFonts w:hint="eastAsia" w:ascii="宋体" w:hAnsi="宋体" w:cs="宋体"/>
                <w:color w:val="FF0000"/>
                <w:kern w:val="0"/>
                <w:sz w:val="18"/>
                <w:szCs w:val="18"/>
              </w:rPr>
              <w:t>更换率＜80%</w:t>
            </w:r>
          </w:p>
        </w:tc>
        <w:tc>
          <w:tcPr>
            <w:tcW w:w="851" w:type="dxa"/>
            <w:tcBorders>
              <w:top w:val="nil"/>
              <w:left w:val="nil"/>
              <w:bottom w:val="single" w:color="auto" w:sz="4" w:space="0"/>
              <w:right w:val="single" w:color="auto" w:sz="4" w:space="0"/>
            </w:tcBorders>
            <w:shd w:val="clear" w:color="auto" w:fill="auto"/>
            <w:vAlign w:val="center"/>
          </w:tcPr>
          <w:p w14:paraId="51F35361">
            <w:pPr>
              <w:rPr>
                <w:rFonts w:ascii="宋体" w:hAnsi="宋体" w:cs="宋体"/>
                <w:color w:val="FF0000"/>
                <w:kern w:val="0"/>
                <w:sz w:val="18"/>
                <w:szCs w:val="18"/>
              </w:rPr>
            </w:pPr>
            <w:r>
              <w:rPr>
                <w:rFonts w:hint="eastAsia" w:ascii="宋体" w:hAnsi="宋体" w:cs="宋体"/>
                <w:color w:val="FF0000"/>
                <w:kern w:val="0"/>
                <w:sz w:val="18"/>
                <w:szCs w:val="18"/>
              </w:rPr>
              <w:t>0</w:t>
            </w:r>
          </w:p>
        </w:tc>
        <w:tc>
          <w:tcPr>
            <w:tcW w:w="4252" w:type="dxa"/>
            <w:vMerge w:val="continue"/>
            <w:tcBorders>
              <w:top w:val="nil"/>
              <w:left w:val="single" w:color="auto" w:sz="4" w:space="0"/>
              <w:bottom w:val="single" w:color="auto" w:sz="4" w:space="0"/>
              <w:right w:val="single" w:color="auto" w:sz="4" w:space="0"/>
            </w:tcBorders>
            <w:vAlign w:val="center"/>
          </w:tcPr>
          <w:p w14:paraId="7ED28CC5">
            <w:pPr>
              <w:jc w:val="left"/>
              <w:rPr>
                <w:rFonts w:ascii="宋体" w:hAnsi="宋体" w:cs="宋体"/>
                <w:color w:val="FF0000"/>
                <w:kern w:val="0"/>
                <w:sz w:val="18"/>
                <w:szCs w:val="18"/>
              </w:rPr>
            </w:pPr>
          </w:p>
        </w:tc>
      </w:tr>
      <w:tr w14:paraId="2A6FD42A">
        <w:tblPrEx>
          <w:tblCellMar>
            <w:top w:w="0" w:type="dxa"/>
            <w:left w:w="108" w:type="dxa"/>
            <w:bottom w:w="0" w:type="dxa"/>
            <w:right w:w="108" w:type="dxa"/>
          </w:tblCellMar>
        </w:tblPrEx>
        <w:trPr>
          <w:trHeight w:val="315" w:hRule="atLeast"/>
        </w:trPr>
        <w:tc>
          <w:tcPr>
            <w:tcW w:w="3119" w:type="dxa"/>
            <w:vMerge w:val="restart"/>
            <w:tcBorders>
              <w:top w:val="nil"/>
              <w:left w:val="single" w:color="auto" w:sz="4" w:space="0"/>
              <w:bottom w:val="single" w:color="auto" w:sz="4" w:space="0"/>
              <w:right w:val="single" w:color="auto" w:sz="4" w:space="0"/>
            </w:tcBorders>
            <w:shd w:val="clear" w:color="auto" w:fill="auto"/>
            <w:vAlign w:val="center"/>
          </w:tcPr>
          <w:p w14:paraId="43E69ECA">
            <w:pPr>
              <w:rPr>
                <w:rFonts w:ascii="宋体" w:hAnsi="宋体" w:cs="宋体"/>
                <w:color w:val="FF0000"/>
                <w:kern w:val="0"/>
                <w:sz w:val="18"/>
                <w:szCs w:val="18"/>
              </w:rPr>
            </w:pPr>
            <w:r>
              <w:rPr>
                <w:rFonts w:hint="eastAsia" w:ascii="宋体" w:hAnsi="宋体" w:cs="宋体"/>
                <w:color w:val="FF0000"/>
                <w:kern w:val="0"/>
                <w:sz w:val="18"/>
                <w:szCs w:val="18"/>
              </w:rPr>
              <w:t>乡镇街道村社区监控中心在线率（20分）</w:t>
            </w:r>
          </w:p>
        </w:tc>
        <w:tc>
          <w:tcPr>
            <w:tcW w:w="1984" w:type="dxa"/>
            <w:tcBorders>
              <w:top w:val="nil"/>
              <w:left w:val="nil"/>
              <w:bottom w:val="single" w:color="auto" w:sz="4" w:space="0"/>
              <w:right w:val="single" w:color="auto" w:sz="4" w:space="0"/>
            </w:tcBorders>
            <w:shd w:val="clear" w:color="auto" w:fill="auto"/>
            <w:vAlign w:val="center"/>
          </w:tcPr>
          <w:p w14:paraId="0166951C">
            <w:pPr>
              <w:rPr>
                <w:rFonts w:ascii="宋体" w:hAnsi="宋体" w:cs="宋体"/>
                <w:color w:val="FF0000"/>
                <w:kern w:val="0"/>
                <w:sz w:val="18"/>
                <w:szCs w:val="18"/>
              </w:rPr>
            </w:pPr>
            <w:r>
              <w:rPr>
                <w:rFonts w:hint="eastAsia" w:ascii="宋体" w:hAnsi="宋体" w:cs="宋体"/>
                <w:color w:val="FF0000"/>
                <w:kern w:val="0"/>
                <w:sz w:val="18"/>
                <w:szCs w:val="18"/>
              </w:rPr>
              <w:t>在线率≥98%</w:t>
            </w:r>
          </w:p>
        </w:tc>
        <w:tc>
          <w:tcPr>
            <w:tcW w:w="851" w:type="dxa"/>
            <w:tcBorders>
              <w:top w:val="nil"/>
              <w:left w:val="nil"/>
              <w:bottom w:val="single" w:color="auto" w:sz="4" w:space="0"/>
              <w:right w:val="single" w:color="auto" w:sz="4" w:space="0"/>
            </w:tcBorders>
            <w:shd w:val="clear" w:color="auto" w:fill="auto"/>
            <w:vAlign w:val="center"/>
          </w:tcPr>
          <w:p w14:paraId="577311F6">
            <w:pPr>
              <w:rPr>
                <w:rFonts w:ascii="宋体" w:hAnsi="宋体" w:cs="宋体"/>
                <w:color w:val="FF0000"/>
                <w:kern w:val="0"/>
                <w:sz w:val="18"/>
                <w:szCs w:val="18"/>
              </w:rPr>
            </w:pPr>
            <w:r>
              <w:rPr>
                <w:rFonts w:hint="eastAsia" w:ascii="宋体" w:hAnsi="宋体" w:cs="宋体"/>
                <w:color w:val="FF0000"/>
                <w:kern w:val="0"/>
                <w:sz w:val="18"/>
                <w:szCs w:val="18"/>
              </w:rPr>
              <w:t>20</w:t>
            </w:r>
          </w:p>
        </w:tc>
        <w:tc>
          <w:tcPr>
            <w:tcW w:w="4252" w:type="dxa"/>
            <w:vMerge w:val="restart"/>
            <w:tcBorders>
              <w:top w:val="nil"/>
              <w:left w:val="single" w:color="auto" w:sz="4" w:space="0"/>
              <w:bottom w:val="single" w:color="auto" w:sz="4" w:space="0"/>
              <w:right w:val="single" w:color="auto" w:sz="4" w:space="0"/>
            </w:tcBorders>
            <w:shd w:val="clear" w:color="auto" w:fill="auto"/>
            <w:vAlign w:val="center"/>
          </w:tcPr>
          <w:p w14:paraId="7484EC72">
            <w:pPr>
              <w:rPr>
                <w:rFonts w:ascii="宋体" w:hAnsi="宋体" w:cs="宋体"/>
                <w:color w:val="FF0000"/>
                <w:kern w:val="0"/>
                <w:sz w:val="18"/>
                <w:szCs w:val="18"/>
              </w:rPr>
            </w:pPr>
            <w:r>
              <w:rPr>
                <w:rFonts w:hint="eastAsia" w:ascii="宋体" w:hAnsi="宋体" w:cs="宋体"/>
                <w:color w:val="FF0000"/>
                <w:kern w:val="0"/>
                <w:sz w:val="18"/>
                <w:szCs w:val="18"/>
              </w:rPr>
              <w:t>排除率＝前端其他设备及时更换次数÷故障申告次数*100%</w:t>
            </w:r>
          </w:p>
        </w:tc>
      </w:tr>
      <w:tr w14:paraId="006AC678">
        <w:tblPrEx>
          <w:tblCellMar>
            <w:top w:w="0" w:type="dxa"/>
            <w:left w:w="108" w:type="dxa"/>
            <w:bottom w:w="0" w:type="dxa"/>
            <w:right w:w="108" w:type="dxa"/>
          </w:tblCellMar>
        </w:tblPrEx>
        <w:trPr>
          <w:trHeight w:val="315" w:hRule="atLeast"/>
        </w:trPr>
        <w:tc>
          <w:tcPr>
            <w:tcW w:w="3119" w:type="dxa"/>
            <w:vMerge w:val="continue"/>
            <w:tcBorders>
              <w:top w:val="nil"/>
              <w:left w:val="single" w:color="auto" w:sz="4" w:space="0"/>
              <w:bottom w:val="single" w:color="auto" w:sz="4" w:space="0"/>
              <w:right w:val="single" w:color="auto" w:sz="4" w:space="0"/>
            </w:tcBorders>
            <w:vAlign w:val="center"/>
          </w:tcPr>
          <w:p w14:paraId="1F2B27C0">
            <w:pPr>
              <w:jc w:val="left"/>
              <w:rPr>
                <w:rFonts w:ascii="宋体" w:hAnsi="宋体" w:cs="宋体"/>
                <w:color w:val="FF0000"/>
                <w:kern w:val="0"/>
                <w:sz w:val="18"/>
                <w:szCs w:val="18"/>
              </w:rPr>
            </w:pPr>
          </w:p>
        </w:tc>
        <w:tc>
          <w:tcPr>
            <w:tcW w:w="1984" w:type="dxa"/>
            <w:tcBorders>
              <w:top w:val="nil"/>
              <w:left w:val="nil"/>
              <w:bottom w:val="single" w:color="auto" w:sz="4" w:space="0"/>
              <w:right w:val="single" w:color="auto" w:sz="4" w:space="0"/>
            </w:tcBorders>
            <w:shd w:val="clear" w:color="auto" w:fill="auto"/>
            <w:vAlign w:val="center"/>
          </w:tcPr>
          <w:p w14:paraId="55A0B815">
            <w:pPr>
              <w:rPr>
                <w:rFonts w:ascii="宋体" w:hAnsi="宋体" w:cs="宋体"/>
                <w:color w:val="FF0000"/>
                <w:kern w:val="0"/>
                <w:sz w:val="18"/>
                <w:szCs w:val="18"/>
              </w:rPr>
            </w:pPr>
            <w:r>
              <w:rPr>
                <w:rFonts w:hint="eastAsia" w:ascii="宋体" w:hAnsi="宋体" w:cs="宋体"/>
                <w:color w:val="FF0000"/>
                <w:kern w:val="0"/>
                <w:sz w:val="18"/>
                <w:szCs w:val="18"/>
              </w:rPr>
              <w:t>95≤在线率＜98%</w:t>
            </w:r>
          </w:p>
        </w:tc>
        <w:tc>
          <w:tcPr>
            <w:tcW w:w="851" w:type="dxa"/>
            <w:tcBorders>
              <w:top w:val="nil"/>
              <w:left w:val="nil"/>
              <w:bottom w:val="single" w:color="auto" w:sz="4" w:space="0"/>
              <w:right w:val="single" w:color="auto" w:sz="4" w:space="0"/>
            </w:tcBorders>
            <w:shd w:val="clear" w:color="auto" w:fill="auto"/>
            <w:vAlign w:val="center"/>
          </w:tcPr>
          <w:p w14:paraId="11C2D479">
            <w:pPr>
              <w:rPr>
                <w:rFonts w:ascii="宋体" w:hAnsi="宋体" w:cs="宋体"/>
                <w:color w:val="FF0000"/>
                <w:kern w:val="0"/>
                <w:sz w:val="18"/>
                <w:szCs w:val="18"/>
              </w:rPr>
            </w:pPr>
            <w:r>
              <w:rPr>
                <w:rFonts w:hint="eastAsia" w:ascii="宋体" w:hAnsi="宋体" w:cs="宋体"/>
                <w:color w:val="FF0000"/>
                <w:kern w:val="0"/>
                <w:sz w:val="18"/>
                <w:szCs w:val="18"/>
              </w:rPr>
              <w:t>15</w:t>
            </w:r>
          </w:p>
        </w:tc>
        <w:tc>
          <w:tcPr>
            <w:tcW w:w="4252" w:type="dxa"/>
            <w:vMerge w:val="continue"/>
            <w:tcBorders>
              <w:top w:val="nil"/>
              <w:left w:val="single" w:color="auto" w:sz="4" w:space="0"/>
              <w:bottom w:val="single" w:color="auto" w:sz="4" w:space="0"/>
              <w:right w:val="single" w:color="auto" w:sz="4" w:space="0"/>
            </w:tcBorders>
            <w:vAlign w:val="center"/>
          </w:tcPr>
          <w:p w14:paraId="7A5DED6F">
            <w:pPr>
              <w:jc w:val="left"/>
              <w:rPr>
                <w:rFonts w:ascii="宋体" w:hAnsi="宋体" w:cs="宋体"/>
                <w:color w:val="FF0000"/>
                <w:kern w:val="0"/>
                <w:sz w:val="18"/>
                <w:szCs w:val="18"/>
              </w:rPr>
            </w:pPr>
          </w:p>
        </w:tc>
      </w:tr>
      <w:tr w14:paraId="4ED1A2FF">
        <w:tblPrEx>
          <w:tblCellMar>
            <w:top w:w="0" w:type="dxa"/>
            <w:left w:w="108" w:type="dxa"/>
            <w:bottom w:w="0" w:type="dxa"/>
            <w:right w:w="108" w:type="dxa"/>
          </w:tblCellMar>
        </w:tblPrEx>
        <w:trPr>
          <w:trHeight w:val="315" w:hRule="atLeast"/>
        </w:trPr>
        <w:tc>
          <w:tcPr>
            <w:tcW w:w="3119" w:type="dxa"/>
            <w:vMerge w:val="continue"/>
            <w:tcBorders>
              <w:top w:val="nil"/>
              <w:left w:val="single" w:color="auto" w:sz="4" w:space="0"/>
              <w:bottom w:val="single" w:color="auto" w:sz="4" w:space="0"/>
              <w:right w:val="single" w:color="auto" w:sz="4" w:space="0"/>
            </w:tcBorders>
            <w:vAlign w:val="center"/>
          </w:tcPr>
          <w:p w14:paraId="1B4CA8E9">
            <w:pPr>
              <w:jc w:val="left"/>
              <w:rPr>
                <w:rFonts w:ascii="宋体" w:hAnsi="宋体" w:cs="宋体"/>
                <w:color w:val="FF0000"/>
                <w:kern w:val="0"/>
                <w:sz w:val="18"/>
                <w:szCs w:val="18"/>
              </w:rPr>
            </w:pPr>
          </w:p>
        </w:tc>
        <w:tc>
          <w:tcPr>
            <w:tcW w:w="1984" w:type="dxa"/>
            <w:tcBorders>
              <w:top w:val="nil"/>
              <w:left w:val="nil"/>
              <w:bottom w:val="single" w:color="auto" w:sz="4" w:space="0"/>
              <w:right w:val="single" w:color="auto" w:sz="4" w:space="0"/>
            </w:tcBorders>
            <w:shd w:val="clear" w:color="auto" w:fill="auto"/>
            <w:vAlign w:val="center"/>
          </w:tcPr>
          <w:p w14:paraId="66F8B8C7">
            <w:pPr>
              <w:rPr>
                <w:rFonts w:ascii="宋体" w:hAnsi="宋体" w:cs="宋体"/>
                <w:color w:val="FF0000"/>
                <w:kern w:val="0"/>
                <w:sz w:val="18"/>
                <w:szCs w:val="18"/>
              </w:rPr>
            </w:pPr>
            <w:r>
              <w:rPr>
                <w:rFonts w:hint="eastAsia" w:ascii="宋体" w:hAnsi="宋体" w:cs="宋体"/>
                <w:color w:val="FF0000"/>
                <w:kern w:val="0"/>
                <w:sz w:val="18"/>
                <w:szCs w:val="18"/>
              </w:rPr>
              <w:t>85≤在线率＜95%</w:t>
            </w:r>
          </w:p>
        </w:tc>
        <w:tc>
          <w:tcPr>
            <w:tcW w:w="851" w:type="dxa"/>
            <w:tcBorders>
              <w:top w:val="nil"/>
              <w:left w:val="nil"/>
              <w:bottom w:val="single" w:color="auto" w:sz="4" w:space="0"/>
              <w:right w:val="single" w:color="auto" w:sz="4" w:space="0"/>
            </w:tcBorders>
            <w:shd w:val="clear" w:color="auto" w:fill="auto"/>
            <w:vAlign w:val="center"/>
          </w:tcPr>
          <w:p w14:paraId="6ED5903B">
            <w:pPr>
              <w:rPr>
                <w:rFonts w:ascii="宋体" w:hAnsi="宋体" w:cs="宋体"/>
                <w:color w:val="FF0000"/>
                <w:kern w:val="0"/>
                <w:sz w:val="18"/>
                <w:szCs w:val="18"/>
              </w:rPr>
            </w:pPr>
            <w:r>
              <w:rPr>
                <w:rFonts w:hint="eastAsia" w:ascii="宋体" w:hAnsi="宋体" w:cs="宋体"/>
                <w:color w:val="FF0000"/>
                <w:kern w:val="0"/>
                <w:sz w:val="18"/>
                <w:szCs w:val="18"/>
              </w:rPr>
              <w:t>10</w:t>
            </w:r>
          </w:p>
        </w:tc>
        <w:tc>
          <w:tcPr>
            <w:tcW w:w="4252" w:type="dxa"/>
            <w:vMerge w:val="continue"/>
            <w:tcBorders>
              <w:top w:val="nil"/>
              <w:left w:val="single" w:color="auto" w:sz="4" w:space="0"/>
              <w:bottom w:val="single" w:color="auto" w:sz="4" w:space="0"/>
              <w:right w:val="single" w:color="auto" w:sz="4" w:space="0"/>
            </w:tcBorders>
            <w:vAlign w:val="center"/>
          </w:tcPr>
          <w:p w14:paraId="120B192E">
            <w:pPr>
              <w:jc w:val="left"/>
              <w:rPr>
                <w:rFonts w:ascii="宋体" w:hAnsi="宋体" w:cs="宋体"/>
                <w:color w:val="FF0000"/>
                <w:kern w:val="0"/>
                <w:sz w:val="18"/>
                <w:szCs w:val="18"/>
              </w:rPr>
            </w:pPr>
          </w:p>
        </w:tc>
      </w:tr>
      <w:tr w14:paraId="40F4FF3E">
        <w:tblPrEx>
          <w:tblCellMar>
            <w:top w:w="0" w:type="dxa"/>
            <w:left w:w="108" w:type="dxa"/>
            <w:bottom w:w="0" w:type="dxa"/>
            <w:right w:w="108" w:type="dxa"/>
          </w:tblCellMar>
        </w:tblPrEx>
        <w:trPr>
          <w:trHeight w:val="315" w:hRule="atLeast"/>
        </w:trPr>
        <w:tc>
          <w:tcPr>
            <w:tcW w:w="3119" w:type="dxa"/>
            <w:vMerge w:val="continue"/>
            <w:tcBorders>
              <w:top w:val="nil"/>
              <w:left w:val="single" w:color="auto" w:sz="4" w:space="0"/>
              <w:bottom w:val="single" w:color="auto" w:sz="4" w:space="0"/>
              <w:right w:val="single" w:color="auto" w:sz="4" w:space="0"/>
            </w:tcBorders>
            <w:vAlign w:val="center"/>
          </w:tcPr>
          <w:p w14:paraId="5B66EDB2">
            <w:pPr>
              <w:jc w:val="left"/>
              <w:rPr>
                <w:rFonts w:ascii="宋体" w:hAnsi="宋体" w:cs="宋体"/>
                <w:color w:val="FF0000"/>
                <w:kern w:val="0"/>
                <w:sz w:val="18"/>
                <w:szCs w:val="18"/>
              </w:rPr>
            </w:pPr>
          </w:p>
        </w:tc>
        <w:tc>
          <w:tcPr>
            <w:tcW w:w="1984" w:type="dxa"/>
            <w:tcBorders>
              <w:top w:val="nil"/>
              <w:left w:val="nil"/>
              <w:bottom w:val="single" w:color="auto" w:sz="4" w:space="0"/>
              <w:right w:val="single" w:color="auto" w:sz="4" w:space="0"/>
            </w:tcBorders>
            <w:shd w:val="clear" w:color="auto" w:fill="auto"/>
            <w:vAlign w:val="center"/>
          </w:tcPr>
          <w:p w14:paraId="16B9B66F">
            <w:pPr>
              <w:rPr>
                <w:rFonts w:ascii="宋体" w:hAnsi="宋体" w:cs="宋体"/>
                <w:color w:val="FF0000"/>
                <w:kern w:val="0"/>
                <w:sz w:val="18"/>
                <w:szCs w:val="18"/>
              </w:rPr>
            </w:pPr>
            <w:r>
              <w:rPr>
                <w:rFonts w:hint="eastAsia" w:ascii="宋体" w:hAnsi="宋体" w:cs="宋体"/>
                <w:color w:val="FF0000"/>
                <w:kern w:val="0"/>
                <w:sz w:val="18"/>
                <w:szCs w:val="18"/>
              </w:rPr>
              <w:t>在线率＜85%</w:t>
            </w:r>
          </w:p>
        </w:tc>
        <w:tc>
          <w:tcPr>
            <w:tcW w:w="851" w:type="dxa"/>
            <w:tcBorders>
              <w:top w:val="nil"/>
              <w:left w:val="nil"/>
              <w:bottom w:val="single" w:color="auto" w:sz="4" w:space="0"/>
              <w:right w:val="single" w:color="auto" w:sz="4" w:space="0"/>
            </w:tcBorders>
            <w:shd w:val="clear" w:color="auto" w:fill="auto"/>
            <w:vAlign w:val="center"/>
          </w:tcPr>
          <w:p w14:paraId="6D9881F5">
            <w:pPr>
              <w:rPr>
                <w:rFonts w:ascii="宋体" w:hAnsi="宋体" w:cs="宋体"/>
                <w:color w:val="FF0000"/>
                <w:kern w:val="0"/>
                <w:sz w:val="18"/>
                <w:szCs w:val="18"/>
              </w:rPr>
            </w:pPr>
            <w:r>
              <w:rPr>
                <w:rFonts w:hint="eastAsia" w:ascii="宋体" w:hAnsi="宋体" w:cs="宋体"/>
                <w:color w:val="FF0000"/>
                <w:kern w:val="0"/>
                <w:sz w:val="18"/>
                <w:szCs w:val="18"/>
              </w:rPr>
              <w:t>0</w:t>
            </w:r>
          </w:p>
        </w:tc>
        <w:tc>
          <w:tcPr>
            <w:tcW w:w="4252" w:type="dxa"/>
            <w:vMerge w:val="continue"/>
            <w:tcBorders>
              <w:top w:val="nil"/>
              <w:left w:val="single" w:color="auto" w:sz="4" w:space="0"/>
              <w:bottom w:val="single" w:color="auto" w:sz="4" w:space="0"/>
              <w:right w:val="single" w:color="auto" w:sz="4" w:space="0"/>
            </w:tcBorders>
            <w:vAlign w:val="center"/>
          </w:tcPr>
          <w:p w14:paraId="0EBE98B5">
            <w:pPr>
              <w:jc w:val="left"/>
              <w:rPr>
                <w:rFonts w:ascii="宋体" w:hAnsi="宋体" w:cs="宋体"/>
                <w:color w:val="FF0000"/>
                <w:kern w:val="0"/>
                <w:sz w:val="18"/>
                <w:szCs w:val="18"/>
              </w:rPr>
            </w:pPr>
          </w:p>
        </w:tc>
      </w:tr>
      <w:tr w14:paraId="51A6DD99">
        <w:tblPrEx>
          <w:tblCellMar>
            <w:top w:w="0" w:type="dxa"/>
            <w:left w:w="108" w:type="dxa"/>
            <w:bottom w:w="0" w:type="dxa"/>
            <w:right w:w="108" w:type="dxa"/>
          </w:tblCellMar>
        </w:tblPrEx>
        <w:trPr>
          <w:trHeight w:val="315" w:hRule="atLeast"/>
        </w:trPr>
        <w:tc>
          <w:tcPr>
            <w:tcW w:w="3119" w:type="dxa"/>
            <w:vMerge w:val="restart"/>
            <w:tcBorders>
              <w:top w:val="nil"/>
              <w:left w:val="single" w:color="auto" w:sz="4" w:space="0"/>
              <w:bottom w:val="single" w:color="auto" w:sz="4" w:space="0"/>
              <w:right w:val="single" w:color="auto" w:sz="4" w:space="0"/>
            </w:tcBorders>
            <w:shd w:val="clear" w:color="auto" w:fill="auto"/>
            <w:vAlign w:val="center"/>
          </w:tcPr>
          <w:p w14:paraId="11F0BCCD">
            <w:pPr>
              <w:rPr>
                <w:rFonts w:ascii="宋体" w:hAnsi="宋体" w:cs="宋体"/>
                <w:color w:val="FF0000"/>
                <w:kern w:val="0"/>
                <w:sz w:val="18"/>
                <w:szCs w:val="18"/>
              </w:rPr>
            </w:pPr>
            <w:r>
              <w:rPr>
                <w:rFonts w:hint="eastAsia" w:ascii="宋体" w:hAnsi="宋体" w:cs="宋体"/>
                <w:color w:val="FF0000"/>
                <w:kern w:val="0"/>
                <w:sz w:val="18"/>
                <w:szCs w:val="18"/>
              </w:rPr>
              <w:t>乡镇街道村社区监控中心故障及时排除率（15分）</w:t>
            </w:r>
          </w:p>
        </w:tc>
        <w:tc>
          <w:tcPr>
            <w:tcW w:w="1984" w:type="dxa"/>
            <w:tcBorders>
              <w:top w:val="nil"/>
              <w:left w:val="nil"/>
              <w:bottom w:val="single" w:color="auto" w:sz="4" w:space="0"/>
              <w:right w:val="single" w:color="auto" w:sz="4" w:space="0"/>
            </w:tcBorders>
            <w:shd w:val="clear" w:color="auto" w:fill="auto"/>
            <w:vAlign w:val="center"/>
          </w:tcPr>
          <w:p w14:paraId="5B87BEB1">
            <w:pPr>
              <w:rPr>
                <w:rFonts w:ascii="宋体" w:hAnsi="宋体" w:cs="宋体"/>
                <w:color w:val="FF0000"/>
                <w:kern w:val="0"/>
                <w:sz w:val="18"/>
                <w:szCs w:val="18"/>
              </w:rPr>
            </w:pPr>
            <w:r>
              <w:rPr>
                <w:rFonts w:hint="eastAsia" w:ascii="宋体" w:hAnsi="宋体" w:cs="宋体"/>
                <w:color w:val="FF0000"/>
                <w:kern w:val="0"/>
                <w:sz w:val="18"/>
                <w:szCs w:val="18"/>
              </w:rPr>
              <w:t>排除率≥95%</w:t>
            </w:r>
          </w:p>
        </w:tc>
        <w:tc>
          <w:tcPr>
            <w:tcW w:w="851" w:type="dxa"/>
            <w:tcBorders>
              <w:top w:val="nil"/>
              <w:left w:val="nil"/>
              <w:bottom w:val="single" w:color="auto" w:sz="4" w:space="0"/>
              <w:right w:val="single" w:color="auto" w:sz="4" w:space="0"/>
            </w:tcBorders>
            <w:shd w:val="clear" w:color="auto" w:fill="auto"/>
            <w:vAlign w:val="center"/>
          </w:tcPr>
          <w:p w14:paraId="01AB6B50">
            <w:pPr>
              <w:rPr>
                <w:rFonts w:ascii="宋体" w:hAnsi="宋体" w:cs="宋体"/>
                <w:color w:val="FF0000"/>
                <w:kern w:val="0"/>
                <w:sz w:val="18"/>
                <w:szCs w:val="18"/>
              </w:rPr>
            </w:pPr>
            <w:r>
              <w:rPr>
                <w:rFonts w:hint="eastAsia" w:ascii="宋体" w:hAnsi="宋体" w:cs="宋体"/>
                <w:color w:val="FF0000"/>
                <w:kern w:val="0"/>
                <w:sz w:val="18"/>
                <w:szCs w:val="18"/>
              </w:rPr>
              <w:t>15</w:t>
            </w:r>
          </w:p>
        </w:tc>
        <w:tc>
          <w:tcPr>
            <w:tcW w:w="4252" w:type="dxa"/>
            <w:vMerge w:val="restart"/>
            <w:tcBorders>
              <w:top w:val="nil"/>
              <w:left w:val="single" w:color="auto" w:sz="4" w:space="0"/>
              <w:bottom w:val="single" w:color="auto" w:sz="4" w:space="0"/>
              <w:right w:val="single" w:color="auto" w:sz="4" w:space="0"/>
            </w:tcBorders>
            <w:shd w:val="clear" w:color="auto" w:fill="auto"/>
            <w:vAlign w:val="center"/>
          </w:tcPr>
          <w:p w14:paraId="28409BD4">
            <w:pPr>
              <w:rPr>
                <w:rFonts w:ascii="宋体" w:hAnsi="宋体" w:cs="宋体"/>
                <w:color w:val="FF0000"/>
                <w:kern w:val="0"/>
                <w:sz w:val="18"/>
                <w:szCs w:val="18"/>
              </w:rPr>
            </w:pPr>
            <w:r>
              <w:rPr>
                <w:rFonts w:hint="eastAsia" w:ascii="宋体" w:hAnsi="宋体" w:cs="宋体"/>
                <w:color w:val="FF0000"/>
                <w:kern w:val="0"/>
                <w:sz w:val="18"/>
                <w:szCs w:val="18"/>
              </w:rPr>
              <w:t>排除率＝故障及时排除次数÷故障申告次数*100%</w:t>
            </w:r>
          </w:p>
        </w:tc>
      </w:tr>
      <w:tr w14:paraId="65A64C13">
        <w:tblPrEx>
          <w:tblCellMar>
            <w:top w:w="0" w:type="dxa"/>
            <w:left w:w="108" w:type="dxa"/>
            <w:bottom w:w="0" w:type="dxa"/>
            <w:right w:w="108" w:type="dxa"/>
          </w:tblCellMar>
        </w:tblPrEx>
        <w:trPr>
          <w:trHeight w:val="315" w:hRule="atLeast"/>
        </w:trPr>
        <w:tc>
          <w:tcPr>
            <w:tcW w:w="3119" w:type="dxa"/>
            <w:vMerge w:val="continue"/>
            <w:tcBorders>
              <w:top w:val="nil"/>
              <w:left w:val="single" w:color="auto" w:sz="4" w:space="0"/>
              <w:bottom w:val="single" w:color="auto" w:sz="4" w:space="0"/>
              <w:right w:val="single" w:color="auto" w:sz="4" w:space="0"/>
            </w:tcBorders>
            <w:vAlign w:val="center"/>
          </w:tcPr>
          <w:p w14:paraId="09900F4D">
            <w:pPr>
              <w:jc w:val="left"/>
              <w:rPr>
                <w:rFonts w:ascii="宋体" w:hAnsi="宋体" w:cs="宋体"/>
                <w:color w:val="FF0000"/>
                <w:kern w:val="0"/>
                <w:sz w:val="18"/>
                <w:szCs w:val="18"/>
              </w:rPr>
            </w:pPr>
          </w:p>
        </w:tc>
        <w:tc>
          <w:tcPr>
            <w:tcW w:w="1984" w:type="dxa"/>
            <w:tcBorders>
              <w:top w:val="nil"/>
              <w:left w:val="nil"/>
              <w:bottom w:val="single" w:color="auto" w:sz="4" w:space="0"/>
              <w:right w:val="single" w:color="auto" w:sz="4" w:space="0"/>
            </w:tcBorders>
            <w:shd w:val="clear" w:color="auto" w:fill="auto"/>
            <w:vAlign w:val="center"/>
          </w:tcPr>
          <w:p w14:paraId="76A7B2D8">
            <w:pPr>
              <w:rPr>
                <w:rFonts w:ascii="宋体" w:hAnsi="宋体" w:cs="宋体"/>
                <w:color w:val="FF0000"/>
                <w:kern w:val="0"/>
                <w:sz w:val="18"/>
                <w:szCs w:val="18"/>
              </w:rPr>
            </w:pPr>
            <w:r>
              <w:rPr>
                <w:rFonts w:hint="eastAsia" w:ascii="宋体" w:hAnsi="宋体" w:cs="宋体"/>
                <w:color w:val="FF0000"/>
                <w:kern w:val="0"/>
                <w:sz w:val="18"/>
                <w:szCs w:val="18"/>
              </w:rPr>
              <w:t>90%≤排除率＜95%</w:t>
            </w:r>
          </w:p>
        </w:tc>
        <w:tc>
          <w:tcPr>
            <w:tcW w:w="851" w:type="dxa"/>
            <w:tcBorders>
              <w:top w:val="nil"/>
              <w:left w:val="nil"/>
              <w:bottom w:val="single" w:color="auto" w:sz="4" w:space="0"/>
              <w:right w:val="single" w:color="auto" w:sz="4" w:space="0"/>
            </w:tcBorders>
            <w:shd w:val="clear" w:color="auto" w:fill="auto"/>
            <w:vAlign w:val="center"/>
          </w:tcPr>
          <w:p w14:paraId="1A84F950">
            <w:pPr>
              <w:rPr>
                <w:rFonts w:ascii="宋体" w:hAnsi="宋体" w:cs="宋体"/>
                <w:color w:val="FF0000"/>
                <w:kern w:val="0"/>
                <w:sz w:val="18"/>
                <w:szCs w:val="18"/>
              </w:rPr>
            </w:pPr>
            <w:r>
              <w:rPr>
                <w:rFonts w:hint="eastAsia" w:ascii="宋体" w:hAnsi="宋体" w:cs="宋体"/>
                <w:color w:val="FF0000"/>
                <w:kern w:val="0"/>
                <w:sz w:val="18"/>
                <w:szCs w:val="18"/>
              </w:rPr>
              <w:t>10</w:t>
            </w:r>
          </w:p>
        </w:tc>
        <w:tc>
          <w:tcPr>
            <w:tcW w:w="4252" w:type="dxa"/>
            <w:vMerge w:val="continue"/>
            <w:tcBorders>
              <w:top w:val="nil"/>
              <w:left w:val="single" w:color="auto" w:sz="4" w:space="0"/>
              <w:bottom w:val="single" w:color="auto" w:sz="4" w:space="0"/>
              <w:right w:val="single" w:color="auto" w:sz="4" w:space="0"/>
            </w:tcBorders>
            <w:vAlign w:val="center"/>
          </w:tcPr>
          <w:p w14:paraId="7A5D3AD1">
            <w:pPr>
              <w:jc w:val="left"/>
              <w:rPr>
                <w:rFonts w:ascii="宋体" w:hAnsi="宋体" w:cs="宋体"/>
                <w:color w:val="FF0000"/>
                <w:kern w:val="0"/>
                <w:sz w:val="18"/>
                <w:szCs w:val="18"/>
              </w:rPr>
            </w:pPr>
          </w:p>
        </w:tc>
      </w:tr>
      <w:tr w14:paraId="5E64AD53">
        <w:tblPrEx>
          <w:tblCellMar>
            <w:top w:w="0" w:type="dxa"/>
            <w:left w:w="108" w:type="dxa"/>
            <w:bottom w:w="0" w:type="dxa"/>
            <w:right w:w="108" w:type="dxa"/>
          </w:tblCellMar>
        </w:tblPrEx>
        <w:trPr>
          <w:trHeight w:val="315" w:hRule="atLeast"/>
        </w:trPr>
        <w:tc>
          <w:tcPr>
            <w:tcW w:w="3119" w:type="dxa"/>
            <w:vMerge w:val="continue"/>
            <w:tcBorders>
              <w:top w:val="nil"/>
              <w:left w:val="single" w:color="auto" w:sz="4" w:space="0"/>
              <w:bottom w:val="single" w:color="auto" w:sz="4" w:space="0"/>
              <w:right w:val="single" w:color="auto" w:sz="4" w:space="0"/>
            </w:tcBorders>
            <w:vAlign w:val="center"/>
          </w:tcPr>
          <w:p w14:paraId="37C16153">
            <w:pPr>
              <w:jc w:val="left"/>
              <w:rPr>
                <w:rFonts w:ascii="宋体" w:hAnsi="宋体" w:cs="宋体"/>
                <w:color w:val="FF0000"/>
                <w:kern w:val="0"/>
                <w:sz w:val="18"/>
                <w:szCs w:val="18"/>
              </w:rPr>
            </w:pPr>
          </w:p>
        </w:tc>
        <w:tc>
          <w:tcPr>
            <w:tcW w:w="1984" w:type="dxa"/>
            <w:tcBorders>
              <w:top w:val="nil"/>
              <w:left w:val="nil"/>
              <w:bottom w:val="single" w:color="auto" w:sz="4" w:space="0"/>
              <w:right w:val="single" w:color="auto" w:sz="4" w:space="0"/>
            </w:tcBorders>
            <w:shd w:val="clear" w:color="auto" w:fill="auto"/>
            <w:vAlign w:val="center"/>
          </w:tcPr>
          <w:p w14:paraId="10BF80A0">
            <w:pPr>
              <w:rPr>
                <w:rFonts w:ascii="宋体" w:hAnsi="宋体" w:cs="宋体"/>
                <w:color w:val="FF0000"/>
                <w:kern w:val="0"/>
                <w:sz w:val="18"/>
                <w:szCs w:val="18"/>
              </w:rPr>
            </w:pPr>
            <w:r>
              <w:rPr>
                <w:rFonts w:hint="eastAsia" w:ascii="宋体" w:hAnsi="宋体" w:cs="宋体"/>
                <w:color w:val="FF0000"/>
                <w:kern w:val="0"/>
                <w:sz w:val="18"/>
                <w:szCs w:val="18"/>
              </w:rPr>
              <w:t xml:space="preserve">80%≤排除率＜90% </w:t>
            </w:r>
          </w:p>
        </w:tc>
        <w:tc>
          <w:tcPr>
            <w:tcW w:w="851" w:type="dxa"/>
            <w:tcBorders>
              <w:top w:val="nil"/>
              <w:left w:val="nil"/>
              <w:bottom w:val="single" w:color="auto" w:sz="4" w:space="0"/>
              <w:right w:val="single" w:color="auto" w:sz="4" w:space="0"/>
            </w:tcBorders>
            <w:shd w:val="clear" w:color="auto" w:fill="auto"/>
            <w:vAlign w:val="center"/>
          </w:tcPr>
          <w:p w14:paraId="1DB63AF1">
            <w:pPr>
              <w:rPr>
                <w:rFonts w:ascii="宋体" w:hAnsi="宋体" w:cs="宋体"/>
                <w:color w:val="FF0000"/>
                <w:kern w:val="0"/>
                <w:sz w:val="18"/>
                <w:szCs w:val="18"/>
              </w:rPr>
            </w:pPr>
            <w:r>
              <w:rPr>
                <w:rFonts w:hint="eastAsia" w:ascii="宋体" w:hAnsi="宋体" w:cs="宋体"/>
                <w:color w:val="FF0000"/>
                <w:kern w:val="0"/>
                <w:sz w:val="18"/>
                <w:szCs w:val="18"/>
              </w:rPr>
              <w:t>5</w:t>
            </w:r>
          </w:p>
        </w:tc>
        <w:tc>
          <w:tcPr>
            <w:tcW w:w="4252" w:type="dxa"/>
            <w:vMerge w:val="continue"/>
            <w:tcBorders>
              <w:top w:val="nil"/>
              <w:left w:val="single" w:color="auto" w:sz="4" w:space="0"/>
              <w:bottom w:val="single" w:color="auto" w:sz="4" w:space="0"/>
              <w:right w:val="single" w:color="auto" w:sz="4" w:space="0"/>
            </w:tcBorders>
            <w:vAlign w:val="center"/>
          </w:tcPr>
          <w:p w14:paraId="72FFE798">
            <w:pPr>
              <w:jc w:val="left"/>
              <w:rPr>
                <w:rFonts w:ascii="宋体" w:hAnsi="宋体" w:cs="宋体"/>
                <w:color w:val="FF0000"/>
                <w:kern w:val="0"/>
                <w:sz w:val="18"/>
                <w:szCs w:val="18"/>
              </w:rPr>
            </w:pPr>
          </w:p>
        </w:tc>
      </w:tr>
      <w:tr w14:paraId="307B84B9">
        <w:tblPrEx>
          <w:tblCellMar>
            <w:top w:w="0" w:type="dxa"/>
            <w:left w:w="108" w:type="dxa"/>
            <w:bottom w:w="0" w:type="dxa"/>
            <w:right w:w="108" w:type="dxa"/>
          </w:tblCellMar>
        </w:tblPrEx>
        <w:trPr>
          <w:trHeight w:val="272" w:hRule="atLeast"/>
        </w:trPr>
        <w:tc>
          <w:tcPr>
            <w:tcW w:w="3119" w:type="dxa"/>
            <w:vMerge w:val="continue"/>
            <w:tcBorders>
              <w:top w:val="nil"/>
              <w:left w:val="single" w:color="auto" w:sz="4" w:space="0"/>
              <w:bottom w:val="single" w:color="auto" w:sz="4" w:space="0"/>
              <w:right w:val="single" w:color="auto" w:sz="4" w:space="0"/>
            </w:tcBorders>
            <w:vAlign w:val="center"/>
          </w:tcPr>
          <w:p w14:paraId="575A33C6">
            <w:pPr>
              <w:jc w:val="left"/>
              <w:rPr>
                <w:rFonts w:ascii="宋体" w:hAnsi="宋体" w:cs="宋体"/>
                <w:color w:val="FF0000"/>
                <w:kern w:val="0"/>
                <w:sz w:val="18"/>
                <w:szCs w:val="18"/>
              </w:rPr>
            </w:pPr>
          </w:p>
        </w:tc>
        <w:tc>
          <w:tcPr>
            <w:tcW w:w="1984" w:type="dxa"/>
            <w:tcBorders>
              <w:top w:val="nil"/>
              <w:left w:val="nil"/>
              <w:bottom w:val="single" w:color="auto" w:sz="4" w:space="0"/>
              <w:right w:val="single" w:color="auto" w:sz="4" w:space="0"/>
            </w:tcBorders>
            <w:shd w:val="clear" w:color="auto" w:fill="auto"/>
            <w:vAlign w:val="center"/>
          </w:tcPr>
          <w:p w14:paraId="3A811EFA">
            <w:pPr>
              <w:rPr>
                <w:rFonts w:ascii="宋体" w:hAnsi="宋体" w:cs="宋体"/>
                <w:color w:val="FF0000"/>
                <w:kern w:val="0"/>
                <w:sz w:val="18"/>
                <w:szCs w:val="18"/>
              </w:rPr>
            </w:pPr>
            <w:r>
              <w:rPr>
                <w:rFonts w:hint="eastAsia" w:ascii="宋体" w:hAnsi="宋体" w:cs="宋体"/>
                <w:color w:val="FF0000"/>
                <w:kern w:val="0"/>
                <w:sz w:val="18"/>
                <w:szCs w:val="18"/>
              </w:rPr>
              <w:t>排除率＜80%</w:t>
            </w:r>
          </w:p>
        </w:tc>
        <w:tc>
          <w:tcPr>
            <w:tcW w:w="851" w:type="dxa"/>
            <w:tcBorders>
              <w:top w:val="nil"/>
              <w:left w:val="nil"/>
              <w:bottom w:val="single" w:color="auto" w:sz="4" w:space="0"/>
              <w:right w:val="single" w:color="auto" w:sz="4" w:space="0"/>
            </w:tcBorders>
            <w:shd w:val="clear" w:color="auto" w:fill="auto"/>
            <w:vAlign w:val="center"/>
          </w:tcPr>
          <w:p w14:paraId="068E33D1">
            <w:pPr>
              <w:rPr>
                <w:rFonts w:ascii="宋体" w:hAnsi="宋体" w:cs="宋体"/>
                <w:color w:val="FF0000"/>
                <w:kern w:val="0"/>
                <w:sz w:val="18"/>
                <w:szCs w:val="18"/>
              </w:rPr>
            </w:pPr>
            <w:r>
              <w:rPr>
                <w:rFonts w:hint="eastAsia" w:ascii="宋体" w:hAnsi="宋体" w:cs="宋体"/>
                <w:color w:val="FF0000"/>
                <w:kern w:val="0"/>
                <w:sz w:val="18"/>
                <w:szCs w:val="18"/>
              </w:rPr>
              <w:t>0</w:t>
            </w:r>
          </w:p>
        </w:tc>
        <w:tc>
          <w:tcPr>
            <w:tcW w:w="4252" w:type="dxa"/>
            <w:vMerge w:val="continue"/>
            <w:tcBorders>
              <w:top w:val="nil"/>
              <w:left w:val="single" w:color="auto" w:sz="4" w:space="0"/>
              <w:bottom w:val="single" w:color="auto" w:sz="4" w:space="0"/>
              <w:right w:val="single" w:color="auto" w:sz="4" w:space="0"/>
            </w:tcBorders>
            <w:vAlign w:val="center"/>
          </w:tcPr>
          <w:p w14:paraId="186687FC">
            <w:pPr>
              <w:jc w:val="left"/>
              <w:rPr>
                <w:rFonts w:ascii="宋体" w:hAnsi="宋体" w:cs="宋体"/>
                <w:color w:val="FF0000"/>
                <w:kern w:val="0"/>
                <w:sz w:val="18"/>
                <w:szCs w:val="18"/>
              </w:rPr>
            </w:pPr>
          </w:p>
        </w:tc>
      </w:tr>
      <w:tr w14:paraId="382CF5A6">
        <w:tblPrEx>
          <w:tblCellMar>
            <w:top w:w="0" w:type="dxa"/>
            <w:left w:w="108" w:type="dxa"/>
            <w:bottom w:w="0" w:type="dxa"/>
            <w:right w:w="108" w:type="dxa"/>
          </w:tblCellMar>
        </w:tblPrEx>
        <w:trPr>
          <w:trHeight w:val="70" w:hRule="atLeast"/>
        </w:trPr>
        <w:tc>
          <w:tcPr>
            <w:tcW w:w="10206" w:type="dxa"/>
            <w:gridSpan w:val="4"/>
            <w:tcBorders>
              <w:top w:val="single" w:color="auto" w:sz="4" w:space="0"/>
              <w:left w:val="single" w:color="auto" w:sz="4" w:space="0"/>
              <w:bottom w:val="single" w:color="auto" w:sz="4" w:space="0"/>
              <w:right w:val="single" w:color="auto" w:sz="4" w:space="0"/>
            </w:tcBorders>
            <w:shd w:val="clear" w:color="auto" w:fill="auto"/>
            <w:vAlign w:val="center"/>
          </w:tcPr>
          <w:p w14:paraId="0D9F6D33">
            <w:pPr>
              <w:jc w:val="center"/>
              <w:rPr>
                <w:rFonts w:ascii="宋体" w:hAnsi="宋体" w:cs="宋体"/>
                <w:b/>
                <w:bCs/>
                <w:color w:val="FF0000"/>
                <w:kern w:val="0"/>
                <w:sz w:val="18"/>
                <w:szCs w:val="18"/>
              </w:rPr>
            </w:pPr>
            <w:r>
              <w:rPr>
                <w:rFonts w:hint="eastAsia" w:ascii="宋体" w:hAnsi="宋体" w:cs="宋体"/>
                <w:b/>
                <w:bCs/>
                <w:color w:val="FF0000"/>
                <w:kern w:val="0"/>
                <w:sz w:val="18"/>
                <w:szCs w:val="18"/>
              </w:rPr>
              <w:t>服务响应（10分）,年考核部分</w:t>
            </w:r>
          </w:p>
        </w:tc>
      </w:tr>
      <w:tr w14:paraId="78660320">
        <w:tblPrEx>
          <w:tblCellMar>
            <w:top w:w="0" w:type="dxa"/>
            <w:left w:w="108" w:type="dxa"/>
            <w:bottom w:w="0" w:type="dxa"/>
            <w:right w:w="108" w:type="dxa"/>
          </w:tblCellMar>
        </w:tblPrEx>
        <w:trPr>
          <w:trHeight w:val="315" w:hRule="atLeast"/>
        </w:trPr>
        <w:tc>
          <w:tcPr>
            <w:tcW w:w="3119" w:type="dxa"/>
            <w:vMerge w:val="restart"/>
            <w:tcBorders>
              <w:top w:val="nil"/>
              <w:left w:val="single" w:color="auto" w:sz="4" w:space="0"/>
              <w:bottom w:val="single" w:color="auto" w:sz="4" w:space="0"/>
              <w:right w:val="single" w:color="auto" w:sz="4" w:space="0"/>
            </w:tcBorders>
            <w:shd w:val="clear" w:color="auto" w:fill="auto"/>
            <w:vAlign w:val="center"/>
          </w:tcPr>
          <w:p w14:paraId="2FD8BD05">
            <w:pPr>
              <w:rPr>
                <w:rFonts w:ascii="宋体" w:hAnsi="宋体" w:cs="宋体"/>
                <w:color w:val="FF0000"/>
                <w:kern w:val="0"/>
                <w:sz w:val="18"/>
                <w:szCs w:val="18"/>
              </w:rPr>
            </w:pPr>
            <w:r>
              <w:rPr>
                <w:rFonts w:hint="eastAsia" w:ascii="宋体" w:hAnsi="宋体" w:cs="宋体"/>
                <w:color w:val="FF0000"/>
                <w:kern w:val="0"/>
                <w:sz w:val="18"/>
                <w:szCs w:val="18"/>
              </w:rPr>
              <w:t>服务响应（10分）</w:t>
            </w:r>
          </w:p>
        </w:tc>
        <w:tc>
          <w:tcPr>
            <w:tcW w:w="1984" w:type="dxa"/>
            <w:tcBorders>
              <w:top w:val="nil"/>
              <w:left w:val="nil"/>
              <w:bottom w:val="single" w:color="auto" w:sz="4" w:space="0"/>
              <w:right w:val="single" w:color="auto" w:sz="4" w:space="0"/>
            </w:tcBorders>
            <w:shd w:val="clear" w:color="auto" w:fill="auto"/>
            <w:vAlign w:val="center"/>
          </w:tcPr>
          <w:p w14:paraId="28D828E2">
            <w:pPr>
              <w:rPr>
                <w:rFonts w:ascii="宋体" w:hAnsi="宋体" w:cs="宋体"/>
                <w:color w:val="FF0000"/>
                <w:kern w:val="0"/>
                <w:sz w:val="18"/>
                <w:szCs w:val="18"/>
              </w:rPr>
            </w:pPr>
            <w:r>
              <w:rPr>
                <w:rFonts w:hint="eastAsia" w:ascii="宋体" w:hAnsi="宋体" w:cs="宋体"/>
                <w:color w:val="FF0000"/>
                <w:kern w:val="0"/>
                <w:sz w:val="18"/>
                <w:szCs w:val="18"/>
              </w:rPr>
              <w:t>及时率100%</w:t>
            </w:r>
          </w:p>
        </w:tc>
        <w:tc>
          <w:tcPr>
            <w:tcW w:w="851" w:type="dxa"/>
            <w:tcBorders>
              <w:top w:val="nil"/>
              <w:left w:val="nil"/>
              <w:bottom w:val="single" w:color="auto" w:sz="4" w:space="0"/>
              <w:right w:val="single" w:color="auto" w:sz="4" w:space="0"/>
            </w:tcBorders>
            <w:shd w:val="clear" w:color="auto" w:fill="auto"/>
            <w:vAlign w:val="center"/>
          </w:tcPr>
          <w:p w14:paraId="07A52532">
            <w:pPr>
              <w:rPr>
                <w:rFonts w:ascii="宋体" w:hAnsi="宋体" w:cs="宋体"/>
                <w:color w:val="FF0000"/>
                <w:kern w:val="0"/>
                <w:sz w:val="18"/>
                <w:szCs w:val="18"/>
              </w:rPr>
            </w:pPr>
            <w:r>
              <w:rPr>
                <w:rFonts w:hint="eastAsia" w:ascii="宋体" w:hAnsi="宋体" w:cs="宋体"/>
                <w:color w:val="FF0000"/>
                <w:kern w:val="0"/>
                <w:sz w:val="18"/>
                <w:szCs w:val="18"/>
              </w:rPr>
              <w:t>10</w:t>
            </w:r>
          </w:p>
        </w:tc>
        <w:tc>
          <w:tcPr>
            <w:tcW w:w="4252" w:type="dxa"/>
            <w:vMerge w:val="restart"/>
            <w:tcBorders>
              <w:top w:val="nil"/>
              <w:left w:val="single" w:color="auto" w:sz="4" w:space="0"/>
              <w:bottom w:val="single" w:color="auto" w:sz="4" w:space="0"/>
              <w:right w:val="single" w:color="auto" w:sz="4" w:space="0"/>
            </w:tcBorders>
            <w:shd w:val="clear" w:color="auto" w:fill="auto"/>
            <w:vAlign w:val="center"/>
          </w:tcPr>
          <w:p w14:paraId="6590A064">
            <w:pPr>
              <w:rPr>
                <w:rFonts w:ascii="宋体" w:hAnsi="宋体" w:cs="宋体"/>
                <w:color w:val="FF0000"/>
                <w:kern w:val="0"/>
                <w:sz w:val="18"/>
                <w:szCs w:val="18"/>
              </w:rPr>
            </w:pPr>
            <w:r>
              <w:rPr>
                <w:rFonts w:hint="eastAsia" w:ascii="宋体" w:hAnsi="宋体" w:cs="宋体"/>
                <w:color w:val="FF0000"/>
                <w:kern w:val="0"/>
                <w:sz w:val="18"/>
                <w:szCs w:val="18"/>
              </w:rPr>
              <w:t>及时率=(技术人员及时到达指定地点次数÷故障申告次数)*100%</w:t>
            </w:r>
          </w:p>
        </w:tc>
      </w:tr>
      <w:tr w14:paraId="4F705FDF">
        <w:tblPrEx>
          <w:tblCellMar>
            <w:top w:w="0" w:type="dxa"/>
            <w:left w:w="108" w:type="dxa"/>
            <w:bottom w:w="0" w:type="dxa"/>
            <w:right w:w="108" w:type="dxa"/>
          </w:tblCellMar>
        </w:tblPrEx>
        <w:trPr>
          <w:trHeight w:val="315" w:hRule="atLeast"/>
        </w:trPr>
        <w:tc>
          <w:tcPr>
            <w:tcW w:w="3119" w:type="dxa"/>
            <w:vMerge w:val="continue"/>
            <w:tcBorders>
              <w:top w:val="nil"/>
              <w:left w:val="single" w:color="auto" w:sz="4" w:space="0"/>
              <w:bottom w:val="single" w:color="auto" w:sz="4" w:space="0"/>
              <w:right w:val="single" w:color="auto" w:sz="4" w:space="0"/>
            </w:tcBorders>
            <w:vAlign w:val="center"/>
          </w:tcPr>
          <w:p w14:paraId="7C92EAEB">
            <w:pPr>
              <w:jc w:val="left"/>
              <w:rPr>
                <w:rFonts w:ascii="宋体" w:hAnsi="宋体" w:cs="宋体"/>
                <w:color w:val="FF0000"/>
                <w:kern w:val="0"/>
                <w:sz w:val="18"/>
                <w:szCs w:val="18"/>
              </w:rPr>
            </w:pPr>
          </w:p>
        </w:tc>
        <w:tc>
          <w:tcPr>
            <w:tcW w:w="1984" w:type="dxa"/>
            <w:tcBorders>
              <w:top w:val="nil"/>
              <w:left w:val="nil"/>
              <w:bottom w:val="single" w:color="auto" w:sz="4" w:space="0"/>
              <w:right w:val="single" w:color="auto" w:sz="4" w:space="0"/>
            </w:tcBorders>
            <w:shd w:val="clear" w:color="auto" w:fill="auto"/>
            <w:vAlign w:val="center"/>
          </w:tcPr>
          <w:p w14:paraId="2B4B22CC">
            <w:pPr>
              <w:rPr>
                <w:rFonts w:ascii="宋体" w:hAnsi="宋体" w:cs="宋体"/>
                <w:color w:val="FF0000"/>
                <w:kern w:val="0"/>
                <w:sz w:val="18"/>
                <w:szCs w:val="18"/>
              </w:rPr>
            </w:pPr>
            <w:r>
              <w:rPr>
                <w:rFonts w:hint="eastAsia" w:ascii="宋体" w:hAnsi="宋体" w:cs="宋体"/>
                <w:color w:val="FF0000"/>
                <w:kern w:val="0"/>
                <w:sz w:val="18"/>
                <w:szCs w:val="18"/>
              </w:rPr>
              <w:t>95%≤及时率＜100%</w:t>
            </w:r>
          </w:p>
        </w:tc>
        <w:tc>
          <w:tcPr>
            <w:tcW w:w="851" w:type="dxa"/>
            <w:tcBorders>
              <w:top w:val="nil"/>
              <w:left w:val="nil"/>
              <w:bottom w:val="single" w:color="auto" w:sz="4" w:space="0"/>
              <w:right w:val="single" w:color="auto" w:sz="4" w:space="0"/>
            </w:tcBorders>
            <w:shd w:val="clear" w:color="auto" w:fill="auto"/>
            <w:vAlign w:val="center"/>
          </w:tcPr>
          <w:p w14:paraId="7C82B576">
            <w:pPr>
              <w:rPr>
                <w:rFonts w:ascii="宋体" w:hAnsi="宋体" w:cs="宋体"/>
                <w:color w:val="FF0000"/>
                <w:kern w:val="0"/>
                <w:sz w:val="18"/>
                <w:szCs w:val="18"/>
              </w:rPr>
            </w:pPr>
            <w:r>
              <w:rPr>
                <w:rFonts w:hint="eastAsia" w:ascii="宋体" w:hAnsi="宋体" w:cs="宋体"/>
                <w:color w:val="FF0000"/>
                <w:kern w:val="0"/>
                <w:sz w:val="18"/>
                <w:szCs w:val="18"/>
              </w:rPr>
              <w:t>8</w:t>
            </w:r>
          </w:p>
        </w:tc>
        <w:tc>
          <w:tcPr>
            <w:tcW w:w="4252" w:type="dxa"/>
            <w:vMerge w:val="continue"/>
            <w:tcBorders>
              <w:top w:val="nil"/>
              <w:left w:val="single" w:color="auto" w:sz="4" w:space="0"/>
              <w:bottom w:val="single" w:color="auto" w:sz="4" w:space="0"/>
              <w:right w:val="single" w:color="auto" w:sz="4" w:space="0"/>
            </w:tcBorders>
            <w:vAlign w:val="center"/>
          </w:tcPr>
          <w:p w14:paraId="3D786967">
            <w:pPr>
              <w:jc w:val="left"/>
              <w:rPr>
                <w:rFonts w:ascii="宋体" w:hAnsi="宋体" w:cs="宋体"/>
                <w:color w:val="FF0000"/>
                <w:kern w:val="0"/>
                <w:sz w:val="18"/>
                <w:szCs w:val="18"/>
              </w:rPr>
            </w:pPr>
          </w:p>
        </w:tc>
      </w:tr>
      <w:tr w14:paraId="5F945211">
        <w:tblPrEx>
          <w:tblCellMar>
            <w:top w:w="0" w:type="dxa"/>
            <w:left w:w="108" w:type="dxa"/>
            <w:bottom w:w="0" w:type="dxa"/>
            <w:right w:w="108" w:type="dxa"/>
          </w:tblCellMar>
        </w:tblPrEx>
        <w:trPr>
          <w:trHeight w:val="315" w:hRule="atLeast"/>
        </w:trPr>
        <w:tc>
          <w:tcPr>
            <w:tcW w:w="3119" w:type="dxa"/>
            <w:vMerge w:val="continue"/>
            <w:tcBorders>
              <w:top w:val="nil"/>
              <w:left w:val="single" w:color="auto" w:sz="4" w:space="0"/>
              <w:bottom w:val="single" w:color="auto" w:sz="4" w:space="0"/>
              <w:right w:val="single" w:color="auto" w:sz="4" w:space="0"/>
            </w:tcBorders>
            <w:vAlign w:val="center"/>
          </w:tcPr>
          <w:p w14:paraId="251AC47B">
            <w:pPr>
              <w:jc w:val="left"/>
              <w:rPr>
                <w:rFonts w:ascii="宋体" w:hAnsi="宋体" w:cs="宋体"/>
                <w:color w:val="FF0000"/>
                <w:kern w:val="0"/>
                <w:sz w:val="18"/>
                <w:szCs w:val="18"/>
              </w:rPr>
            </w:pPr>
          </w:p>
        </w:tc>
        <w:tc>
          <w:tcPr>
            <w:tcW w:w="1984" w:type="dxa"/>
            <w:tcBorders>
              <w:top w:val="nil"/>
              <w:left w:val="nil"/>
              <w:bottom w:val="single" w:color="auto" w:sz="4" w:space="0"/>
              <w:right w:val="single" w:color="auto" w:sz="4" w:space="0"/>
            </w:tcBorders>
            <w:shd w:val="clear" w:color="auto" w:fill="auto"/>
            <w:vAlign w:val="center"/>
          </w:tcPr>
          <w:p w14:paraId="0EF06DB1">
            <w:pPr>
              <w:rPr>
                <w:rFonts w:ascii="宋体" w:hAnsi="宋体" w:cs="宋体"/>
                <w:color w:val="FF0000"/>
                <w:kern w:val="0"/>
                <w:sz w:val="18"/>
                <w:szCs w:val="18"/>
              </w:rPr>
            </w:pPr>
            <w:r>
              <w:rPr>
                <w:rFonts w:hint="eastAsia" w:ascii="宋体" w:hAnsi="宋体" w:cs="宋体"/>
                <w:color w:val="FF0000"/>
                <w:kern w:val="0"/>
                <w:sz w:val="18"/>
                <w:szCs w:val="18"/>
              </w:rPr>
              <w:t>90%≤及时率＜95%</w:t>
            </w:r>
          </w:p>
        </w:tc>
        <w:tc>
          <w:tcPr>
            <w:tcW w:w="851" w:type="dxa"/>
            <w:tcBorders>
              <w:top w:val="nil"/>
              <w:left w:val="nil"/>
              <w:bottom w:val="single" w:color="auto" w:sz="4" w:space="0"/>
              <w:right w:val="single" w:color="auto" w:sz="4" w:space="0"/>
            </w:tcBorders>
            <w:shd w:val="clear" w:color="auto" w:fill="auto"/>
            <w:vAlign w:val="center"/>
          </w:tcPr>
          <w:p w14:paraId="38ACCBF5">
            <w:pPr>
              <w:rPr>
                <w:rFonts w:ascii="宋体" w:hAnsi="宋体" w:cs="宋体"/>
                <w:color w:val="FF0000"/>
                <w:kern w:val="0"/>
                <w:sz w:val="18"/>
                <w:szCs w:val="18"/>
              </w:rPr>
            </w:pPr>
            <w:r>
              <w:rPr>
                <w:rFonts w:hint="eastAsia" w:ascii="宋体" w:hAnsi="宋体" w:cs="宋体"/>
                <w:color w:val="FF0000"/>
                <w:kern w:val="0"/>
                <w:sz w:val="18"/>
                <w:szCs w:val="18"/>
              </w:rPr>
              <w:t>5</w:t>
            </w:r>
          </w:p>
        </w:tc>
        <w:tc>
          <w:tcPr>
            <w:tcW w:w="4252" w:type="dxa"/>
            <w:vMerge w:val="continue"/>
            <w:tcBorders>
              <w:top w:val="nil"/>
              <w:left w:val="single" w:color="auto" w:sz="4" w:space="0"/>
              <w:bottom w:val="single" w:color="auto" w:sz="4" w:space="0"/>
              <w:right w:val="single" w:color="auto" w:sz="4" w:space="0"/>
            </w:tcBorders>
            <w:vAlign w:val="center"/>
          </w:tcPr>
          <w:p w14:paraId="581959BB">
            <w:pPr>
              <w:jc w:val="left"/>
              <w:rPr>
                <w:rFonts w:ascii="宋体" w:hAnsi="宋体" w:cs="宋体"/>
                <w:color w:val="FF0000"/>
                <w:kern w:val="0"/>
                <w:sz w:val="18"/>
                <w:szCs w:val="18"/>
              </w:rPr>
            </w:pPr>
          </w:p>
        </w:tc>
      </w:tr>
      <w:tr w14:paraId="69194899">
        <w:tblPrEx>
          <w:tblCellMar>
            <w:top w:w="0" w:type="dxa"/>
            <w:left w:w="108" w:type="dxa"/>
            <w:bottom w:w="0" w:type="dxa"/>
            <w:right w:w="108" w:type="dxa"/>
          </w:tblCellMar>
        </w:tblPrEx>
        <w:trPr>
          <w:trHeight w:val="315" w:hRule="atLeast"/>
        </w:trPr>
        <w:tc>
          <w:tcPr>
            <w:tcW w:w="3119" w:type="dxa"/>
            <w:vMerge w:val="continue"/>
            <w:tcBorders>
              <w:top w:val="nil"/>
              <w:left w:val="single" w:color="auto" w:sz="4" w:space="0"/>
              <w:bottom w:val="single" w:color="auto" w:sz="4" w:space="0"/>
              <w:right w:val="single" w:color="auto" w:sz="4" w:space="0"/>
            </w:tcBorders>
            <w:vAlign w:val="center"/>
          </w:tcPr>
          <w:p w14:paraId="581D4F09">
            <w:pPr>
              <w:jc w:val="left"/>
              <w:rPr>
                <w:rFonts w:ascii="宋体" w:hAnsi="宋体" w:cs="宋体"/>
                <w:color w:val="FF0000"/>
                <w:kern w:val="0"/>
                <w:sz w:val="18"/>
                <w:szCs w:val="18"/>
              </w:rPr>
            </w:pPr>
          </w:p>
        </w:tc>
        <w:tc>
          <w:tcPr>
            <w:tcW w:w="1984" w:type="dxa"/>
            <w:tcBorders>
              <w:top w:val="nil"/>
              <w:left w:val="nil"/>
              <w:bottom w:val="single" w:color="auto" w:sz="4" w:space="0"/>
              <w:right w:val="single" w:color="auto" w:sz="4" w:space="0"/>
            </w:tcBorders>
            <w:shd w:val="clear" w:color="auto" w:fill="auto"/>
            <w:vAlign w:val="center"/>
          </w:tcPr>
          <w:p w14:paraId="776DE595">
            <w:pPr>
              <w:rPr>
                <w:rFonts w:ascii="宋体" w:hAnsi="宋体" w:cs="宋体"/>
                <w:color w:val="FF0000"/>
                <w:kern w:val="0"/>
                <w:sz w:val="18"/>
                <w:szCs w:val="18"/>
              </w:rPr>
            </w:pPr>
            <w:r>
              <w:rPr>
                <w:rFonts w:hint="eastAsia" w:ascii="宋体" w:hAnsi="宋体" w:cs="宋体"/>
                <w:color w:val="FF0000"/>
                <w:kern w:val="0"/>
                <w:sz w:val="18"/>
                <w:szCs w:val="18"/>
              </w:rPr>
              <w:t>及时率＜90%</w:t>
            </w:r>
          </w:p>
        </w:tc>
        <w:tc>
          <w:tcPr>
            <w:tcW w:w="851" w:type="dxa"/>
            <w:tcBorders>
              <w:top w:val="nil"/>
              <w:left w:val="nil"/>
              <w:bottom w:val="single" w:color="auto" w:sz="4" w:space="0"/>
              <w:right w:val="single" w:color="auto" w:sz="4" w:space="0"/>
            </w:tcBorders>
            <w:shd w:val="clear" w:color="auto" w:fill="auto"/>
            <w:vAlign w:val="center"/>
          </w:tcPr>
          <w:p w14:paraId="4E0D72C0">
            <w:pPr>
              <w:rPr>
                <w:rFonts w:ascii="宋体" w:hAnsi="宋体" w:cs="宋体"/>
                <w:color w:val="FF0000"/>
                <w:kern w:val="0"/>
                <w:sz w:val="18"/>
                <w:szCs w:val="18"/>
              </w:rPr>
            </w:pPr>
            <w:r>
              <w:rPr>
                <w:rFonts w:hint="eastAsia" w:ascii="宋体" w:hAnsi="宋体" w:cs="宋体"/>
                <w:color w:val="FF0000"/>
                <w:kern w:val="0"/>
                <w:sz w:val="18"/>
                <w:szCs w:val="18"/>
              </w:rPr>
              <w:t>0</w:t>
            </w:r>
          </w:p>
        </w:tc>
        <w:tc>
          <w:tcPr>
            <w:tcW w:w="4252" w:type="dxa"/>
            <w:vMerge w:val="continue"/>
            <w:tcBorders>
              <w:top w:val="nil"/>
              <w:left w:val="single" w:color="auto" w:sz="4" w:space="0"/>
              <w:bottom w:val="single" w:color="auto" w:sz="4" w:space="0"/>
              <w:right w:val="single" w:color="auto" w:sz="4" w:space="0"/>
            </w:tcBorders>
            <w:vAlign w:val="center"/>
          </w:tcPr>
          <w:p w14:paraId="74F7FFB2">
            <w:pPr>
              <w:jc w:val="left"/>
              <w:rPr>
                <w:rFonts w:ascii="宋体" w:hAnsi="宋体" w:cs="宋体"/>
                <w:color w:val="FF0000"/>
                <w:kern w:val="0"/>
                <w:sz w:val="18"/>
                <w:szCs w:val="18"/>
              </w:rPr>
            </w:pPr>
          </w:p>
        </w:tc>
      </w:tr>
      <w:tr w14:paraId="2EA4C887">
        <w:tblPrEx>
          <w:tblCellMar>
            <w:top w:w="0" w:type="dxa"/>
            <w:left w:w="108" w:type="dxa"/>
            <w:bottom w:w="0" w:type="dxa"/>
            <w:right w:w="108" w:type="dxa"/>
          </w:tblCellMar>
        </w:tblPrEx>
        <w:trPr>
          <w:trHeight w:val="70" w:hRule="atLeast"/>
        </w:trPr>
        <w:tc>
          <w:tcPr>
            <w:tcW w:w="10206" w:type="dxa"/>
            <w:gridSpan w:val="4"/>
            <w:tcBorders>
              <w:top w:val="single" w:color="auto" w:sz="4" w:space="0"/>
              <w:left w:val="single" w:color="auto" w:sz="4" w:space="0"/>
              <w:bottom w:val="single" w:color="auto" w:sz="4" w:space="0"/>
              <w:right w:val="single" w:color="auto" w:sz="4" w:space="0"/>
            </w:tcBorders>
            <w:shd w:val="clear" w:color="auto" w:fill="auto"/>
            <w:vAlign w:val="center"/>
          </w:tcPr>
          <w:p w14:paraId="0A02F605">
            <w:pPr>
              <w:jc w:val="center"/>
              <w:rPr>
                <w:rFonts w:ascii="宋体" w:hAnsi="宋体" w:cs="宋体"/>
                <w:b/>
                <w:bCs/>
                <w:color w:val="FF0000"/>
                <w:kern w:val="0"/>
                <w:sz w:val="18"/>
                <w:szCs w:val="18"/>
              </w:rPr>
            </w:pPr>
            <w:r>
              <w:rPr>
                <w:rFonts w:hint="eastAsia" w:ascii="宋体" w:hAnsi="宋体" w:cs="宋体"/>
                <w:b/>
                <w:bCs/>
                <w:color w:val="FF0000"/>
                <w:kern w:val="0"/>
                <w:sz w:val="18"/>
                <w:szCs w:val="18"/>
              </w:rPr>
              <w:t>队伍建设及制度（15分）,年考核部分</w:t>
            </w:r>
          </w:p>
        </w:tc>
      </w:tr>
      <w:tr w14:paraId="4E54AFAE">
        <w:tblPrEx>
          <w:tblCellMar>
            <w:top w:w="0" w:type="dxa"/>
            <w:left w:w="108" w:type="dxa"/>
            <w:bottom w:w="0" w:type="dxa"/>
            <w:right w:w="108" w:type="dxa"/>
          </w:tblCellMar>
        </w:tblPrEx>
        <w:trPr>
          <w:trHeight w:val="276" w:hRule="atLeast"/>
        </w:trPr>
        <w:tc>
          <w:tcPr>
            <w:tcW w:w="3119" w:type="dxa"/>
            <w:vMerge w:val="restart"/>
            <w:tcBorders>
              <w:top w:val="nil"/>
              <w:left w:val="single" w:color="auto" w:sz="4" w:space="0"/>
              <w:bottom w:val="nil"/>
              <w:right w:val="single" w:color="auto" w:sz="4" w:space="0"/>
            </w:tcBorders>
            <w:shd w:val="clear" w:color="auto" w:fill="auto"/>
            <w:vAlign w:val="center"/>
          </w:tcPr>
          <w:p w14:paraId="02ADAB0E">
            <w:pPr>
              <w:jc w:val="left"/>
              <w:rPr>
                <w:rFonts w:ascii="宋体" w:hAnsi="宋体" w:cs="宋体"/>
                <w:color w:val="FF0000"/>
                <w:kern w:val="0"/>
                <w:sz w:val="18"/>
                <w:szCs w:val="18"/>
              </w:rPr>
            </w:pPr>
            <w:r>
              <w:rPr>
                <w:rFonts w:hint="eastAsia" w:ascii="宋体" w:hAnsi="宋体" w:cs="宋体"/>
                <w:color w:val="FF0000"/>
                <w:kern w:val="0"/>
                <w:sz w:val="18"/>
                <w:szCs w:val="18"/>
              </w:rPr>
              <w:t>维护团队</w:t>
            </w:r>
          </w:p>
        </w:tc>
        <w:tc>
          <w:tcPr>
            <w:tcW w:w="1984" w:type="dxa"/>
            <w:tcBorders>
              <w:top w:val="nil"/>
              <w:left w:val="nil"/>
              <w:bottom w:val="single" w:color="auto" w:sz="4" w:space="0"/>
              <w:right w:val="single" w:color="auto" w:sz="4" w:space="0"/>
            </w:tcBorders>
            <w:shd w:val="clear" w:color="auto" w:fill="auto"/>
            <w:vAlign w:val="center"/>
          </w:tcPr>
          <w:p w14:paraId="5B87DA8D">
            <w:pPr>
              <w:rPr>
                <w:rFonts w:ascii="宋体" w:hAnsi="宋体" w:cs="宋体"/>
                <w:color w:val="FF0000"/>
                <w:kern w:val="0"/>
                <w:sz w:val="18"/>
                <w:szCs w:val="18"/>
              </w:rPr>
            </w:pPr>
            <w:r>
              <w:rPr>
                <w:rFonts w:hint="eastAsia" w:ascii="宋体" w:hAnsi="宋体" w:cs="宋体"/>
                <w:color w:val="FF0000"/>
                <w:kern w:val="0"/>
                <w:sz w:val="18"/>
                <w:szCs w:val="18"/>
              </w:rPr>
              <w:t>维护人员</w:t>
            </w:r>
          </w:p>
        </w:tc>
        <w:tc>
          <w:tcPr>
            <w:tcW w:w="851" w:type="dxa"/>
            <w:tcBorders>
              <w:top w:val="nil"/>
              <w:left w:val="nil"/>
              <w:bottom w:val="single" w:color="auto" w:sz="4" w:space="0"/>
              <w:right w:val="single" w:color="auto" w:sz="4" w:space="0"/>
            </w:tcBorders>
            <w:shd w:val="clear" w:color="auto" w:fill="auto"/>
            <w:vAlign w:val="center"/>
          </w:tcPr>
          <w:p w14:paraId="05D84259">
            <w:pPr>
              <w:rPr>
                <w:rFonts w:ascii="宋体" w:hAnsi="宋体" w:cs="宋体"/>
                <w:color w:val="FF0000"/>
                <w:kern w:val="0"/>
                <w:sz w:val="18"/>
                <w:szCs w:val="18"/>
              </w:rPr>
            </w:pPr>
            <w:r>
              <w:rPr>
                <w:rFonts w:hint="eastAsia" w:ascii="宋体" w:hAnsi="宋体" w:cs="宋体"/>
                <w:color w:val="FF0000"/>
                <w:kern w:val="0"/>
                <w:sz w:val="18"/>
                <w:szCs w:val="18"/>
              </w:rPr>
              <w:t>3</w:t>
            </w:r>
          </w:p>
        </w:tc>
        <w:tc>
          <w:tcPr>
            <w:tcW w:w="4252" w:type="dxa"/>
            <w:tcBorders>
              <w:top w:val="nil"/>
              <w:left w:val="nil"/>
              <w:bottom w:val="single" w:color="auto" w:sz="4" w:space="0"/>
              <w:right w:val="single" w:color="auto" w:sz="4" w:space="0"/>
            </w:tcBorders>
            <w:shd w:val="clear" w:color="auto" w:fill="auto"/>
            <w:vAlign w:val="center"/>
          </w:tcPr>
          <w:p w14:paraId="547602C2">
            <w:pPr>
              <w:rPr>
                <w:rFonts w:ascii="宋体" w:hAnsi="宋体" w:cs="宋体"/>
                <w:color w:val="FF0000"/>
                <w:kern w:val="0"/>
                <w:sz w:val="18"/>
                <w:szCs w:val="18"/>
              </w:rPr>
            </w:pPr>
            <w:r>
              <w:rPr>
                <w:rFonts w:hint="eastAsia" w:ascii="宋体" w:hAnsi="宋体" w:cs="宋体"/>
                <w:color w:val="FF0000"/>
                <w:kern w:val="0"/>
                <w:sz w:val="18"/>
                <w:szCs w:val="18"/>
              </w:rPr>
              <w:t>驻场人员与合同要求人员相比，每少一人扣0.5分，本项扣完为止</w:t>
            </w:r>
          </w:p>
        </w:tc>
      </w:tr>
      <w:tr w14:paraId="01DA154D">
        <w:tblPrEx>
          <w:tblCellMar>
            <w:top w:w="0" w:type="dxa"/>
            <w:left w:w="108" w:type="dxa"/>
            <w:bottom w:w="0" w:type="dxa"/>
            <w:right w:w="108" w:type="dxa"/>
          </w:tblCellMar>
        </w:tblPrEx>
        <w:trPr>
          <w:trHeight w:val="70" w:hRule="atLeast"/>
        </w:trPr>
        <w:tc>
          <w:tcPr>
            <w:tcW w:w="3119" w:type="dxa"/>
            <w:vMerge w:val="continue"/>
            <w:tcBorders>
              <w:top w:val="nil"/>
              <w:left w:val="single" w:color="auto" w:sz="4" w:space="0"/>
              <w:bottom w:val="nil"/>
              <w:right w:val="single" w:color="auto" w:sz="4" w:space="0"/>
            </w:tcBorders>
            <w:vAlign w:val="center"/>
          </w:tcPr>
          <w:p w14:paraId="21E492EF">
            <w:pPr>
              <w:jc w:val="left"/>
              <w:rPr>
                <w:rFonts w:ascii="宋体" w:hAnsi="宋体" w:cs="宋体"/>
                <w:color w:val="FF0000"/>
                <w:kern w:val="0"/>
                <w:sz w:val="18"/>
                <w:szCs w:val="18"/>
              </w:rPr>
            </w:pPr>
          </w:p>
        </w:tc>
        <w:tc>
          <w:tcPr>
            <w:tcW w:w="1984" w:type="dxa"/>
            <w:tcBorders>
              <w:top w:val="nil"/>
              <w:left w:val="nil"/>
              <w:bottom w:val="single" w:color="auto" w:sz="4" w:space="0"/>
              <w:right w:val="single" w:color="auto" w:sz="4" w:space="0"/>
            </w:tcBorders>
            <w:shd w:val="clear" w:color="auto" w:fill="auto"/>
            <w:vAlign w:val="center"/>
          </w:tcPr>
          <w:p w14:paraId="58E5A3CE">
            <w:pPr>
              <w:rPr>
                <w:rFonts w:ascii="宋体" w:hAnsi="宋体" w:cs="宋体"/>
                <w:color w:val="FF0000"/>
                <w:kern w:val="0"/>
                <w:sz w:val="18"/>
                <w:szCs w:val="18"/>
              </w:rPr>
            </w:pPr>
            <w:r>
              <w:rPr>
                <w:rFonts w:hint="eastAsia" w:ascii="宋体" w:hAnsi="宋体" w:cs="宋体"/>
                <w:color w:val="FF0000"/>
                <w:kern w:val="0"/>
                <w:sz w:val="18"/>
                <w:szCs w:val="18"/>
              </w:rPr>
              <w:t>7*24小时电话</w:t>
            </w:r>
          </w:p>
        </w:tc>
        <w:tc>
          <w:tcPr>
            <w:tcW w:w="851" w:type="dxa"/>
            <w:tcBorders>
              <w:top w:val="nil"/>
              <w:left w:val="nil"/>
              <w:bottom w:val="single" w:color="auto" w:sz="4" w:space="0"/>
              <w:right w:val="single" w:color="auto" w:sz="4" w:space="0"/>
            </w:tcBorders>
            <w:shd w:val="clear" w:color="auto" w:fill="auto"/>
            <w:vAlign w:val="center"/>
          </w:tcPr>
          <w:p w14:paraId="7CC9EC86">
            <w:pPr>
              <w:rPr>
                <w:rFonts w:ascii="宋体" w:hAnsi="宋体" w:cs="宋体"/>
                <w:color w:val="FF0000"/>
                <w:kern w:val="0"/>
                <w:sz w:val="18"/>
                <w:szCs w:val="18"/>
              </w:rPr>
            </w:pPr>
            <w:r>
              <w:rPr>
                <w:rFonts w:hint="eastAsia" w:ascii="宋体" w:hAnsi="宋体" w:cs="宋体"/>
                <w:color w:val="FF0000"/>
                <w:kern w:val="0"/>
                <w:sz w:val="18"/>
                <w:szCs w:val="18"/>
              </w:rPr>
              <w:t>3</w:t>
            </w:r>
          </w:p>
        </w:tc>
        <w:tc>
          <w:tcPr>
            <w:tcW w:w="4252" w:type="dxa"/>
            <w:tcBorders>
              <w:top w:val="nil"/>
              <w:left w:val="nil"/>
              <w:bottom w:val="single" w:color="auto" w:sz="4" w:space="0"/>
              <w:right w:val="single" w:color="auto" w:sz="4" w:space="0"/>
            </w:tcBorders>
            <w:shd w:val="clear" w:color="auto" w:fill="auto"/>
            <w:vAlign w:val="center"/>
          </w:tcPr>
          <w:p w14:paraId="6983D6F3">
            <w:pPr>
              <w:rPr>
                <w:rFonts w:ascii="宋体" w:hAnsi="宋体" w:cs="宋体"/>
                <w:color w:val="FF0000"/>
                <w:kern w:val="0"/>
                <w:sz w:val="18"/>
                <w:szCs w:val="18"/>
              </w:rPr>
            </w:pPr>
            <w:r>
              <w:rPr>
                <w:rFonts w:hint="eastAsia" w:ascii="宋体" w:hAnsi="宋体" w:cs="宋体"/>
                <w:color w:val="FF0000"/>
                <w:kern w:val="0"/>
                <w:sz w:val="18"/>
                <w:szCs w:val="18"/>
              </w:rPr>
              <w:t>拨打电话出现下列情况（关机、欠费停机、空号）的，每发现一次扣0.3分，本项扣完为止</w:t>
            </w:r>
          </w:p>
        </w:tc>
      </w:tr>
      <w:tr w14:paraId="60D5D742">
        <w:tblPrEx>
          <w:tblCellMar>
            <w:top w:w="0" w:type="dxa"/>
            <w:left w:w="108" w:type="dxa"/>
            <w:bottom w:w="0" w:type="dxa"/>
            <w:right w:w="108" w:type="dxa"/>
          </w:tblCellMar>
        </w:tblPrEx>
        <w:trPr>
          <w:trHeight w:val="70" w:hRule="atLeast"/>
        </w:trPr>
        <w:tc>
          <w:tcPr>
            <w:tcW w:w="3119" w:type="dxa"/>
            <w:vMerge w:val="continue"/>
            <w:tcBorders>
              <w:top w:val="nil"/>
              <w:left w:val="single" w:color="auto" w:sz="4" w:space="0"/>
              <w:bottom w:val="nil"/>
              <w:right w:val="single" w:color="auto" w:sz="4" w:space="0"/>
            </w:tcBorders>
            <w:vAlign w:val="center"/>
          </w:tcPr>
          <w:p w14:paraId="266FE977">
            <w:pPr>
              <w:jc w:val="left"/>
              <w:rPr>
                <w:rFonts w:ascii="宋体" w:hAnsi="宋体" w:cs="宋体"/>
                <w:color w:val="FF0000"/>
                <w:kern w:val="0"/>
                <w:sz w:val="18"/>
                <w:szCs w:val="18"/>
              </w:rPr>
            </w:pPr>
          </w:p>
        </w:tc>
        <w:tc>
          <w:tcPr>
            <w:tcW w:w="1984" w:type="dxa"/>
            <w:tcBorders>
              <w:top w:val="nil"/>
              <w:left w:val="nil"/>
              <w:bottom w:val="single" w:color="auto" w:sz="4" w:space="0"/>
              <w:right w:val="single" w:color="auto" w:sz="4" w:space="0"/>
            </w:tcBorders>
            <w:shd w:val="clear" w:color="auto" w:fill="auto"/>
            <w:vAlign w:val="center"/>
          </w:tcPr>
          <w:p w14:paraId="2E5C4071">
            <w:pPr>
              <w:rPr>
                <w:rFonts w:ascii="宋体" w:hAnsi="宋体" w:cs="宋体"/>
                <w:color w:val="FF0000"/>
                <w:kern w:val="0"/>
                <w:sz w:val="18"/>
                <w:szCs w:val="18"/>
              </w:rPr>
            </w:pPr>
            <w:r>
              <w:rPr>
                <w:rFonts w:hint="eastAsia" w:ascii="宋体" w:hAnsi="宋体" w:cs="宋体"/>
                <w:color w:val="FF0000"/>
                <w:kern w:val="0"/>
                <w:sz w:val="18"/>
                <w:szCs w:val="18"/>
              </w:rPr>
              <w:t>制度遵守</w:t>
            </w:r>
          </w:p>
        </w:tc>
        <w:tc>
          <w:tcPr>
            <w:tcW w:w="851" w:type="dxa"/>
            <w:tcBorders>
              <w:top w:val="nil"/>
              <w:left w:val="nil"/>
              <w:bottom w:val="single" w:color="auto" w:sz="4" w:space="0"/>
              <w:right w:val="single" w:color="auto" w:sz="4" w:space="0"/>
            </w:tcBorders>
            <w:shd w:val="clear" w:color="auto" w:fill="auto"/>
            <w:vAlign w:val="center"/>
          </w:tcPr>
          <w:p w14:paraId="24210119">
            <w:pPr>
              <w:rPr>
                <w:rFonts w:ascii="宋体" w:hAnsi="宋体" w:cs="宋体"/>
                <w:color w:val="FF0000"/>
                <w:kern w:val="0"/>
                <w:sz w:val="18"/>
                <w:szCs w:val="18"/>
              </w:rPr>
            </w:pPr>
            <w:r>
              <w:rPr>
                <w:rFonts w:hint="eastAsia" w:ascii="宋体" w:hAnsi="宋体" w:cs="宋体"/>
                <w:color w:val="FF0000"/>
                <w:kern w:val="0"/>
                <w:sz w:val="18"/>
                <w:szCs w:val="18"/>
              </w:rPr>
              <w:t>3</w:t>
            </w:r>
          </w:p>
        </w:tc>
        <w:tc>
          <w:tcPr>
            <w:tcW w:w="4252" w:type="dxa"/>
            <w:tcBorders>
              <w:top w:val="nil"/>
              <w:left w:val="nil"/>
              <w:bottom w:val="single" w:color="auto" w:sz="4" w:space="0"/>
              <w:right w:val="single" w:color="auto" w:sz="4" w:space="0"/>
            </w:tcBorders>
            <w:shd w:val="clear" w:color="auto" w:fill="auto"/>
            <w:vAlign w:val="center"/>
          </w:tcPr>
          <w:p w14:paraId="2133F1F4">
            <w:pPr>
              <w:rPr>
                <w:rFonts w:ascii="宋体" w:hAnsi="宋体" w:cs="宋体"/>
                <w:color w:val="FF0000"/>
                <w:kern w:val="0"/>
                <w:sz w:val="18"/>
                <w:szCs w:val="18"/>
              </w:rPr>
            </w:pPr>
            <w:r>
              <w:rPr>
                <w:rFonts w:hint="eastAsia" w:ascii="宋体" w:hAnsi="宋体" w:cs="宋体"/>
                <w:color w:val="FF0000"/>
                <w:kern w:val="0"/>
                <w:sz w:val="18"/>
                <w:szCs w:val="18"/>
              </w:rPr>
              <w:t>运维服务应有运维情况记录、交接记录，当需要核实故障记录时，每发现一次记录缺失扣0.3分，本项扣完为止</w:t>
            </w:r>
          </w:p>
        </w:tc>
      </w:tr>
      <w:tr w14:paraId="7A06041A">
        <w:tblPrEx>
          <w:tblCellMar>
            <w:top w:w="0" w:type="dxa"/>
            <w:left w:w="108" w:type="dxa"/>
            <w:bottom w:w="0" w:type="dxa"/>
            <w:right w:w="108" w:type="dxa"/>
          </w:tblCellMar>
        </w:tblPrEx>
        <w:trPr>
          <w:trHeight w:val="322" w:hRule="atLeast"/>
        </w:trPr>
        <w:tc>
          <w:tcPr>
            <w:tcW w:w="3119" w:type="dxa"/>
            <w:vMerge w:val="continue"/>
            <w:tcBorders>
              <w:top w:val="nil"/>
              <w:left w:val="single" w:color="auto" w:sz="4" w:space="0"/>
              <w:bottom w:val="nil"/>
              <w:right w:val="single" w:color="auto" w:sz="4" w:space="0"/>
            </w:tcBorders>
            <w:vAlign w:val="center"/>
          </w:tcPr>
          <w:p w14:paraId="06AFF2F8">
            <w:pPr>
              <w:jc w:val="left"/>
              <w:rPr>
                <w:rFonts w:ascii="宋体" w:hAnsi="宋体" w:cs="宋体"/>
                <w:color w:val="FF0000"/>
                <w:kern w:val="0"/>
                <w:sz w:val="18"/>
                <w:szCs w:val="18"/>
              </w:rPr>
            </w:pPr>
          </w:p>
        </w:tc>
        <w:tc>
          <w:tcPr>
            <w:tcW w:w="1984" w:type="dxa"/>
            <w:tcBorders>
              <w:top w:val="nil"/>
              <w:left w:val="nil"/>
              <w:bottom w:val="single" w:color="auto" w:sz="4" w:space="0"/>
              <w:right w:val="single" w:color="auto" w:sz="4" w:space="0"/>
            </w:tcBorders>
            <w:shd w:val="clear" w:color="auto" w:fill="auto"/>
            <w:vAlign w:val="center"/>
          </w:tcPr>
          <w:p w14:paraId="2708CE77">
            <w:pPr>
              <w:rPr>
                <w:rFonts w:ascii="宋体" w:hAnsi="宋体" w:cs="宋体"/>
                <w:color w:val="FF0000"/>
                <w:kern w:val="0"/>
                <w:sz w:val="18"/>
                <w:szCs w:val="18"/>
              </w:rPr>
            </w:pPr>
            <w:r>
              <w:rPr>
                <w:rFonts w:hint="eastAsia" w:ascii="宋体" w:hAnsi="宋体" w:cs="宋体"/>
                <w:color w:val="FF0000"/>
                <w:kern w:val="0"/>
                <w:sz w:val="18"/>
                <w:szCs w:val="18"/>
              </w:rPr>
              <w:t>提交日、周、月报表</w:t>
            </w:r>
          </w:p>
        </w:tc>
        <w:tc>
          <w:tcPr>
            <w:tcW w:w="851" w:type="dxa"/>
            <w:tcBorders>
              <w:top w:val="nil"/>
              <w:left w:val="nil"/>
              <w:bottom w:val="single" w:color="auto" w:sz="4" w:space="0"/>
              <w:right w:val="single" w:color="auto" w:sz="4" w:space="0"/>
            </w:tcBorders>
            <w:shd w:val="clear" w:color="auto" w:fill="auto"/>
            <w:vAlign w:val="center"/>
          </w:tcPr>
          <w:p w14:paraId="17E571D1">
            <w:pPr>
              <w:rPr>
                <w:rFonts w:ascii="宋体" w:hAnsi="宋体" w:cs="宋体"/>
                <w:color w:val="FF0000"/>
                <w:kern w:val="0"/>
                <w:sz w:val="18"/>
                <w:szCs w:val="18"/>
              </w:rPr>
            </w:pPr>
            <w:r>
              <w:rPr>
                <w:rFonts w:hint="eastAsia" w:ascii="宋体" w:hAnsi="宋体" w:cs="宋体"/>
                <w:color w:val="FF0000"/>
                <w:kern w:val="0"/>
                <w:sz w:val="18"/>
                <w:szCs w:val="18"/>
              </w:rPr>
              <w:t>3</w:t>
            </w:r>
          </w:p>
        </w:tc>
        <w:tc>
          <w:tcPr>
            <w:tcW w:w="4252" w:type="dxa"/>
            <w:tcBorders>
              <w:top w:val="nil"/>
              <w:left w:val="nil"/>
              <w:bottom w:val="single" w:color="auto" w:sz="4" w:space="0"/>
              <w:right w:val="single" w:color="auto" w:sz="4" w:space="0"/>
            </w:tcBorders>
            <w:shd w:val="clear" w:color="auto" w:fill="auto"/>
            <w:vAlign w:val="center"/>
          </w:tcPr>
          <w:p w14:paraId="584C1672">
            <w:pPr>
              <w:rPr>
                <w:rFonts w:ascii="宋体" w:hAnsi="宋体" w:cs="宋体"/>
                <w:color w:val="FF0000"/>
                <w:kern w:val="0"/>
                <w:sz w:val="18"/>
                <w:szCs w:val="18"/>
              </w:rPr>
            </w:pPr>
            <w:r>
              <w:rPr>
                <w:rFonts w:hint="eastAsia" w:ascii="宋体" w:hAnsi="宋体" w:cs="宋体"/>
                <w:color w:val="FF0000"/>
                <w:kern w:val="0"/>
                <w:sz w:val="18"/>
                <w:szCs w:val="18"/>
              </w:rPr>
              <w:t>运维服务应按时提交日、周、月统计报表，每发现一次报表未按时提交扣0.5分，本项扣完为止</w:t>
            </w:r>
          </w:p>
        </w:tc>
      </w:tr>
      <w:tr w14:paraId="37645CD9">
        <w:tblPrEx>
          <w:tblCellMar>
            <w:top w:w="0" w:type="dxa"/>
            <w:left w:w="108" w:type="dxa"/>
            <w:bottom w:w="0" w:type="dxa"/>
            <w:right w:w="108" w:type="dxa"/>
          </w:tblCellMar>
        </w:tblPrEx>
        <w:trPr>
          <w:trHeight w:val="260" w:hRule="atLeast"/>
        </w:trPr>
        <w:tc>
          <w:tcPr>
            <w:tcW w:w="3119" w:type="dxa"/>
            <w:tcBorders>
              <w:top w:val="single" w:color="auto" w:sz="4" w:space="0"/>
              <w:left w:val="single" w:color="auto" w:sz="4" w:space="0"/>
              <w:bottom w:val="single" w:color="auto" w:sz="4" w:space="0"/>
              <w:right w:val="single" w:color="auto" w:sz="4" w:space="0"/>
            </w:tcBorders>
            <w:shd w:val="clear" w:color="auto" w:fill="auto"/>
            <w:vAlign w:val="center"/>
          </w:tcPr>
          <w:p w14:paraId="53D860D7">
            <w:pPr>
              <w:rPr>
                <w:rFonts w:ascii="宋体" w:hAnsi="宋体" w:cs="宋体"/>
                <w:color w:val="FF0000"/>
                <w:kern w:val="0"/>
                <w:sz w:val="18"/>
                <w:szCs w:val="18"/>
              </w:rPr>
            </w:pPr>
            <w:r>
              <w:rPr>
                <w:rFonts w:hint="eastAsia" w:ascii="宋体" w:hAnsi="宋体" w:cs="宋体"/>
                <w:color w:val="FF0000"/>
                <w:kern w:val="0"/>
                <w:sz w:val="18"/>
                <w:szCs w:val="18"/>
              </w:rPr>
              <w:t>月、年巡检</w:t>
            </w:r>
          </w:p>
        </w:tc>
        <w:tc>
          <w:tcPr>
            <w:tcW w:w="1984" w:type="dxa"/>
            <w:tcBorders>
              <w:top w:val="nil"/>
              <w:left w:val="nil"/>
              <w:bottom w:val="single" w:color="auto" w:sz="4" w:space="0"/>
              <w:right w:val="single" w:color="auto" w:sz="4" w:space="0"/>
            </w:tcBorders>
            <w:shd w:val="clear" w:color="auto" w:fill="auto"/>
            <w:vAlign w:val="center"/>
          </w:tcPr>
          <w:p w14:paraId="2F07FAA3">
            <w:pPr>
              <w:rPr>
                <w:rFonts w:ascii="宋体" w:hAnsi="宋体" w:cs="宋体"/>
                <w:color w:val="FF0000"/>
                <w:kern w:val="0"/>
                <w:sz w:val="18"/>
                <w:szCs w:val="18"/>
              </w:rPr>
            </w:pPr>
            <w:r>
              <w:rPr>
                <w:rFonts w:hint="eastAsia" w:ascii="宋体" w:hAnsi="宋体" w:cs="宋体"/>
                <w:color w:val="FF0000"/>
                <w:kern w:val="0"/>
                <w:sz w:val="18"/>
                <w:szCs w:val="18"/>
              </w:rPr>
              <w:t>每月、年需对设备进行巡检并提交巡检报告</w:t>
            </w:r>
          </w:p>
        </w:tc>
        <w:tc>
          <w:tcPr>
            <w:tcW w:w="851" w:type="dxa"/>
            <w:tcBorders>
              <w:top w:val="nil"/>
              <w:left w:val="nil"/>
              <w:bottom w:val="single" w:color="auto" w:sz="4" w:space="0"/>
              <w:right w:val="single" w:color="auto" w:sz="4" w:space="0"/>
            </w:tcBorders>
            <w:shd w:val="clear" w:color="auto" w:fill="auto"/>
            <w:vAlign w:val="center"/>
          </w:tcPr>
          <w:p w14:paraId="60271395">
            <w:pPr>
              <w:rPr>
                <w:rFonts w:ascii="宋体" w:hAnsi="宋体" w:cs="宋体"/>
                <w:color w:val="FF0000"/>
                <w:kern w:val="0"/>
                <w:sz w:val="18"/>
                <w:szCs w:val="18"/>
              </w:rPr>
            </w:pPr>
            <w:r>
              <w:rPr>
                <w:rFonts w:hint="eastAsia" w:ascii="宋体" w:hAnsi="宋体" w:cs="宋体"/>
                <w:color w:val="FF0000"/>
                <w:kern w:val="0"/>
                <w:sz w:val="18"/>
                <w:szCs w:val="18"/>
              </w:rPr>
              <w:t>3</w:t>
            </w:r>
          </w:p>
        </w:tc>
        <w:tc>
          <w:tcPr>
            <w:tcW w:w="4252" w:type="dxa"/>
            <w:tcBorders>
              <w:top w:val="nil"/>
              <w:left w:val="nil"/>
              <w:bottom w:val="single" w:color="auto" w:sz="4" w:space="0"/>
              <w:right w:val="single" w:color="auto" w:sz="4" w:space="0"/>
            </w:tcBorders>
            <w:shd w:val="clear" w:color="auto" w:fill="auto"/>
            <w:vAlign w:val="center"/>
          </w:tcPr>
          <w:p w14:paraId="56272933">
            <w:pPr>
              <w:rPr>
                <w:rFonts w:ascii="宋体" w:hAnsi="宋体" w:cs="宋体"/>
                <w:color w:val="FF0000"/>
                <w:kern w:val="0"/>
                <w:sz w:val="18"/>
                <w:szCs w:val="18"/>
              </w:rPr>
            </w:pPr>
            <w:r>
              <w:rPr>
                <w:rFonts w:hint="eastAsia" w:ascii="宋体" w:hAnsi="宋体" w:cs="宋体"/>
                <w:color w:val="FF0000"/>
                <w:kern w:val="0"/>
                <w:sz w:val="18"/>
                <w:szCs w:val="18"/>
              </w:rPr>
              <w:t>如未及时巡检和未提交巡检报告的，每发现一次扣0.5分，本项扣完为止</w:t>
            </w:r>
          </w:p>
        </w:tc>
      </w:tr>
    </w:tbl>
    <w:p w14:paraId="204ACA13">
      <w:pPr>
        <w:pStyle w:val="16"/>
        <w:spacing w:line="340" w:lineRule="exact"/>
        <w:ind w:firstLine="0" w:firstLineChars="0"/>
        <w:rPr>
          <w:rFonts w:hint="eastAsia"/>
          <w:b/>
          <w:color w:val="FF0000"/>
        </w:rPr>
      </w:pPr>
    </w:p>
    <w:p w14:paraId="7036FB30">
      <w:pPr>
        <w:widowControl/>
        <w:spacing w:line="340" w:lineRule="exact"/>
        <w:ind w:firstLine="422" w:firstLineChars="200"/>
        <w:rPr>
          <w:rFonts w:ascii="Times New Roman" w:hAnsi="Times New Roman" w:eastAsia="宋体" w:cs="Times New Roman"/>
          <w:b/>
          <w:color w:val="FF0000"/>
          <w:szCs w:val="20"/>
        </w:rPr>
      </w:pPr>
      <w:r>
        <w:rPr>
          <w:rFonts w:hint="eastAsia" w:ascii="Times New Roman" w:hAnsi="Times New Roman" w:eastAsia="宋体" w:cs="Times New Roman"/>
          <w:b/>
          <w:color w:val="FF0000"/>
          <w:szCs w:val="20"/>
        </w:rPr>
        <w:t>说明：</w:t>
      </w:r>
    </w:p>
    <w:p w14:paraId="084F5ACD">
      <w:pPr>
        <w:widowControl/>
        <w:spacing w:line="340" w:lineRule="exact"/>
        <w:ind w:firstLine="420" w:firstLineChars="200"/>
        <w:rPr>
          <w:rFonts w:ascii="Times New Roman" w:hAnsi="Times New Roman" w:eastAsia="宋体" w:cs="Times New Roman"/>
          <w:color w:val="FF0000"/>
          <w:szCs w:val="20"/>
        </w:rPr>
      </w:pPr>
      <w:r>
        <w:rPr>
          <w:rFonts w:hint="eastAsia" w:ascii="Times New Roman" w:hAnsi="Times New Roman" w:eastAsia="宋体" w:cs="Times New Roman"/>
          <w:color w:val="FF0000"/>
          <w:szCs w:val="20"/>
        </w:rPr>
        <w:t>长期故障点位须及时处理，确保点位视频高可用性及良性循环。排除不可抗力等外力因素，保证掉线点位一周内要重新上线。</w:t>
      </w:r>
    </w:p>
    <w:p w14:paraId="675B0F69">
      <w:pPr>
        <w:widowControl/>
        <w:spacing w:line="340" w:lineRule="exact"/>
        <w:ind w:firstLine="420" w:firstLineChars="200"/>
        <w:rPr>
          <w:rFonts w:ascii="Times New Roman" w:hAnsi="Times New Roman" w:eastAsia="宋体" w:cs="Times New Roman"/>
          <w:color w:val="FF0000"/>
          <w:szCs w:val="20"/>
        </w:rPr>
      </w:pPr>
      <w:r>
        <w:rPr>
          <w:rFonts w:hint="eastAsia" w:ascii="Times New Roman" w:hAnsi="Times New Roman" w:eastAsia="宋体" w:cs="Times New Roman"/>
          <w:color w:val="FF0000"/>
          <w:szCs w:val="20"/>
        </w:rPr>
        <w:t>外界环境条件影响下：派出所协调不了的，需要延期处理。</w:t>
      </w:r>
    </w:p>
    <w:p w14:paraId="2B6B1E0A">
      <w:pPr>
        <w:widowControl/>
        <w:spacing w:line="340" w:lineRule="exact"/>
        <w:ind w:firstLine="420" w:firstLineChars="200"/>
        <w:rPr>
          <w:rFonts w:ascii="Times New Roman" w:hAnsi="Times New Roman" w:eastAsia="宋体" w:cs="Times New Roman"/>
          <w:color w:val="FF0000"/>
          <w:szCs w:val="20"/>
        </w:rPr>
      </w:pPr>
      <w:r>
        <w:rPr>
          <w:rFonts w:hint="eastAsia" w:ascii="Times New Roman" w:hAnsi="Times New Roman" w:eastAsia="宋体" w:cs="Times New Roman"/>
          <w:color w:val="FF0000"/>
          <w:szCs w:val="20"/>
        </w:rPr>
        <w:t>市政、运营商线路、电力故障、人为破坏及不可抗力引起的故障均不在考核范围内。</w:t>
      </w:r>
    </w:p>
    <w:p w14:paraId="476C38E1">
      <w:pPr>
        <w:widowControl/>
        <w:spacing w:line="340" w:lineRule="exact"/>
        <w:ind w:firstLine="420" w:firstLineChars="200"/>
        <w:rPr>
          <w:rFonts w:ascii="Times New Roman" w:hAnsi="Times New Roman" w:eastAsia="宋体" w:cs="Times New Roman"/>
          <w:color w:val="FF0000"/>
          <w:szCs w:val="20"/>
        </w:rPr>
      </w:pPr>
      <w:r>
        <w:rPr>
          <w:rFonts w:hint="eastAsia" w:ascii="Times New Roman" w:hAnsi="Times New Roman" w:eastAsia="宋体" w:cs="Times New Roman"/>
          <w:color w:val="FF0000"/>
          <w:szCs w:val="20"/>
        </w:rPr>
        <w:t>部分偏远点位技术人员到达现场的考核时间需根据具体距离确定。</w:t>
      </w:r>
    </w:p>
    <w:p w14:paraId="1DCEE203">
      <w:pPr>
        <w:widowControl/>
        <w:spacing w:line="340" w:lineRule="exact"/>
        <w:ind w:firstLine="420" w:firstLineChars="200"/>
        <w:rPr>
          <w:rFonts w:ascii="Times New Roman" w:hAnsi="Times New Roman" w:eastAsia="宋体" w:cs="Times New Roman"/>
          <w:color w:val="000000" w:themeColor="text1"/>
          <w:szCs w:val="20"/>
          <w14:textFill>
            <w14:solidFill>
              <w14:schemeClr w14:val="tx1"/>
            </w14:solidFill>
          </w14:textFill>
        </w:rPr>
      </w:pPr>
      <w:r>
        <w:rPr>
          <w:rFonts w:hint="eastAsia" w:ascii="Times New Roman" w:hAnsi="Times New Roman" w:eastAsia="宋体" w:cs="Times New Roman"/>
          <w:color w:val="FF0000"/>
          <w:szCs w:val="20"/>
        </w:rPr>
        <w:t>项目在维护期内如有点位增加，需双方共同协商做相应的调整</w:t>
      </w:r>
      <w:r>
        <w:rPr>
          <w:rFonts w:hint="eastAsia" w:ascii="Times New Roman" w:hAnsi="Times New Roman" w:eastAsia="宋体" w:cs="Times New Roman"/>
          <w:color w:val="000000" w:themeColor="text1"/>
          <w:szCs w:val="20"/>
          <w14:textFill>
            <w14:solidFill>
              <w14:schemeClr w14:val="tx1"/>
            </w14:solidFill>
          </w14:textFill>
        </w:rPr>
        <w:t>。</w:t>
      </w:r>
    </w:p>
    <w:p w14:paraId="24C15180">
      <w:pPr>
        <w:pStyle w:val="16"/>
        <w:numPr>
          <w:ilvl w:val="0"/>
          <w:numId w:val="23"/>
        </w:numPr>
        <w:spacing w:after="0" w:line="0" w:lineRule="atLeast"/>
        <w:ind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服务费用</w:t>
      </w:r>
    </w:p>
    <w:p w14:paraId="27606F1F">
      <w:pPr>
        <w:pStyle w:val="16"/>
        <w:numPr>
          <w:ilvl w:val="1"/>
          <w:numId w:val="23"/>
        </w:numPr>
        <w:spacing w:after="0" w:line="0" w:lineRule="atLeast"/>
        <w:ind w:firstLineChars="0"/>
        <w:rPr>
          <w:b/>
          <w:color w:val="000000" w:themeColor="text1"/>
          <w14:textFill>
            <w14:solidFill>
              <w14:schemeClr w14:val="tx1"/>
            </w14:solidFill>
          </w14:textFill>
        </w:rPr>
      </w:pPr>
      <w:r>
        <w:rPr>
          <w:b/>
          <w:color w:val="000000" w:themeColor="text1"/>
          <w14:textFill>
            <w14:solidFill>
              <w14:schemeClr w14:val="tx1"/>
            </w14:solidFill>
          </w14:textFill>
        </w:rPr>
        <w:t>服务费用总额</w:t>
      </w:r>
    </w:p>
    <w:p w14:paraId="3993C703">
      <w:pPr>
        <w:rPr>
          <w:color w:val="000000" w:themeColor="text1"/>
          <w14:textFill>
            <w14:solidFill>
              <w14:schemeClr w14:val="tx1"/>
            </w14:solidFill>
          </w14:textFill>
        </w:rPr>
      </w:pPr>
      <w:r>
        <w:rPr>
          <w:color w:val="000000" w:themeColor="text1"/>
          <w14:textFill>
            <w14:solidFill>
              <w14:schemeClr w14:val="tx1"/>
            </w14:solidFill>
          </w14:textFill>
        </w:rPr>
        <w:t xml:space="preserve">    本次运维服务有效期为</w:t>
      </w:r>
      <w:r>
        <w:rPr>
          <w:rFonts w:hint="eastAsia"/>
          <w:color w:val="000000" w:themeColor="text1"/>
          <w:highlight w:val="yellow"/>
          <w14:textFill>
            <w14:solidFill>
              <w14:schemeClr w14:val="tx1"/>
            </w14:solidFill>
          </w14:textFill>
        </w:rPr>
        <w:t>【</w:t>
      </w:r>
      <w:r>
        <w:rPr>
          <w:color w:val="000000" w:themeColor="text1"/>
          <w:highlight w:val="yellow"/>
          <w14:textFill>
            <w14:solidFill>
              <w14:schemeClr w14:val="tx1"/>
            </w14:solidFill>
          </w14:textFill>
        </w:rPr>
        <w:t xml:space="preserve">    </w:t>
      </w:r>
      <w:r>
        <w:rPr>
          <w:rFonts w:hint="eastAsia"/>
          <w:color w:val="000000" w:themeColor="text1"/>
          <w:highlight w:val="yellow"/>
          <w14:textFill>
            <w14:solidFill>
              <w14:schemeClr w14:val="tx1"/>
            </w14:solidFill>
          </w14:textFill>
        </w:rPr>
        <w:t>】年，</w:t>
      </w:r>
      <w:r>
        <w:rPr>
          <w:color w:val="000000" w:themeColor="text1"/>
          <w14:textFill>
            <w14:solidFill>
              <w14:schemeClr w14:val="tx1"/>
            </w14:solidFill>
          </w14:textFill>
        </w:rPr>
        <w:t>运维服务费用（含税，税率为</w:t>
      </w:r>
      <w:r>
        <w:rPr>
          <w:rFonts w:hint="eastAsia"/>
          <w:color w:val="000000" w:themeColor="text1"/>
          <w14:textFill>
            <w14:solidFill>
              <w14:schemeClr w14:val="tx1"/>
            </w14:solidFill>
          </w14:textFill>
        </w:rPr>
        <w:t>6</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人民币大写</w:t>
      </w:r>
      <w:r>
        <w:rPr>
          <w:rFonts w:hint="eastAsia"/>
          <w:color w:val="000000" w:themeColor="text1"/>
          <w:highlight w:val="yellow"/>
          <w14:textFill>
            <w14:solidFill>
              <w14:schemeClr w14:val="tx1"/>
            </w14:solidFill>
          </w14:textFill>
        </w:rPr>
        <w:t xml:space="preserve">【 </w:t>
      </w:r>
      <w:r>
        <w:rPr>
          <w:color w:val="000000" w:themeColor="text1"/>
          <w:highlight w:val="yellow"/>
          <w14:textFill>
            <w14:solidFill>
              <w14:schemeClr w14:val="tx1"/>
            </w14:solidFill>
          </w14:textFill>
        </w:rPr>
        <w:t xml:space="preserve"> </w:t>
      </w:r>
      <w:r>
        <w:rPr>
          <w:rFonts w:hint="eastAsia"/>
          <w:color w:val="000000" w:themeColor="text1"/>
          <w:highlight w:val="yellow"/>
          <w14:textFill>
            <w14:solidFill>
              <w14:schemeClr w14:val="tx1"/>
            </w14:solidFill>
          </w14:textFill>
        </w:rPr>
        <w:t>】</w:t>
      </w:r>
      <w:r>
        <w:rPr>
          <w:rFonts w:hint="eastAsia"/>
          <w:color w:val="000000" w:themeColor="text1"/>
          <w14:textFill>
            <w14:solidFill>
              <w14:schemeClr w14:val="tx1"/>
            </w14:solidFill>
          </w14:textFill>
        </w:rPr>
        <w:t>元，小写</w:t>
      </w:r>
      <w:r>
        <w:rPr>
          <w:rFonts w:hint="eastAsia"/>
          <w:color w:val="000000" w:themeColor="text1"/>
          <w:highlight w:val="yellow"/>
          <w14:textFill>
            <w14:solidFill>
              <w14:schemeClr w14:val="tx1"/>
            </w14:solidFill>
          </w14:textFill>
        </w:rPr>
        <w:t>【 】</w:t>
      </w:r>
      <w:r>
        <w:rPr>
          <w:rFonts w:hint="eastAsia"/>
          <w:color w:val="000000" w:themeColor="text1"/>
          <w14:textFill>
            <w14:solidFill>
              <w14:schemeClr w14:val="tx1"/>
            </w14:solidFill>
          </w14:textFill>
        </w:rPr>
        <w:t>元，该费用已包括乙方履行本合同的全部报酬和所需的全部费用。除另有约定外，甲方无需就本合同项下委托事项向乙方支付上述费用之外的任何其他费用。运维服务到期前，双方可通过协商确定下一年度续签事宜，如双方选择续签的，则服务费用仍维持</w:t>
      </w:r>
      <w:r>
        <w:rPr>
          <w:rFonts w:hint="eastAsia"/>
          <w:color w:val="000000" w:themeColor="text1"/>
          <w:highlight w:val="yellow"/>
          <w14:textFill>
            <w14:solidFill>
              <w14:schemeClr w14:val="tx1"/>
            </w14:solidFill>
          </w14:textFill>
        </w:rPr>
        <w:t>【 】</w:t>
      </w:r>
      <w:r>
        <w:rPr>
          <w:color w:val="000000" w:themeColor="text1"/>
          <w14:textFill>
            <w14:solidFill>
              <w14:schemeClr w14:val="tx1"/>
            </w14:solidFill>
          </w14:textFill>
        </w:rPr>
        <w:t>元</w:t>
      </w:r>
      <w:r>
        <w:rPr>
          <w:rFonts w:hint="eastAsia"/>
          <w:color w:val="000000" w:themeColor="text1"/>
          <w14:textFill>
            <w14:solidFill>
              <w14:schemeClr w14:val="tx1"/>
            </w14:solidFill>
          </w14:textFill>
        </w:rPr>
        <w:t>/年，此价格有效期自首次签订日期起五年有效。</w:t>
      </w:r>
    </w:p>
    <w:p w14:paraId="75469441">
      <w:pPr>
        <w:pStyle w:val="16"/>
        <w:numPr>
          <w:ilvl w:val="1"/>
          <w:numId w:val="23"/>
        </w:numPr>
        <w:spacing w:after="0" w:line="0" w:lineRule="atLeast"/>
        <w:ind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支付时间</w:t>
      </w:r>
    </w:p>
    <w:p w14:paraId="2FB27D79">
      <w:pPr>
        <w:pStyle w:val="16"/>
        <w:spacing w:after="0" w:line="0" w:lineRule="atLeast"/>
        <w:ind w:left="750" w:firstLine="0" w:firstLineChars="0"/>
        <w:rPr>
          <w:b/>
          <w:color w:val="000000" w:themeColor="text1"/>
          <w14:textFill>
            <w14:solidFill>
              <w14:schemeClr w14:val="tx1"/>
            </w14:solidFill>
          </w14:textFill>
        </w:rPr>
      </w:pPr>
      <w:r>
        <w:rPr>
          <w:rFonts w:hint="eastAsia"/>
          <w:color w:val="000000" w:themeColor="text1"/>
          <w14:textFill>
            <w14:solidFill>
              <w14:schemeClr w14:val="tx1"/>
            </w14:solidFill>
          </w14:textFill>
        </w:rPr>
        <w:t>甲方按以下第</w:t>
      </w:r>
      <w:r>
        <w:rPr>
          <w:rFonts w:hint="eastAsia"/>
          <w:color w:val="000000" w:themeColor="text1"/>
          <w:highlight w:val="yellow"/>
          <w14:textFill>
            <w14:solidFill>
              <w14:schemeClr w14:val="tx1"/>
            </w14:solidFill>
          </w14:textFill>
        </w:rPr>
        <w:t>【 】</w:t>
      </w:r>
      <w:r>
        <w:rPr>
          <w:rFonts w:hint="eastAsia"/>
          <w:color w:val="000000" w:themeColor="text1"/>
          <w14:textFill>
            <w14:solidFill>
              <w14:schemeClr w14:val="tx1"/>
            </w14:solidFill>
          </w14:textFill>
        </w:rPr>
        <w:t>种方式向乙方付款：</w:t>
      </w:r>
    </w:p>
    <w:p w14:paraId="6D84482C">
      <w:pPr>
        <w:spacing w:line="0" w:lineRule="atLeast"/>
        <w:ind w:firstLine="399" w:firstLineChars="190"/>
        <w:rPr>
          <w:color w:val="000000" w:themeColor="text1"/>
          <w14:textFill>
            <w14:solidFill>
              <w14:schemeClr w14:val="tx1"/>
            </w14:solidFill>
          </w14:textFill>
        </w:rPr>
      </w:pPr>
      <w:r>
        <w:rPr>
          <w:rFonts w:hint="eastAsia"/>
          <w:color w:val="000000" w:themeColor="text1"/>
          <w14:textFill>
            <w14:solidFill>
              <w14:schemeClr w14:val="tx1"/>
            </w14:solidFill>
          </w14:textFill>
        </w:rPr>
        <w:t>（1）一次性支付</w:t>
      </w:r>
    </w:p>
    <w:p w14:paraId="06D1A930">
      <w:pPr>
        <w:pStyle w:val="16"/>
        <w:spacing w:line="0" w:lineRule="atLeast"/>
        <w:ind w:left="750" w:firstLine="440"/>
        <w:rPr>
          <w:color w:val="000000" w:themeColor="text1"/>
          <w14:textFill>
            <w14:solidFill>
              <w14:schemeClr w14:val="tx1"/>
            </w14:solidFill>
          </w14:textFill>
        </w:rPr>
      </w:pPr>
      <w:r>
        <w:rPr>
          <w:rFonts w:hint="eastAsia"/>
          <w:color w:val="000000" w:themeColor="text1"/>
          <w14:textFill>
            <w14:solidFill>
              <w14:schemeClr w14:val="tx1"/>
            </w14:solidFill>
          </w14:textFill>
        </w:rPr>
        <w:t>甲方在收到甲方客户支付的全部运维服务费且下述付款条件满足后，向乙方一次性支付运维服务费。</w:t>
      </w:r>
    </w:p>
    <w:p w14:paraId="34544AD0">
      <w:pPr>
        <w:pStyle w:val="16"/>
        <w:spacing w:line="0" w:lineRule="atLeast"/>
        <w:ind w:left="750" w:firstLine="440"/>
        <w:rPr>
          <w:color w:val="000000" w:themeColor="text1"/>
          <w14:textFill>
            <w14:solidFill>
              <w14:schemeClr w14:val="tx1"/>
            </w14:solidFill>
          </w14:textFill>
        </w:rPr>
      </w:pPr>
      <w:r>
        <w:rPr>
          <w:rFonts w:hint="eastAsia"/>
          <w:color w:val="000000" w:themeColor="text1"/>
          <w14:textFill>
            <w14:solidFill>
              <w14:schemeClr w14:val="tx1"/>
            </w14:solidFill>
          </w14:textFill>
        </w:rPr>
        <w:t>□合同签署并生效；</w:t>
      </w:r>
    </w:p>
    <w:p w14:paraId="20C6E621">
      <w:pPr>
        <w:pStyle w:val="16"/>
        <w:spacing w:line="0" w:lineRule="atLeast"/>
        <w:ind w:left="750" w:firstLine="440"/>
        <w:rPr>
          <w:color w:val="000000" w:themeColor="text1"/>
          <w14:textFill>
            <w14:solidFill>
              <w14:schemeClr w14:val="tx1"/>
            </w14:solidFill>
          </w14:textFill>
        </w:rPr>
      </w:pPr>
      <w:r>
        <w:rPr>
          <w:rFonts w:hint="eastAsia"/>
          <w:color w:val="000000" w:themeColor="text1"/>
          <w14:textFill>
            <w14:solidFill>
              <w14:schemeClr w14:val="tx1"/>
            </w14:solidFill>
          </w14:textFill>
        </w:rPr>
        <w:t>□乙方完成项目运维服务所有任务且考核合格，乙方向甲方提供经甲乙双方盖章版运维报告；</w:t>
      </w:r>
    </w:p>
    <w:p w14:paraId="09774E4B">
      <w:pPr>
        <w:pStyle w:val="16"/>
        <w:spacing w:line="0" w:lineRule="atLeast"/>
        <w:ind w:left="750" w:firstLine="440"/>
        <w:rPr>
          <w:color w:val="000000" w:themeColor="text1"/>
          <w14:textFill>
            <w14:solidFill>
              <w14:schemeClr w14:val="tx1"/>
            </w14:solidFill>
          </w14:textFill>
        </w:rPr>
      </w:pPr>
      <w:r>
        <w:rPr>
          <w:rFonts w:hint="eastAsia"/>
          <w:color w:val="000000" w:themeColor="text1"/>
          <w14:textFill>
            <w14:solidFill>
              <w14:schemeClr w14:val="tx1"/>
            </w14:solidFill>
          </w14:textFill>
        </w:rPr>
        <w:t>□经甲方审核无误后，乙方向甲方提交付款申请；</w:t>
      </w:r>
    </w:p>
    <w:p w14:paraId="41033F9B">
      <w:pPr>
        <w:pStyle w:val="16"/>
        <w:spacing w:line="0" w:lineRule="atLeast"/>
        <w:ind w:left="750" w:firstLine="440"/>
        <w:rPr>
          <w:color w:val="000000" w:themeColor="text1"/>
          <w14:textFill>
            <w14:solidFill>
              <w14:schemeClr w14:val="tx1"/>
            </w14:solidFill>
          </w14:textFill>
        </w:rPr>
      </w:pPr>
      <w:r>
        <w:rPr>
          <w:rFonts w:hint="eastAsia"/>
          <w:color w:val="000000" w:themeColor="text1"/>
          <w14:textFill>
            <w14:solidFill>
              <w14:schemeClr w14:val="tx1"/>
            </w14:solidFill>
          </w14:textFill>
        </w:rPr>
        <w:t>□乙方提供对应金额的增值税专用发票；</w:t>
      </w:r>
    </w:p>
    <w:p w14:paraId="34ABE52A">
      <w:pPr>
        <w:pStyle w:val="16"/>
        <w:spacing w:line="0" w:lineRule="atLeast"/>
        <w:ind w:left="750" w:firstLine="440"/>
        <w:rPr>
          <w:color w:val="000000" w:themeColor="text1"/>
          <w14:textFill>
            <w14:solidFill>
              <w14:schemeClr w14:val="tx1"/>
            </w14:solidFill>
          </w14:textFill>
        </w:rPr>
      </w:pPr>
      <w:r>
        <w:rPr>
          <w:rFonts w:hint="eastAsia"/>
          <w:color w:val="000000" w:themeColor="text1"/>
          <w14:textFill>
            <w14:solidFill>
              <w14:schemeClr w14:val="tx1"/>
            </w14:solidFill>
          </w14:textFill>
        </w:rPr>
        <w:t>□其他：【                   】。</w:t>
      </w:r>
    </w:p>
    <w:p w14:paraId="41835D84">
      <w:pPr>
        <w:spacing w:line="0" w:lineRule="atLeast"/>
        <w:ind w:firstLine="399" w:firstLineChars="190"/>
        <w:rPr>
          <w:color w:val="000000" w:themeColor="text1"/>
          <w14:textFill>
            <w14:solidFill>
              <w14:schemeClr w14:val="tx1"/>
            </w14:solidFill>
          </w14:textFill>
        </w:rPr>
      </w:pPr>
      <w:r>
        <w:rPr>
          <w:rFonts w:hint="eastAsia"/>
          <w:color w:val="000000" w:themeColor="text1"/>
          <w14:textFill>
            <w14:solidFill>
              <w14:schemeClr w14:val="tx1"/>
            </w14:solidFill>
          </w14:textFill>
        </w:rPr>
        <w:t>（2）</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分期支付</w:t>
      </w:r>
    </w:p>
    <w:p w14:paraId="67A761F3">
      <w:pPr>
        <w:spacing w:line="0" w:lineRule="atLeast"/>
        <w:ind w:firstLine="399" w:firstLineChars="190"/>
        <w:rPr>
          <w:color w:val="000000" w:themeColor="text1"/>
          <w14:textFill>
            <w14:solidFill>
              <w14:schemeClr w14:val="tx1"/>
            </w14:solidFill>
          </w14:textFill>
        </w:rPr>
      </w:pPr>
      <w:r>
        <w:rPr>
          <w:rFonts w:hint="eastAsia"/>
          <w:color w:val="000000" w:themeColor="text1"/>
          <w14:textFill>
            <w14:solidFill>
              <w14:schemeClr w14:val="tx1"/>
            </w14:solidFill>
          </w14:textFill>
        </w:rPr>
        <w:t>甲方收到甲方客户支付的相应比例的运维服务费且下述付款条件满足后，根据实际考核结果向乙方分</w:t>
      </w:r>
      <w:r>
        <w:rPr>
          <w:rFonts w:hint="eastAsia"/>
          <w:color w:val="000000" w:themeColor="text1"/>
          <w:highlight w:val="yellow"/>
          <w14:textFill>
            <w14:solidFill>
              <w14:schemeClr w14:val="tx1"/>
            </w14:solidFill>
          </w14:textFill>
        </w:rPr>
        <w:t>【  】</w:t>
      </w:r>
      <w:r>
        <w:rPr>
          <w:rFonts w:hint="eastAsia"/>
          <w:color w:val="000000" w:themeColor="text1"/>
          <w14:textFill>
            <w14:solidFill>
              <w14:schemeClr w14:val="tx1"/>
            </w14:solidFill>
          </w14:textFill>
        </w:rPr>
        <w:t xml:space="preserve">期支付运维服务费，具体如下：                       </w:t>
      </w:r>
    </w:p>
    <w:p w14:paraId="1B658EAE">
      <w:pPr>
        <w:pStyle w:val="16"/>
        <w:spacing w:line="0" w:lineRule="atLeast"/>
        <w:ind w:left="750" w:firstLine="440"/>
        <w:rPr>
          <w:color w:val="000000" w:themeColor="text1"/>
          <w14:textFill>
            <w14:solidFill>
              <w14:schemeClr w14:val="tx1"/>
            </w14:solidFill>
          </w14:textFill>
        </w:rPr>
      </w:pPr>
      <w:r>
        <w:rPr>
          <w:rFonts w:hint="eastAsia"/>
          <w:color w:val="000000" w:themeColor="text1"/>
          <w14:textFill>
            <w14:solidFill>
              <w14:schemeClr w14:val="tx1"/>
            </w14:solidFill>
          </w14:textFill>
        </w:rPr>
        <w:t>第一期款项：本项目运维服务费用总额的百分之</w:t>
      </w:r>
      <w:r>
        <w:rPr>
          <w:rFonts w:hint="eastAsia"/>
          <w:color w:val="000000" w:themeColor="text1"/>
          <w:highlight w:val="yellow"/>
          <w14:textFill>
            <w14:solidFill>
              <w14:schemeClr w14:val="tx1"/>
            </w14:solidFill>
          </w14:textFill>
        </w:rPr>
        <w:t>【 】</w:t>
      </w:r>
      <w:r>
        <w:rPr>
          <w:rFonts w:hint="eastAsia"/>
          <w:color w:val="000000" w:themeColor="text1"/>
          <w14:textFill>
            <w14:solidFill>
              <w14:schemeClr w14:val="tx1"/>
            </w14:solidFill>
          </w14:textFill>
        </w:rPr>
        <w:t>，即人民币</w:t>
      </w:r>
      <w:r>
        <w:rPr>
          <w:rFonts w:hint="eastAsia"/>
          <w:color w:val="000000" w:themeColor="text1"/>
          <w:highlight w:val="yellow"/>
          <w14:textFill>
            <w14:solidFill>
              <w14:schemeClr w14:val="tx1"/>
            </w14:solidFill>
          </w14:textFill>
        </w:rPr>
        <w:t>【】</w:t>
      </w:r>
      <w:r>
        <w:rPr>
          <w:rFonts w:hint="eastAsia"/>
          <w:color w:val="000000" w:themeColor="text1"/>
          <w14:textFill>
            <w14:solidFill>
              <w14:schemeClr w14:val="tx1"/>
            </w14:solidFill>
          </w14:textFill>
        </w:rPr>
        <w:t>元，在以下支付条件全部满足后向乙方支付：</w:t>
      </w:r>
    </w:p>
    <w:p w14:paraId="221F762A">
      <w:pPr>
        <w:pStyle w:val="16"/>
        <w:spacing w:line="0" w:lineRule="atLeast"/>
        <w:ind w:left="750" w:firstLine="440"/>
        <w:rPr>
          <w:color w:val="000000" w:themeColor="text1"/>
          <w14:textFill>
            <w14:solidFill>
              <w14:schemeClr w14:val="tx1"/>
            </w14:solidFill>
          </w14:textFill>
        </w:rPr>
      </w:pPr>
      <w:r>
        <w:rPr>
          <w:rFonts w:hint="eastAsia"/>
          <w:color w:val="000000" w:themeColor="text1"/>
          <w14:textFill>
            <w14:solidFill>
              <w14:schemeClr w14:val="tx1"/>
            </w14:solidFill>
          </w14:textFill>
        </w:rPr>
        <w:t>□运维服务期满【 】</w:t>
      </w:r>
      <w:r>
        <w:rPr>
          <w:color w:val="000000" w:themeColor="text1"/>
          <w14:textFill>
            <w14:solidFill>
              <w14:schemeClr w14:val="tx1"/>
            </w14:solidFill>
          </w14:textFill>
        </w:rPr>
        <w:t>个月</w:t>
      </w:r>
      <w:r>
        <w:rPr>
          <w:rFonts w:hint="eastAsia"/>
          <w:color w:val="000000" w:themeColor="text1"/>
          <w14:textFill>
            <w14:solidFill>
              <w14:schemeClr w14:val="tx1"/>
            </w14:solidFill>
          </w14:textFill>
        </w:rPr>
        <w:t>且经甲方考核合格；</w:t>
      </w:r>
    </w:p>
    <w:p w14:paraId="2C04F1A4">
      <w:pPr>
        <w:pStyle w:val="16"/>
        <w:spacing w:line="0" w:lineRule="atLeast"/>
        <w:ind w:left="750" w:firstLine="440"/>
        <w:rPr>
          <w:color w:val="000000" w:themeColor="text1"/>
          <w14:textFill>
            <w14:solidFill>
              <w14:schemeClr w14:val="tx1"/>
            </w14:solidFill>
          </w14:textFill>
        </w:rPr>
      </w:pPr>
      <w:r>
        <w:rPr>
          <w:rFonts w:hint="eastAsia"/>
          <w:color w:val="000000" w:themeColor="text1"/>
          <w14:textFill>
            <w14:solidFill>
              <w14:schemeClr w14:val="tx1"/>
            </w14:solidFill>
          </w14:textFill>
        </w:rPr>
        <w:t>□经甲方审核无误后乙方向甲方提交第一期款项付款申请；</w:t>
      </w:r>
    </w:p>
    <w:p w14:paraId="54B6E5E3">
      <w:pPr>
        <w:pStyle w:val="16"/>
        <w:spacing w:line="0" w:lineRule="atLeast"/>
        <w:ind w:left="750" w:firstLine="440"/>
        <w:rPr>
          <w:color w:val="000000" w:themeColor="text1"/>
          <w14:textFill>
            <w14:solidFill>
              <w14:schemeClr w14:val="tx1"/>
            </w14:solidFill>
          </w14:textFill>
        </w:rPr>
      </w:pPr>
      <w:r>
        <w:rPr>
          <w:rFonts w:hint="eastAsia"/>
          <w:color w:val="000000" w:themeColor="text1"/>
          <w14:textFill>
            <w14:solidFill>
              <w14:schemeClr w14:val="tx1"/>
            </w14:solidFill>
          </w14:textFill>
        </w:rPr>
        <w:t>□乙方提供对应金额的增值税专用发票；</w:t>
      </w:r>
    </w:p>
    <w:p w14:paraId="079E0FFB">
      <w:pPr>
        <w:pStyle w:val="16"/>
        <w:spacing w:line="0" w:lineRule="atLeast"/>
        <w:ind w:left="750" w:firstLine="440"/>
        <w:rPr>
          <w:color w:val="000000" w:themeColor="text1"/>
          <w14:textFill>
            <w14:solidFill>
              <w14:schemeClr w14:val="tx1"/>
            </w14:solidFill>
          </w14:textFill>
        </w:rPr>
      </w:pPr>
      <w:r>
        <w:rPr>
          <w:rFonts w:hint="eastAsia"/>
          <w:color w:val="000000" w:themeColor="text1"/>
          <w14:textFill>
            <w14:solidFill>
              <w14:schemeClr w14:val="tx1"/>
            </w14:solidFill>
          </w14:textFill>
        </w:rPr>
        <w:t>□其他：【                   】。</w:t>
      </w:r>
    </w:p>
    <w:p w14:paraId="55D7D3D8">
      <w:pPr>
        <w:pStyle w:val="16"/>
        <w:spacing w:line="0" w:lineRule="atLeast"/>
        <w:ind w:left="750" w:firstLine="440"/>
        <w:rPr>
          <w:color w:val="000000" w:themeColor="text1"/>
          <w14:textFill>
            <w14:solidFill>
              <w14:schemeClr w14:val="tx1"/>
            </w14:solidFill>
          </w14:textFill>
        </w:rPr>
      </w:pPr>
      <w:r>
        <w:rPr>
          <w:rFonts w:hint="eastAsia"/>
          <w:color w:val="000000" w:themeColor="text1"/>
          <w14:textFill>
            <w14:solidFill>
              <w14:schemeClr w14:val="tx1"/>
            </w14:solidFill>
          </w14:textFill>
        </w:rPr>
        <w:t>第二期款项：本项目运维服务费用总额的百分之</w:t>
      </w:r>
      <w:r>
        <w:rPr>
          <w:rFonts w:hint="eastAsia"/>
          <w:color w:val="000000" w:themeColor="text1"/>
          <w:highlight w:val="yellow"/>
          <w14:textFill>
            <w14:solidFill>
              <w14:schemeClr w14:val="tx1"/>
            </w14:solidFill>
          </w14:textFill>
        </w:rPr>
        <w:t>【 】</w:t>
      </w:r>
      <w:r>
        <w:rPr>
          <w:rFonts w:hint="eastAsia"/>
          <w:color w:val="000000" w:themeColor="text1"/>
          <w14:textFill>
            <w14:solidFill>
              <w14:schemeClr w14:val="tx1"/>
            </w14:solidFill>
          </w14:textFill>
        </w:rPr>
        <w:t>，即人民币</w:t>
      </w:r>
      <w:r>
        <w:rPr>
          <w:rFonts w:hint="eastAsia"/>
          <w:color w:val="000000" w:themeColor="text1"/>
          <w:highlight w:val="yellow"/>
          <w14:textFill>
            <w14:solidFill>
              <w14:schemeClr w14:val="tx1"/>
            </w14:solidFill>
          </w14:textFill>
        </w:rPr>
        <w:t>【 】</w:t>
      </w:r>
      <w:r>
        <w:rPr>
          <w:rFonts w:hint="eastAsia"/>
          <w:color w:val="000000" w:themeColor="text1"/>
          <w14:textFill>
            <w14:solidFill>
              <w14:schemeClr w14:val="tx1"/>
            </w14:solidFill>
          </w14:textFill>
        </w:rPr>
        <w:t xml:space="preserve">元，在以下支付条件全部满足后向乙方支付： </w:t>
      </w:r>
    </w:p>
    <w:p w14:paraId="53E6E022">
      <w:pPr>
        <w:pStyle w:val="16"/>
        <w:spacing w:line="0" w:lineRule="atLeast"/>
        <w:ind w:left="750" w:firstLine="440"/>
        <w:rPr>
          <w:color w:val="000000" w:themeColor="text1"/>
          <w14:textFill>
            <w14:solidFill>
              <w14:schemeClr w14:val="tx1"/>
            </w14:solidFill>
          </w14:textFill>
        </w:rPr>
      </w:pPr>
      <w:r>
        <w:rPr>
          <w:rFonts w:hint="eastAsia"/>
          <w:color w:val="000000" w:themeColor="text1"/>
          <w14:textFill>
            <w14:solidFill>
              <w14:schemeClr w14:val="tx1"/>
            </w14:solidFill>
          </w14:textFill>
        </w:rPr>
        <w:t>□运维服务期满【 】个月且经甲方考核合格；</w:t>
      </w:r>
    </w:p>
    <w:p w14:paraId="5B3149F2">
      <w:pPr>
        <w:pStyle w:val="16"/>
        <w:spacing w:line="0" w:lineRule="atLeast"/>
        <w:ind w:left="750" w:firstLine="440"/>
        <w:rPr>
          <w:color w:val="000000" w:themeColor="text1"/>
          <w14:textFill>
            <w14:solidFill>
              <w14:schemeClr w14:val="tx1"/>
            </w14:solidFill>
          </w14:textFill>
        </w:rPr>
      </w:pPr>
      <w:r>
        <w:rPr>
          <w:rFonts w:hint="eastAsia"/>
          <w:color w:val="000000" w:themeColor="text1"/>
          <w14:textFill>
            <w14:solidFill>
              <w14:schemeClr w14:val="tx1"/>
            </w14:solidFill>
          </w14:textFill>
        </w:rPr>
        <w:t>□经甲方审核无误后乙方向甲方提交第二期款项付款申请；</w:t>
      </w:r>
    </w:p>
    <w:p w14:paraId="0CEEC1B4">
      <w:pPr>
        <w:pStyle w:val="16"/>
        <w:spacing w:line="0" w:lineRule="atLeast"/>
        <w:ind w:left="750" w:firstLine="440"/>
        <w:rPr>
          <w:color w:val="000000" w:themeColor="text1"/>
          <w14:textFill>
            <w14:solidFill>
              <w14:schemeClr w14:val="tx1"/>
            </w14:solidFill>
          </w14:textFill>
        </w:rPr>
      </w:pPr>
      <w:r>
        <w:rPr>
          <w:rFonts w:hint="eastAsia"/>
          <w:color w:val="000000" w:themeColor="text1"/>
          <w14:textFill>
            <w14:solidFill>
              <w14:schemeClr w14:val="tx1"/>
            </w14:solidFill>
          </w14:textFill>
        </w:rPr>
        <w:t>□乙方提供对应金额的增值税专用发票；</w:t>
      </w:r>
    </w:p>
    <w:p w14:paraId="3E89C260">
      <w:pPr>
        <w:pStyle w:val="16"/>
        <w:spacing w:line="0" w:lineRule="atLeast"/>
        <w:ind w:left="750" w:firstLine="440"/>
        <w:rPr>
          <w:color w:val="000000" w:themeColor="text1"/>
          <w14:textFill>
            <w14:solidFill>
              <w14:schemeClr w14:val="tx1"/>
            </w14:solidFill>
          </w14:textFill>
        </w:rPr>
      </w:pPr>
      <w:r>
        <w:rPr>
          <w:rFonts w:hint="eastAsia"/>
          <w:color w:val="000000" w:themeColor="text1"/>
          <w14:textFill>
            <w14:solidFill>
              <w14:schemeClr w14:val="tx1"/>
            </w14:solidFill>
          </w14:textFill>
        </w:rPr>
        <w:t>□其他：【                   】。</w:t>
      </w:r>
    </w:p>
    <w:p w14:paraId="45F2A841">
      <w:pPr>
        <w:pStyle w:val="16"/>
        <w:spacing w:line="0" w:lineRule="atLeast"/>
        <w:ind w:left="750" w:firstLine="440"/>
        <w:rPr>
          <w:color w:val="000000" w:themeColor="text1"/>
          <w14:textFill>
            <w14:solidFill>
              <w14:schemeClr w14:val="tx1"/>
            </w14:solidFill>
          </w14:textFill>
        </w:rPr>
      </w:pPr>
      <w:r>
        <w:rPr>
          <w:rFonts w:hint="eastAsia"/>
          <w:color w:val="000000" w:themeColor="text1"/>
          <w14:textFill>
            <w14:solidFill>
              <w14:schemeClr w14:val="tx1"/>
            </w14:solidFill>
          </w14:textFill>
        </w:rPr>
        <w:t>第三期款项：本项目运维服务服务费用总额的百分之</w:t>
      </w:r>
      <w:r>
        <w:rPr>
          <w:rFonts w:hint="eastAsia"/>
          <w:color w:val="000000" w:themeColor="text1"/>
          <w:highlight w:val="yellow"/>
          <w14:textFill>
            <w14:solidFill>
              <w14:schemeClr w14:val="tx1"/>
            </w14:solidFill>
          </w14:textFill>
        </w:rPr>
        <w:t>【 】</w:t>
      </w:r>
      <w:r>
        <w:rPr>
          <w:rFonts w:hint="eastAsia"/>
          <w:color w:val="000000" w:themeColor="text1"/>
          <w14:textFill>
            <w14:solidFill>
              <w14:schemeClr w14:val="tx1"/>
            </w14:solidFill>
          </w14:textFill>
        </w:rPr>
        <w:t>，即人民币</w:t>
      </w:r>
      <w:r>
        <w:rPr>
          <w:rFonts w:hint="eastAsia"/>
          <w:color w:val="000000" w:themeColor="text1"/>
          <w:highlight w:val="yellow"/>
          <w14:textFill>
            <w14:solidFill>
              <w14:schemeClr w14:val="tx1"/>
            </w14:solidFill>
          </w14:textFill>
        </w:rPr>
        <w:t>【】</w:t>
      </w:r>
      <w:r>
        <w:rPr>
          <w:rFonts w:hint="eastAsia"/>
          <w:color w:val="000000" w:themeColor="text1"/>
          <w14:textFill>
            <w14:solidFill>
              <w14:schemeClr w14:val="tx1"/>
            </w14:solidFill>
          </w14:textFill>
        </w:rPr>
        <w:t xml:space="preserve">元，在以下支付条件全部满足后向乙方支付： </w:t>
      </w:r>
    </w:p>
    <w:p w14:paraId="092D951E">
      <w:pPr>
        <w:pStyle w:val="16"/>
        <w:spacing w:line="0" w:lineRule="atLeast"/>
        <w:ind w:left="750" w:firstLine="440"/>
        <w:rPr>
          <w:color w:val="000000" w:themeColor="text1"/>
          <w14:textFill>
            <w14:solidFill>
              <w14:schemeClr w14:val="tx1"/>
            </w14:solidFill>
          </w14:textFill>
        </w:rPr>
      </w:pPr>
      <w:r>
        <w:rPr>
          <w:rFonts w:hint="eastAsia"/>
          <w:color w:val="000000" w:themeColor="text1"/>
          <w14:textFill>
            <w14:solidFill>
              <w14:schemeClr w14:val="tx1"/>
            </w14:solidFill>
          </w14:textFill>
        </w:rPr>
        <w:t>□完成项目运维服务所有任务，乙方向甲方提交甲乙双方盖章版运维报告；</w:t>
      </w:r>
    </w:p>
    <w:p w14:paraId="34BE48A9">
      <w:pPr>
        <w:pStyle w:val="16"/>
        <w:spacing w:line="0" w:lineRule="atLeast"/>
        <w:ind w:left="750" w:firstLine="440"/>
        <w:rPr>
          <w:color w:val="000000" w:themeColor="text1"/>
          <w14:textFill>
            <w14:solidFill>
              <w14:schemeClr w14:val="tx1"/>
            </w14:solidFill>
          </w14:textFill>
        </w:rPr>
      </w:pPr>
      <w:r>
        <w:rPr>
          <w:rFonts w:hint="eastAsia"/>
          <w:color w:val="000000" w:themeColor="text1"/>
          <w14:textFill>
            <w14:solidFill>
              <w14:schemeClr w14:val="tx1"/>
            </w14:solidFill>
          </w14:textFill>
        </w:rPr>
        <w:t>□经甲方审核无误后，乙方向甲方提交第三期款项付款申请；</w:t>
      </w:r>
    </w:p>
    <w:p w14:paraId="02F64E0B">
      <w:pPr>
        <w:pStyle w:val="16"/>
        <w:spacing w:line="0" w:lineRule="atLeast"/>
        <w:ind w:left="750" w:firstLine="440"/>
        <w:rPr>
          <w:color w:val="000000" w:themeColor="text1"/>
          <w14:textFill>
            <w14:solidFill>
              <w14:schemeClr w14:val="tx1"/>
            </w14:solidFill>
          </w14:textFill>
        </w:rPr>
      </w:pPr>
      <w:r>
        <w:rPr>
          <w:rFonts w:hint="eastAsia"/>
          <w:color w:val="000000" w:themeColor="text1"/>
          <w14:textFill>
            <w14:solidFill>
              <w14:schemeClr w14:val="tx1"/>
            </w14:solidFill>
          </w14:textFill>
        </w:rPr>
        <w:t>□乙方提供对应金额的增值税专用发票；</w:t>
      </w:r>
    </w:p>
    <w:p w14:paraId="3E1CBCE2">
      <w:pPr>
        <w:pStyle w:val="16"/>
        <w:spacing w:after="0" w:line="0" w:lineRule="atLeast"/>
        <w:ind w:left="750" w:firstLine="440"/>
        <w:rPr>
          <w:color w:val="000000" w:themeColor="text1"/>
          <w14:textFill>
            <w14:solidFill>
              <w14:schemeClr w14:val="tx1"/>
            </w14:solidFill>
          </w14:textFill>
        </w:rPr>
      </w:pPr>
      <w:r>
        <w:rPr>
          <w:rFonts w:hint="eastAsia"/>
          <w:color w:val="000000" w:themeColor="text1"/>
          <w14:textFill>
            <w14:solidFill>
              <w14:schemeClr w14:val="tx1"/>
            </w14:solidFill>
          </w14:textFill>
        </w:rPr>
        <w:t>□其他：【                   】。</w:t>
      </w:r>
    </w:p>
    <w:p w14:paraId="6F870F7B">
      <w:pPr>
        <w:spacing w:line="0" w:lineRule="atLeast"/>
        <w:ind w:firstLine="401" w:firstLineChars="190"/>
        <w:rPr>
          <w:b/>
          <w:color w:val="000000" w:themeColor="text1"/>
          <w:highlight w:val="yellow"/>
          <w14:textFill>
            <w14:solidFill>
              <w14:schemeClr w14:val="tx1"/>
            </w14:solidFill>
          </w14:textFill>
        </w:rPr>
      </w:pPr>
      <w:r>
        <w:rPr>
          <w:rFonts w:hint="eastAsia"/>
          <w:b/>
          <w:color w:val="000000" w:themeColor="text1"/>
          <w:highlight w:val="yellow"/>
          <w14:textFill>
            <w14:solidFill>
              <w14:schemeClr w14:val="tx1"/>
            </w14:solidFill>
          </w14:textFill>
        </w:rPr>
        <w:t>5</w:t>
      </w:r>
      <w:r>
        <w:rPr>
          <w:b/>
          <w:color w:val="000000" w:themeColor="text1"/>
          <w:highlight w:val="yellow"/>
          <w14:textFill>
            <w14:solidFill>
              <w14:schemeClr w14:val="tx1"/>
            </w14:solidFill>
          </w14:textFill>
        </w:rPr>
        <w:t>.3乙方银行账户信息：</w:t>
      </w:r>
    </w:p>
    <w:p w14:paraId="2B69C950">
      <w:pPr>
        <w:ind w:firstLine="840" w:firstLineChars="400"/>
        <w:rPr>
          <w:color w:val="000000" w:themeColor="text1"/>
          <w:highlight w:val="yellow"/>
          <w14:textFill>
            <w14:solidFill>
              <w14:schemeClr w14:val="tx1"/>
            </w14:solidFill>
          </w14:textFill>
        </w:rPr>
      </w:pPr>
      <w:r>
        <w:rPr>
          <w:color w:val="000000" w:themeColor="text1"/>
          <w:highlight w:val="yellow"/>
          <w14:textFill>
            <w14:solidFill>
              <w14:schemeClr w14:val="tx1"/>
            </w14:solidFill>
          </w14:textFill>
        </w:rPr>
        <w:t>开户银行：</w:t>
      </w:r>
    </w:p>
    <w:p w14:paraId="145CBDA2">
      <w:pPr>
        <w:ind w:firstLine="840" w:firstLineChars="400"/>
        <w:rPr>
          <w:color w:val="000000" w:themeColor="text1"/>
          <w:highlight w:val="yellow"/>
          <w14:textFill>
            <w14:solidFill>
              <w14:schemeClr w14:val="tx1"/>
            </w14:solidFill>
          </w14:textFill>
        </w:rPr>
      </w:pPr>
      <w:r>
        <w:rPr>
          <w:color w:val="000000" w:themeColor="text1"/>
          <w:highlight w:val="yellow"/>
          <w14:textFill>
            <w14:solidFill>
              <w14:schemeClr w14:val="tx1"/>
            </w14:solidFill>
          </w14:textFill>
        </w:rPr>
        <w:t>开户名称：</w:t>
      </w:r>
    </w:p>
    <w:p w14:paraId="44E3B2D6">
      <w:pPr>
        <w:ind w:firstLine="840" w:firstLineChars="400"/>
        <w:rPr>
          <w:color w:val="000000" w:themeColor="text1"/>
          <w14:textFill>
            <w14:solidFill>
              <w14:schemeClr w14:val="tx1"/>
            </w14:solidFill>
          </w14:textFill>
        </w:rPr>
      </w:pPr>
      <w:r>
        <w:rPr>
          <w:color w:val="000000" w:themeColor="text1"/>
          <w:highlight w:val="yellow"/>
          <w14:textFill>
            <w14:solidFill>
              <w14:schemeClr w14:val="tx1"/>
            </w14:solidFill>
          </w14:textFill>
        </w:rPr>
        <w:t>银行账号：</w:t>
      </w:r>
    </w:p>
    <w:p w14:paraId="6E50A46A">
      <w:pPr>
        <w:rPr>
          <w:color w:val="000000" w:themeColor="text1"/>
          <w14:textFill>
            <w14:solidFill>
              <w14:schemeClr w14:val="tx1"/>
            </w14:solidFill>
          </w14:textFill>
        </w:rPr>
      </w:pPr>
    </w:p>
    <w:p w14:paraId="26C06D32">
      <w:pPr>
        <w:pStyle w:val="16"/>
        <w:numPr>
          <w:ilvl w:val="0"/>
          <w:numId w:val="23"/>
        </w:numPr>
        <w:ind w:firstLineChars="0"/>
        <w:rPr>
          <w:b/>
          <w:color w:val="000000" w:themeColor="text1"/>
          <w14:textFill>
            <w14:solidFill>
              <w14:schemeClr w14:val="tx1"/>
            </w14:solidFill>
          </w14:textFill>
        </w:rPr>
      </w:pPr>
      <w:r>
        <w:rPr>
          <w:b/>
          <w:color w:val="000000" w:themeColor="text1"/>
          <w14:textFill>
            <w14:solidFill>
              <w14:schemeClr w14:val="tx1"/>
            </w14:solidFill>
          </w14:textFill>
        </w:rPr>
        <w:t>双方联系人</w:t>
      </w:r>
    </w:p>
    <w:tbl>
      <w:tblPr>
        <w:tblStyle w:val="9"/>
        <w:tblW w:w="4821" w:type="pct"/>
        <w:tblInd w:w="250" w:type="dxa"/>
        <w:tblLayout w:type="autofit"/>
        <w:tblCellMar>
          <w:top w:w="0" w:type="dxa"/>
          <w:left w:w="108" w:type="dxa"/>
          <w:bottom w:w="0" w:type="dxa"/>
          <w:right w:w="108" w:type="dxa"/>
        </w:tblCellMar>
      </w:tblPr>
      <w:tblGrid>
        <w:gridCol w:w="1502"/>
        <w:gridCol w:w="2552"/>
        <w:gridCol w:w="2198"/>
        <w:gridCol w:w="1772"/>
        <w:gridCol w:w="2276"/>
      </w:tblGrid>
      <w:tr w14:paraId="457197A8">
        <w:tblPrEx>
          <w:tblCellMar>
            <w:top w:w="0" w:type="dxa"/>
            <w:left w:w="108" w:type="dxa"/>
            <w:bottom w:w="0" w:type="dxa"/>
            <w:right w:w="108" w:type="dxa"/>
          </w:tblCellMar>
        </w:tblPrEx>
        <w:tc>
          <w:tcPr>
            <w:tcW w:w="5000" w:type="pct"/>
            <w:gridSpan w:val="5"/>
            <w:tcBorders>
              <w:top w:val="single" w:color="auto" w:sz="12" w:space="0"/>
              <w:left w:val="single" w:color="auto" w:sz="12" w:space="0"/>
              <w:bottom w:val="single" w:color="auto" w:sz="4" w:space="0"/>
              <w:right w:val="single" w:color="auto" w:sz="12" w:space="0"/>
            </w:tcBorders>
            <w:shd w:val="clear" w:color="auto" w:fill="DEEAF6" w:themeFill="accent1" w:themeFillTint="33"/>
            <w:vAlign w:val="center"/>
          </w:tcPr>
          <w:p w14:paraId="3F29E637">
            <w:pPr>
              <w:tabs>
                <w:tab w:val="left" w:pos="5565"/>
              </w:tabs>
              <w:spacing w:line="300" w:lineRule="auto"/>
              <w:jc w:val="center"/>
              <w:rPr>
                <w:color w:val="000000" w:themeColor="text1"/>
                <w14:textFill>
                  <w14:solidFill>
                    <w14:schemeClr w14:val="tx1"/>
                  </w14:solidFill>
                </w14:textFill>
              </w:rPr>
            </w:pPr>
            <w:r>
              <w:rPr>
                <w:rFonts w:hint="eastAsia"/>
                <w:b/>
                <w:bCs/>
                <w:color w:val="000000" w:themeColor="text1"/>
                <w14:textFill>
                  <w14:solidFill>
                    <w14:schemeClr w14:val="tx1"/>
                  </w14:solidFill>
                </w14:textFill>
              </w:rPr>
              <w:t>甲方的项目负责人</w:t>
            </w:r>
          </w:p>
        </w:tc>
      </w:tr>
      <w:tr w14:paraId="6A6EFCA2">
        <w:tblPrEx>
          <w:tblCellMar>
            <w:top w:w="0" w:type="dxa"/>
            <w:left w:w="108" w:type="dxa"/>
            <w:bottom w:w="0" w:type="dxa"/>
            <w:right w:w="108" w:type="dxa"/>
          </w:tblCellMar>
        </w:tblPrEx>
        <w:tc>
          <w:tcPr>
            <w:tcW w:w="729" w:type="pct"/>
            <w:tcBorders>
              <w:top w:val="single" w:color="auto" w:sz="4" w:space="0"/>
              <w:left w:val="single" w:color="auto" w:sz="12" w:space="0"/>
              <w:bottom w:val="single" w:color="auto" w:sz="4" w:space="0"/>
              <w:right w:val="single" w:color="auto" w:sz="4" w:space="0"/>
            </w:tcBorders>
          </w:tcPr>
          <w:p w14:paraId="31D3F368">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姓名</w:t>
            </w:r>
          </w:p>
        </w:tc>
        <w:tc>
          <w:tcPr>
            <w:tcW w:w="1239" w:type="pct"/>
            <w:tcBorders>
              <w:top w:val="single" w:color="auto" w:sz="4" w:space="0"/>
              <w:left w:val="single" w:color="auto" w:sz="4" w:space="0"/>
              <w:bottom w:val="single" w:color="auto" w:sz="4" w:space="0"/>
              <w:right w:val="single" w:color="auto" w:sz="4" w:space="0"/>
            </w:tcBorders>
            <w:vAlign w:val="center"/>
          </w:tcPr>
          <w:p w14:paraId="2B2D9B6C">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职务</w:t>
            </w:r>
          </w:p>
        </w:tc>
        <w:tc>
          <w:tcPr>
            <w:tcW w:w="1067" w:type="pct"/>
            <w:tcBorders>
              <w:left w:val="single" w:color="auto" w:sz="4" w:space="0"/>
              <w:bottom w:val="single" w:color="auto" w:sz="4" w:space="0"/>
              <w:right w:val="single" w:color="auto" w:sz="4" w:space="0"/>
            </w:tcBorders>
            <w:vAlign w:val="center"/>
          </w:tcPr>
          <w:p w14:paraId="0FB05262">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部门</w:t>
            </w:r>
          </w:p>
        </w:tc>
        <w:tc>
          <w:tcPr>
            <w:tcW w:w="860" w:type="pct"/>
            <w:tcBorders>
              <w:left w:val="single" w:color="auto" w:sz="4" w:space="0"/>
              <w:bottom w:val="single" w:color="auto" w:sz="4" w:space="0"/>
              <w:right w:val="single" w:color="auto" w:sz="4" w:space="0"/>
            </w:tcBorders>
            <w:vAlign w:val="center"/>
          </w:tcPr>
          <w:p w14:paraId="7A552C66">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电话</w:t>
            </w:r>
          </w:p>
        </w:tc>
        <w:tc>
          <w:tcPr>
            <w:tcW w:w="1105" w:type="pct"/>
            <w:tcBorders>
              <w:left w:val="single" w:color="auto" w:sz="4" w:space="0"/>
              <w:bottom w:val="single" w:color="auto" w:sz="4" w:space="0"/>
              <w:right w:val="single" w:color="auto" w:sz="12" w:space="0"/>
            </w:tcBorders>
            <w:vAlign w:val="center"/>
          </w:tcPr>
          <w:p w14:paraId="30954B1A">
            <w:pPr>
              <w:tabs>
                <w:tab w:val="left" w:pos="5565"/>
              </w:tabs>
              <w:spacing w:line="300" w:lineRule="auto"/>
              <w:ind w:left="-1191" w:leftChars="-567" w:firstLine="1190" w:firstLineChars="567"/>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电子邮箱</w:t>
            </w:r>
          </w:p>
        </w:tc>
      </w:tr>
      <w:tr w14:paraId="7369A9F9">
        <w:tblPrEx>
          <w:tblCellMar>
            <w:top w:w="0" w:type="dxa"/>
            <w:left w:w="108" w:type="dxa"/>
            <w:bottom w:w="0" w:type="dxa"/>
            <w:right w:w="108" w:type="dxa"/>
          </w:tblCellMar>
        </w:tblPrEx>
        <w:tc>
          <w:tcPr>
            <w:tcW w:w="729" w:type="pct"/>
            <w:tcBorders>
              <w:top w:val="single" w:color="auto" w:sz="4" w:space="0"/>
              <w:left w:val="single" w:color="auto" w:sz="12" w:space="0"/>
              <w:bottom w:val="single" w:color="auto" w:sz="4" w:space="0"/>
              <w:right w:val="single" w:color="auto" w:sz="4" w:space="0"/>
            </w:tcBorders>
            <w:vAlign w:val="center"/>
          </w:tcPr>
          <w:p w14:paraId="3EDECB09">
            <w:pPr>
              <w:tabs>
                <w:tab w:val="left" w:pos="5565"/>
              </w:tabs>
              <w:spacing w:line="300" w:lineRule="auto"/>
              <w:jc w:val="left"/>
              <w:rPr>
                <w:color w:val="000000" w:themeColor="text1"/>
                <w14:textFill>
                  <w14:solidFill>
                    <w14:schemeClr w14:val="tx1"/>
                  </w14:solidFill>
                </w14:textFill>
              </w:rPr>
            </w:pPr>
          </w:p>
        </w:tc>
        <w:tc>
          <w:tcPr>
            <w:tcW w:w="1239" w:type="pct"/>
            <w:tcBorders>
              <w:top w:val="single" w:color="auto" w:sz="4" w:space="0"/>
              <w:left w:val="single" w:color="auto" w:sz="4" w:space="0"/>
              <w:bottom w:val="single" w:color="auto" w:sz="4" w:space="0"/>
              <w:right w:val="single" w:color="auto" w:sz="4" w:space="0"/>
            </w:tcBorders>
            <w:vAlign w:val="center"/>
          </w:tcPr>
          <w:p w14:paraId="041FFF9A">
            <w:pPr>
              <w:tabs>
                <w:tab w:val="left" w:pos="5565"/>
              </w:tabs>
              <w:spacing w:line="300" w:lineRule="auto"/>
              <w:jc w:val="left"/>
              <w:rPr>
                <w:color w:val="000000" w:themeColor="text1"/>
                <w14:textFill>
                  <w14:solidFill>
                    <w14:schemeClr w14:val="tx1"/>
                  </w14:solidFill>
                </w14:textFill>
              </w:rPr>
            </w:pPr>
          </w:p>
        </w:tc>
        <w:tc>
          <w:tcPr>
            <w:tcW w:w="1067" w:type="pct"/>
            <w:tcBorders>
              <w:top w:val="single" w:color="auto" w:sz="4" w:space="0"/>
              <w:left w:val="single" w:color="auto" w:sz="4" w:space="0"/>
              <w:right w:val="single" w:color="auto" w:sz="4" w:space="0"/>
            </w:tcBorders>
            <w:vAlign w:val="center"/>
          </w:tcPr>
          <w:p w14:paraId="5A9D5690">
            <w:pPr>
              <w:pStyle w:val="22"/>
              <w:tabs>
                <w:tab w:val="left" w:pos="5565"/>
              </w:tabs>
              <w:spacing w:line="300" w:lineRule="auto"/>
              <w:rPr>
                <w:color w:val="000000" w:themeColor="text1"/>
                <w14:textFill>
                  <w14:solidFill>
                    <w14:schemeClr w14:val="tx1"/>
                  </w14:solidFill>
                </w14:textFill>
              </w:rPr>
            </w:pPr>
          </w:p>
        </w:tc>
        <w:tc>
          <w:tcPr>
            <w:tcW w:w="860" w:type="pct"/>
            <w:tcBorders>
              <w:top w:val="single" w:color="auto" w:sz="4" w:space="0"/>
              <w:left w:val="single" w:color="auto" w:sz="4" w:space="0"/>
              <w:right w:val="single" w:color="auto" w:sz="4" w:space="0"/>
            </w:tcBorders>
            <w:vAlign w:val="center"/>
          </w:tcPr>
          <w:p w14:paraId="610EC52D">
            <w:pPr>
              <w:pStyle w:val="22"/>
              <w:tabs>
                <w:tab w:val="left" w:pos="5565"/>
              </w:tabs>
              <w:spacing w:line="300" w:lineRule="auto"/>
              <w:rPr>
                <w:color w:val="000000" w:themeColor="text1"/>
                <w14:textFill>
                  <w14:solidFill>
                    <w14:schemeClr w14:val="tx1"/>
                  </w14:solidFill>
                </w14:textFill>
              </w:rPr>
            </w:pPr>
          </w:p>
        </w:tc>
        <w:tc>
          <w:tcPr>
            <w:tcW w:w="1105" w:type="pct"/>
            <w:tcBorders>
              <w:top w:val="single" w:color="auto" w:sz="4" w:space="0"/>
              <w:left w:val="single" w:color="auto" w:sz="4" w:space="0"/>
              <w:right w:val="single" w:color="auto" w:sz="12" w:space="0"/>
            </w:tcBorders>
            <w:vAlign w:val="center"/>
          </w:tcPr>
          <w:p w14:paraId="0EAF3AA6">
            <w:pPr>
              <w:pStyle w:val="22"/>
              <w:rPr>
                <w:color w:val="000000" w:themeColor="text1"/>
                <w14:textFill>
                  <w14:solidFill>
                    <w14:schemeClr w14:val="tx1"/>
                  </w14:solidFill>
                </w14:textFill>
              </w:rPr>
            </w:pPr>
          </w:p>
        </w:tc>
      </w:tr>
      <w:tr w14:paraId="2ACB88EF">
        <w:tblPrEx>
          <w:tblCellMar>
            <w:top w:w="0" w:type="dxa"/>
            <w:left w:w="108" w:type="dxa"/>
            <w:bottom w:w="0" w:type="dxa"/>
            <w:right w:w="108" w:type="dxa"/>
          </w:tblCellMar>
        </w:tblPrEx>
        <w:tc>
          <w:tcPr>
            <w:tcW w:w="5000" w:type="pct"/>
            <w:gridSpan w:val="5"/>
            <w:tcBorders>
              <w:top w:val="single" w:color="auto" w:sz="4" w:space="0"/>
              <w:left w:val="single" w:color="auto" w:sz="12" w:space="0"/>
              <w:bottom w:val="single" w:color="auto" w:sz="4" w:space="0"/>
              <w:right w:val="single" w:color="auto" w:sz="12" w:space="0"/>
            </w:tcBorders>
            <w:shd w:val="clear" w:color="auto" w:fill="DEEAF6" w:themeFill="accent1" w:themeFillTint="33"/>
            <w:vAlign w:val="center"/>
          </w:tcPr>
          <w:p w14:paraId="37AAB416">
            <w:pPr>
              <w:tabs>
                <w:tab w:val="left" w:pos="5565"/>
              </w:tabs>
              <w:spacing w:line="300" w:lineRule="auto"/>
              <w:jc w:val="center"/>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乙方的项目负责人</w:t>
            </w:r>
          </w:p>
        </w:tc>
      </w:tr>
      <w:tr w14:paraId="4C608C31">
        <w:tblPrEx>
          <w:tblCellMar>
            <w:top w:w="0" w:type="dxa"/>
            <w:left w:w="108" w:type="dxa"/>
            <w:bottom w:w="0" w:type="dxa"/>
            <w:right w:w="108" w:type="dxa"/>
          </w:tblCellMar>
        </w:tblPrEx>
        <w:tc>
          <w:tcPr>
            <w:tcW w:w="729" w:type="pct"/>
            <w:tcBorders>
              <w:top w:val="single" w:color="auto" w:sz="4" w:space="0"/>
              <w:left w:val="single" w:color="auto" w:sz="12" w:space="0"/>
              <w:bottom w:val="single" w:color="auto" w:sz="4" w:space="0"/>
              <w:right w:val="single" w:color="auto" w:sz="4" w:space="0"/>
            </w:tcBorders>
          </w:tcPr>
          <w:p w14:paraId="5D51039A">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姓名</w:t>
            </w:r>
          </w:p>
        </w:tc>
        <w:tc>
          <w:tcPr>
            <w:tcW w:w="1239" w:type="pct"/>
            <w:tcBorders>
              <w:top w:val="single" w:color="auto" w:sz="4" w:space="0"/>
              <w:left w:val="single" w:color="auto" w:sz="4" w:space="0"/>
              <w:bottom w:val="single" w:color="auto" w:sz="4" w:space="0"/>
              <w:right w:val="single" w:color="auto" w:sz="4" w:space="0"/>
            </w:tcBorders>
            <w:vAlign w:val="center"/>
          </w:tcPr>
          <w:p w14:paraId="08040F6E">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职务</w:t>
            </w:r>
          </w:p>
        </w:tc>
        <w:tc>
          <w:tcPr>
            <w:tcW w:w="1067" w:type="pct"/>
            <w:tcBorders>
              <w:top w:val="single" w:color="auto" w:sz="4" w:space="0"/>
              <w:left w:val="single" w:color="auto" w:sz="4" w:space="0"/>
              <w:right w:val="single" w:color="auto" w:sz="4" w:space="0"/>
            </w:tcBorders>
            <w:vAlign w:val="center"/>
          </w:tcPr>
          <w:p w14:paraId="1ED09254">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部门</w:t>
            </w:r>
          </w:p>
        </w:tc>
        <w:tc>
          <w:tcPr>
            <w:tcW w:w="860" w:type="pct"/>
            <w:tcBorders>
              <w:top w:val="single" w:color="auto" w:sz="4" w:space="0"/>
              <w:left w:val="single" w:color="auto" w:sz="4" w:space="0"/>
              <w:right w:val="single" w:color="auto" w:sz="4" w:space="0"/>
            </w:tcBorders>
            <w:vAlign w:val="center"/>
          </w:tcPr>
          <w:p w14:paraId="428A702A">
            <w:pPr>
              <w:tabs>
                <w:tab w:val="left" w:pos="5565"/>
              </w:tabs>
              <w:spacing w:line="30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电话</w:t>
            </w:r>
          </w:p>
        </w:tc>
        <w:tc>
          <w:tcPr>
            <w:tcW w:w="1105" w:type="pct"/>
            <w:tcBorders>
              <w:top w:val="single" w:color="auto" w:sz="4" w:space="0"/>
              <w:left w:val="single" w:color="auto" w:sz="4" w:space="0"/>
              <w:right w:val="single" w:color="auto" w:sz="12" w:space="0"/>
            </w:tcBorders>
            <w:vAlign w:val="center"/>
          </w:tcPr>
          <w:p w14:paraId="53FDD851">
            <w:pPr>
              <w:tabs>
                <w:tab w:val="left" w:pos="5565"/>
              </w:tabs>
              <w:spacing w:line="300" w:lineRule="auto"/>
              <w:ind w:left="-1191" w:leftChars="-567" w:firstLine="1190" w:firstLineChars="567"/>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电子邮箱</w:t>
            </w:r>
          </w:p>
        </w:tc>
      </w:tr>
      <w:tr w14:paraId="3BAA4B05">
        <w:tblPrEx>
          <w:tblCellMar>
            <w:top w:w="0" w:type="dxa"/>
            <w:left w:w="108" w:type="dxa"/>
            <w:bottom w:w="0" w:type="dxa"/>
            <w:right w:w="108" w:type="dxa"/>
          </w:tblCellMar>
        </w:tblPrEx>
        <w:tc>
          <w:tcPr>
            <w:tcW w:w="729" w:type="pct"/>
            <w:tcBorders>
              <w:top w:val="single" w:color="auto" w:sz="4" w:space="0"/>
              <w:left w:val="single" w:color="auto" w:sz="12" w:space="0"/>
              <w:bottom w:val="single" w:color="auto" w:sz="12" w:space="0"/>
              <w:right w:val="single" w:color="auto" w:sz="4" w:space="0"/>
            </w:tcBorders>
            <w:vAlign w:val="center"/>
          </w:tcPr>
          <w:p w14:paraId="2EEF1BCD">
            <w:pPr>
              <w:tabs>
                <w:tab w:val="left" w:pos="5565"/>
              </w:tabs>
              <w:spacing w:line="300" w:lineRule="auto"/>
              <w:jc w:val="left"/>
              <w:rPr>
                <w:color w:val="000000" w:themeColor="text1"/>
                <w14:textFill>
                  <w14:solidFill>
                    <w14:schemeClr w14:val="tx1"/>
                  </w14:solidFill>
                </w14:textFill>
              </w:rPr>
            </w:pPr>
          </w:p>
        </w:tc>
        <w:tc>
          <w:tcPr>
            <w:tcW w:w="1239" w:type="pct"/>
            <w:tcBorders>
              <w:top w:val="single" w:color="auto" w:sz="4" w:space="0"/>
              <w:left w:val="single" w:color="auto" w:sz="4" w:space="0"/>
              <w:bottom w:val="single" w:color="auto" w:sz="12" w:space="0"/>
              <w:right w:val="single" w:color="auto" w:sz="4" w:space="0"/>
            </w:tcBorders>
            <w:vAlign w:val="center"/>
          </w:tcPr>
          <w:p w14:paraId="260A65CF">
            <w:pPr>
              <w:tabs>
                <w:tab w:val="left" w:pos="5565"/>
              </w:tabs>
              <w:spacing w:line="300" w:lineRule="auto"/>
              <w:jc w:val="left"/>
              <w:rPr>
                <w:color w:val="000000" w:themeColor="text1"/>
                <w14:textFill>
                  <w14:solidFill>
                    <w14:schemeClr w14:val="tx1"/>
                  </w14:solidFill>
                </w14:textFill>
              </w:rPr>
            </w:pPr>
          </w:p>
        </w:tc>
        <w:tc>
          <w:tcPr>
            <w:tcW w:w="1067" w:type="pct"/>
            <w:tcBorders>
              <w:top w:val="single" w:color="auto" w:sz="4" w:space="0"/>
              <w:left w:val="single" w:color="auto" w:sz="4" w:space="0"/>
              <w:bottom w:val="single" w:color="auto" w:sz="12" w:space="0"/>
              <w:right w:val="single" w:color="auto" w:sz="4" w:space="0"/>
            </w:tcBorders>
            <w:vAlign w:val="center"/>
          </w:tcPr>
          <w:p w14:paraId="77F083F9">
            <w:pPr>
              <w:pStyle w:val="22"/>
              <w:tabs>
                <w:tab w:val="left" w:pos="5565"/>
              </w:tabs>
              <w:spacing w:line="300" w:lineRule="auto"/>
              <w:rPr>
                <w:color w:val="000000" w:themeColor="text1"/>
                <w14:textFill>
                  <w14:solidFill>
                    <w14:schemeClr w14:val="tx1"/>
                  </w14:solidFill>
                </w14:textFill>
              </w:rPr>
            </w:pPr>
          </w:p>
        </w:tc>
        <w:tc>
          <w:tcPr>
            <w:tcW w:w="860" w:type="pct"/>
            <w:tcBorders>
              <w:top w:val="single" w:color="auto" w:sz="4" w:space="0"/>
              <w:left w:val="single" w:color="auto" w:sz="4" w:space="0"/>
              <w:bottom w:val="single" w:color="auto" w:sz="12" w:space="0"/>
              <w:right w:val="single" w:color="auto" w:sz="4" w:space="0"/>
            </w:tcBorders>
            <w:vAlign w:val="center"/>
          </w:tcPr>
          <w:p w14:paraId="6103D620">
            <w:pPr>
              <w:tabs>
                <w:tab w:val="left" w:pos="5565"/>
              </w:tabs>
              <w:spacing w:line="300" w:lineRule="auto"/>
              <w:jc w:val="left"/>
              <w:rPr>
                <w:color w:val="000000" w:themeColor="text1"/>
                <w14:textFill>
                  <w14:solidFill>
                    <w14:schemeClr w14:val="tx1"/>
                  </w14:solidFill>
                </w14:textFill>
              </w:rPr>
            </w:pPr>
          </w:p>
        </w:tc>
        <w:tc>
          <w:tcPr>
            <w:tcW w:w="1105" w:type="pct"/>
            <w:tcBorders>
              <w:top w:val="single" w:color="auto" w:sz="4" w:space="0"/>
              <w:left w:val="single" w:color="auto" w:sz="4" w:space="0"/>
              <w:bottom w:val="single" w:color="auto" w:sz="12" w:space="0"/>
              <w:right w:val="single" w:color="auto" w:sz="12" w:space="0"/>
            </w:tcBorders>
            <w:vAlign w:val="center"/>
          </w:tcPr>
          <w:p w14:paraId="6B3A6E67">
            <w:pPr>
              <w:tabs>
                <w:tab w:val="left" w:pos="5565"/>
              </w:tabs>
              <w:spacing w:line="300" w:lineRule="auto"/>
              <w:jc w:val="left"/>
              <w:rPr>
                <w:color w:val="000000" w:themeColor="text1"/>
                <w14:textFill>
                  <w14:solidFill>
                    <w14:schemeClr w14:val="tx1"/>
                  </w14:solidFill>
                </w14:textFill>
              </w:rPr>
            </w:pPr>
          </w:p>
        </w:tc>
      </w:tr>
      <w:tr w14:paraId="7CA0E286">
        <w:tblPrEx>
          <w:tblCellMar>
            <w:top w:w="0" w:type="dxa"/>
            <w:left w:w="108" w:type="dxa"/>
            <w:bottom w:w="0" w:type="dxa"/>
            <w:right w:w="108" w:type="dxa"/>
          </w:tblCellMar>
        </w:tblPrEx>
        <w:tc>
          <w:tcPr>
            <w:tcW w:w="5000" w:type="pct"/>
            <w:gridSpan w:val="5"/>
            <w:tcBorders>
              <w:top w:val="single" w:color="auto" w:sz="4" w:space="0"/>
              <w:left w:val="single" w:color="auto" w:sz="12" w:space="0"/>
              <w:bottom w:val="single" w:color="auto" w:sz="12" w:space="0"/>
              <w:right w:val="single" w:color="auto" w:sz="12" w:space="0"/>
            </w:tcBorders>
            <w:vAlign w:val="center"/>
          </w:tcPr>
          <w:p w14:paraId="0F0CE459">
            <w:pPr>
              <w:pStyle w:val="22"/>
              <w:rPr>
                <w:color w:val="000000" w:themeColor="text1"/>
                <w14:textFill>
                  <w14:solidFill>
                    <w14:schemeClr w14:val="tx1"/>
                  </w14:solidFill>
                </w14:textFill>
              </w:rPr>
            </w:pPr>
            <w:r>
              <w:rPr>
                <w:rFonts w:hint="eastAsia" w:ascii="Calibri" w:hAnsi="Calibri"/>
                <w:color w:val="000000" w:themeColor="text1"/>
                <w:sz w:val="21"/>
                <w:szCs w:val="21"/>
                <w14:textFill>
                  <w14:solidFill>
                    <w14:schemeClr w14:val="tx1"/>
                  </w14:solidFill>
                </w14:textFill>
              </w:rPr>
              <w:t>对本协议及工作说明书内容的任何修订，包括服务内容、服务验收及费用结算等影响双方权利义务的事项的变更均需甲方加盖合同章或公章确认后方有效。</w:t>
            </w:r>
          </w:p>
        </w:tc>
      </w:tr>
      <w:tr w14:paraId="1FA99697">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2"/>
          <w:wBefore w:w="1968" w:type="pct"/>
          <w:trHeight w:val="100" w:hRule="atLeast"/>
        </w:trPr>
        <w:tc>
          <w:tcPr>
            <w:tcW w:w="3032" w:type="pct"/>
            <w:gridSpan w:val="3"/>
            <w:tcBorders>
              <w:top w:val="single" w:color="auto" w:sz="4" w:space="0"/>
            </w:tcBorders>
          </w:tcPr>
          <w:p w14:paraId="431F37B9">
            <w:pPr>
              <w:adjustRightInd w:val="0"/>
              <w:snapToGrid w:val="0"/>
              <w:rPr>
                <w:color w:val="000000" w:themeColor="text1"/>
                <w14:textFill>
                  <w14:solidFill>
                    <w14:schemeClr w14:val="tx1"/>
                  </w14:solidFill>
                </w14:textFill>
              </w:rPr>
            </w:pPr>
          </w:p>
        </w:tc>
      </w:tr>
    </w:tbl>
    <w:p w14:paraId="4802E54A">
      <w:pPr>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如上述负责人发生变更的，任何一方应及时（不得晚于变更后1个工作日）书面通知对方。如一方未及时通知对方该变更信息的，则该变更对另一方不发生效力。项目负责人发生变更的，不影响原项目负责人签署文件的效力。</w:t>
      </w:r>
    </w:p>
    <w:p w14:paraId="322317D5">
      <w:pPr>
        <w:rPr>
          <w:color w:val="000000" w:themeColor="text1"/>
          <w14:textFill>
            <w14:solidFill>
              <w14:schemeClr w14:val="tx1"/>
            </w14:solidFill>
          </w14:textFill>
        </w:rPr>
      </w:pPr>
    </w:p>
    <w:p w14:paraId="075618F4">
      <w:pPr>
        <w:pStyle w:val="16"/>
        <w:numPr>
          <w:ilvl w:val="0"/>
          <w:numId w:val="23"/>
        </w:numPr>
        <w:ind w:firstLineChars="0"/>
        <w:rPr>
          <w:b/>
          <w:color w:val="000000" w:themeColor="text1"/>
          <w14:textFill>
            <w14:solidFill>
              <w14:schemeClr w14:val="tx1"/>
            </w14:solidFill>
          </w14:textFill>
        </w:rPr>
      </w:pPr>
      <w:r>
        <w:rPr>
          <w:rFonts w:hint="eastAsia"/>
          <w:b/>
          <w:color w:val="000000" w:themeColor="text1"/>
          <w14:textFill>
            <w14:solidFill>
              <w14:schemeClr w14:val="tx1"/>
            </w14:solidFill>
          </w14:textFill>
        </w:rPr>
        <w:t>其他</w:t>
      </w:r>
    </w:p>
    <w:p w14:paraId="0D080290">
      <w:pPr>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除以上另有规定者外，本工作说明书是各方就本工作说明标的达成的全部协议。本工作说明书的签署将取代任何各方在此前就本工作说明标的达成的任何协议、谅解等。对本工作说明书的任何修订和补充均应符合主协议的规定。</w:t>
      </w:r>
    </w:p>
    <w:p w14:paraId="07571174">
      <w:pPr>
        <w:ind w:left="420" w:leftChars="200"/>
        <w:rPr>
          <w:color w:val="000000" w:themeColor="text1"/>
          <w14:textFill>
            <w14:solidFill>
              <w14:schemeClr w14:val="tx1"/>
            </w14:solidFill>
          </w14:textFill>
        </w:rPr>
      </w:pPr>
    </w:p>
    <w:p w14:paraId="32453907">
      <w:pPr>
        <w:rPr>
          <w:color w:val="000000" w:themeColor="text1"/>
          <w14:textFill>
            <w14:solidFill>
              <w14:schemeClr w14:val="tx1"/>
            </w14:solidFill>
          </w14:textFill>
        </w:rPr>
      </w:pPr>
    </w:p>
    <w:p w14:paraId="24A989A0">
      <w:pPr>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【以下无正文，为签署信息】</w:t>
      </w:r>
    </w:p>
    <w:p w14:paraId="17118EED">
      <w:pPr>
        <w:jc w:val="left"/>
        <w:rPr>
          <w:color w:val="000000" w:themeColor="text1"/>
          <w14:textFill>
            <w14:solidFill>
              <w14:schemeClr w14:val="tx1"/>
            </w14:solidFill>
          </w14:textFill>
        </w:rPr>
      </w:pPr>
    </w:p>
    <w:p w14:paraId="17A4DEBC">
      <w:pPr>
        <w:jc w:val="left"/>
        <w:rPr>
          <w:color w:val="000000" w:themeColor="text1"/>
          <w14:textFill>
            <w14:solidFill>
              <w14:schemeClr w14:val="tx1"/>
            </w14:solidFill>
          </w14:textFill>
        </w:rPr>
      </w:pPr>
    </w:p>
    <w:p w14:paraId="2B019476">
      <w:pPr>
        <w:jc w:val="left"/>
        <w:rPr>
          <w:color w:val="000000" w:themeColor="text1"/>
          <w14:textFill>
            <w14:solidFill>
              <w14:schemeClr w14:val="tx1"/>
            </w14:solidFill>
          </w14:textFill>
        </w:rPr>
      </w:pPr>
    </w:p>
    <w:p w14:paraId="76A93540">
      <w:pP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甲方：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 xml:space="preserve"> 乙方：   </w:t>
      </w:r>
    </w:p>
    <w:p w14:paraId="546CD5E7">
      <w:pPr>
        <w:rPr>
          <w:color w:val="000000" w:themeColor="text1"/>
          <w14:textFill>
            <w14:solidFill>
              <w14:schemeClr w14:val="tx1"/>
            </w14:solidFill>
          </w14:textFill>
        </w:rPr>
      </w:pPr>
    </w:p>
    <w:p w14:paraId="6E56F048">
      <w:pPr>
        <w:widowControl/>
        <w:ind w:firstLine="210" w:firstLineChars="100"/>
        <w:jc w:val="left"/>
        <w:rPr>
          <w:color w:val="000000" w:themeColor="text1"/>
          <w:sz w:val="30"/>
          <w:szCs w:val="30"/>
          <w14:textFill>
            <w14:solidFill>
              <w14:schemeClr w14:val="tx1"/>
            </w14:solidFill>
          </w14:textFill>
        </w:rPr>
      </w:pPr>
      <w:r>
        <w:rPr>
          <w:rFonts w:hint="eastAsia"/>
          <w:color w:val="000000" w:themeColor="text1"/>
          <w14:textFill>
            <w14:solidFill>
              <w14:schemeClr w14:val="tx1"/>
            </w14:solidFill>
          </w14:textFill>
        </w:rPr>
        <w:t xml:space="preserve">（盖章）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（盖章）</w:t>
      </w:r>
    </w:p>
    <w:sectPr>
      <w:type w:val="continuous"/>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Trebuchet MS">
    <w:panose1 w:val="020B0603020202020204"/>
    <w:charset w:val="00"/>
    <w:family w:val="swiss"/>
    <w:pitch w:val="default"/>
    <w:sig w:usb0="00000687" w:usb1="00000000" w:usb2="00000000" w:usb3="00000000" w:csb0="2000009F" w:csb1="00000000"/>
  </w:font>
  <w:font w:name="FuturaA Bk BT">
    <w:altName w:val="Segoe Print"/>
    <w:panose1 w:val="00000000000000000000"/>
    <w:charset w:val="00"/>
    <w:family w:val="swiss"/>
    <w:pitch w:val="default"/>
    <w:sig w:usb0="00000000" w:usb1="00000000" w:usb2="00000000" w:usb3="00000000" w:csb0="0000001B" w:csb1="00000000"/>
  </w:font>
  <w:font w:name="苹方-简">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54EB7C">
    <w:pPr>
      <w:pStyle w:val="4"/>
      <w:ind w:firstLine="360" w:firstLineChars="200"/>
      <w:jc w:val="center"/>
    </w:pPr>
    <w:r>
      <w:rPr>
        <w:rStyle w:val="11"/>
        <w:rFonts w:hint="eastAsia" w:asciiTheme="minorEastAsia" w:hAnsiTheme="minorEastAsia"/>
      </w:rPr>
      <w:t>第</w:t>
    </w:r>
    <w:r>
      <w:rPr>
        <w:rStyle w:val="11"/>
        <w:rFonts w:asciiTheme="minorEastAsia" w:hAnsiTheme="minorEastAsia"/>
      </w:rPr>
      <w:fldChar w:fldCharType="begin"/>
    </w:r>
    <w:r>
      <w:rPr>
        <w:rStyle w:val="11"/>
        <w:rFonts w:asciiTheme="minorEastAsia" w:hAnsiTheme="minorEastAsia"/>
      </w:rPr>
      <w:instrText xml:space="preserve"> PAGE </w:instrText>
    </w:r>
    <w:r>
      <w:rPr>
        <w:rStyle w:val="11"/>
        <w:rFonts w:asciiTheme="minorEastAsia" w:hAnsiTheme="minorEastAsia"/>
      </w:rPr>
      <w:fldChar w:fldCharType="separate"/>
    </w:r>
    <w:r>
      <w:rPr>
        <w:rStyle w:val="11"/>
        <w:rFonts w:asciiTheme="minorEastAsia" w:hAnsiTheme="minorEastAsia"/>
      </w:rPr>
      <w:t>11</w:t>
    </w:r>
    <w:r>
      <w:rPr>
        <w:rStyle w:val="11"/>
        <w:rFonts w:asciiTheme="minorEastAsia" w:hAnsiTheme="minorEastAsia"/>
      </w:rPr>
      <w:fldChar w:fldCharType="end"/>
    </w:r>
    <w:r>
      <w:rPr>
        <w:rStyle w:val="11"/>
        <w:rFonts w:hint="eastAsia" w:asciiTheme="minorEastAsia" w:hAnsiTheme="minorEastAsia"/>
      </w:rPr>
      <w:t>页 共</w:t>
    </w:r>
    <w:r>
      <w:rPr>
        <w:rStyle w:val="11"/>
        <w:rFonts w:asciiTheme="minorEastAsia" w:hAnsiTheme="minorEastAsia"/>
      </w:rPr>
      <w:fldChar w:fldCharType="begin"/>
    </w:r>
    <w:r>
      <w:rPr>
        <w:rStyle w:val="11"/>
        <w:rFonts w:asciiTheme="minorEastAsia" w:hAnsiTheme="minorEastAsia"/>
      </w:rPr>
      <w:instrText xml:space="preserve"> NUMPAGES </w:instrText>
    </w:r>
    <w:r>
      <w:rPr>
        <w:rStyle w:val="11"/>
        <w:rFonts w:asciiTheme="minorEastAsia" w:hAnsiTheme="minorEastAsia"/>
      </w:rPr>
      <w:fldChar w:fldCharType="separate"/>
    </w:r>
    <w:r>
      <w:rPr>
        <w:rStyle w:val="11"/>
        <w:rFonts w:asciiTheme="minorEastAsia" w:hAnsiTheme="minorEastAsia"/>
      </w:rPr>
      <w:t>11</w:t>
    </w:r>
    <w:r>
      <w:rPr>
        <w:rStyle w:val="11"/>
        <w:rFonts w:asciiTheme="minorEastAsia" w:hAnsiTheme="minorEastAsia"/>
      </w:rPr>
      <w:fldChar w:fldCharType="end"/>
    </w:r>
    <w:r>
      <w:rPr>
        <w:rStyle w:val="11"/>
        <w:rFonts w:hint="eastAsia" w:asciiTheme="minorEastAsia" w:hAnsiTheme="minorEastAsia"/>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D9247">
    <w:pPr>
      <w:pStyle w:val="5"/>
      <w:pBdr>
        <w:bottom w:val="single" w:color="auto" w:sz="6" w:space="12"/>
      </w:pBdr>
      <w:wordWrap w:val="0"/>
      <w:jc w:val="right"/>
    </w:pPr>
    <w:r>
      <w:rPr>
        <w:color w:val="5B9BD5" w:themeColor="accent1"/>
        <w14:textFill>
          <w14:solidFill>
            <w14:schemeClr w14:val="accent1"/>
          </w14:solidFill>
        </w14:textFill>
      </w:rPr>
      <mc:AlternateContent>
        <mc:Choice Requires="wps">
          <w:drawing>
            <wp:anchor distT="0" distB="0" distL="114300" distR="114300" simplePos="0" relativeHeight="251660288" behindDoc="0" locked="0" layoutInCell="1" allowOverlap="1">
              <wp:simplePos x="0" y="0"/>
              <wp:positionH relativeFrom="column">
                <wp:posOffset>5394325</wp:posOffset>
              </wp:positionH>
              <wp:positionV relativeFrom="paragraph">
                <wp:posOffset>-104140</wp:posOffset>
              </wp:positionV>
              <wp:extent cx="1419225" cy="382270"/>
              <wp:effectExtent l="4445" t="4445" r="5080" b="13335"/>
              <wp:wrapNone/>
              <wp:docPr id="4" name="文本框 4"/>
              <wp:cNvGraphicFramePr/>
              <a:graphic xmlns:a="http://schemas.openxmlformats.org/drawingml/2006/main">
                <a:graphicData uri="http://schemas.microsoft.com/office/word/2010/wordprocessingShape">
                  <wps:wsp>
                    <wps:cNvSpPr txBox="1">
                      <a:spLocks noChangeArrowheads="1"/>
                    </wps:cNvSpPr>
                    <wps:spPr bwMode="auto">
                      <a:xfrm>
                        <a:off x="5334000" y="276860"/>
                        <a:ext cx="1419225" cy="382270"/>
                      </a:xfrm>
                      <a:prstGeom prst="rect">
                        <a:avLst/>
                      </a:prstGeom>
                      <a:solidFill>
                        <a:srgbClr val="FFFFFF"/>
                      </a:solidFill>
                      <a:ln w="9525">
                        <a:solidFill>
                          <a:srgbClr val="FF0000"/>
                        </a:solidFill>
                        <a:miter lim="800000"/>
                      </a:ln>
                      <a:effectLst/>
                    </wps:spPr>
                    <wps:txbx>
                      <w:txbxContent>
                        <w:p w14:paraId="71E64FAA">
                          <w:pPr>
                            <w:pStyle w:val="6"/>
                            <w:spacing w:before="0" w:beforeAutospacing="0" w:after="0" w:afterAutospacing="0" w:line="240" w:lineRule="exact"/>
                            <w:rPr>
                              <w:rFonts w:hint="default" w:eastAsia="微软雅黑"/>
                              <w:color w:val="FF0000"/>
                              <w:sz w:val="16"/>
                              <w:szCs w:val="16"/>
                              <w:lang w:val="en-US" w:eastAsia="zh-CN"/>
                            </w:rPr>
                          </w:pPr>
                          <w:r>
                            <w:rPr>
                              <w:rFonts w:hint="eastAsia" w:ascii="微软雅黑" w:hAnsi="微软雅黑" w:eastAsia="微软雅黑" w:cstheme="minorBidi"/>
                              <w:b/>
                              <w:bCs/>
                              <w:color w:val="FF0000"/>
                              <w:sz w:val="16"/>
                              <w:szCs w:val="16"/>
                            </w:rPr>
                            <w:t>保密</w:t>
                          </w:r>
                          <w:r>
                            <w:rPr>
                              <w:rFonts w:ascii="微软雅黑" w:hAnsi="微软雅黑" w:eastAsia="微软雅黑" w:cstheme="minorBidi"/>
                              <w:b/>
                              <w:bCs/>
                              <w:color w:val="FF0000"/>
                              <w:sz w:val="16"/>
                              <w:szCs w:val="16"/>
                            </w:rPr>
                            <w:t>级别</w:t>
                          </w:r>
                          <w:r>
                            <w:rPr>
                              <w:rFonts w:hint="eastAsia" w:ascii="微软雅黑" w:hAnsi="微软雅黑" w:eastAsia="微软雅黑" w:cstheme="minorBidi"/>
                              <w:b/>
                              <w:bCs/>
                              <w:color w:val="FF0000"/>
                              <w:sz w:val="16"/>
                              <w:szCs w:val="16"/>
                            </w:rPr>
                            <w:t>：</w:t>
                          </w:r>
                          <w:r>
                            <w:rPr>
                              <w:rFonts w:hint="eastAsia" w:ascii="微软雅黑" w:hAnsi="微软雅黑" w:eastAsia="微软雅黑" w:cstheme="minorBidi"/>
                              <w:b/>
                              <w:bCs/>
                              <w:color w:val="FF0000"/>
                              <w:sz w:val="16"/>
                              <w:szCs w:val="16"/>
                              <w:lang w:val="en-US" w:eastAsia="zh-CN"/>
                            </w:rPr>
                            <w:t>内部三级</w:t>
                          </w:r>
                        </w:p>
                        <w:p w14:paraId="785CA6AE">
                          <w:pPr>
                            <w:pStyle w:val="6"/>
                            <w:spacing w:before="0" w:beforeAutospacing="0" w:after="0" w:afterAutospacing="0" w:line="240" w:lineRule="exact"/>
                            <w:rPr>
                              <w:rFonts w:hint="eastAsia" w:ascii="微软雅黑" w:hAnsi="微软雅黑" w:eastAsia="微软雅黑" w:cstheme="minorBidi"/>
                              <w:b/>
                              <w:bCs/>
                              <w:color w:val="FF0000"/>
                              <w:sz w:val="16"/>
                              <w:szCs w:val="16"/>
                              <w:lang w:val="en-US" w:eastAsia="zh-CN"/>
                            </w:rPr>
                          </w:pPr>
                          <w:r>
                            <w:rPr>
                              <w:rFonts w:hint="eastAsia" w:ascii="微软雅黑" w:hAnsi="微软雅黑" w:eastAsia="微软雅黑" w:cstheme="minorBidi"/>
                              <w:b/>
                              <w:bCs/>
                              <w:color w:val="FF0000"/>
                              <w:sz w:val="16"/>
                              <w:szCs w:val="16"/>
                            </w:rPr>
                            <w:t>信息所有者：</w:t>
                          </w:r>
                          <w:r>
                            <w:rPr>
                              <w:rFonts w:hint="eastAsia" w:ascii="微软雅黑" w:hAnsi="微软雅黑" w:eastAsia="微软雅黑" w:cstheme="minorBidi"/>
                              <w:b/>
                              <w:bCs/>
                              <w:color w:val="FF0000"/>
                              <w:sz w:val="16"/>
                              <w:szCs w:val="16"/>
                              <w:lang w:val="en-US" w:eastAsia="zh-CN"/>
                            </w:rPr>
                            <w:t>法务部</w:t>
                          </w:r>
                        </w:p>
                      </w:txbxContent>
                    </wps:txbx>
                    <wps:bodyPr vertOverflow="clip" wrap="square" lIns="91440" tIns="45720" rIns="91440" bIns="45720" anchor="t" upright="1">
                      <a:noAutofit/>
                    </wps:bodyPr>
                  </wps:wsp>
                </a:graphicData>
              </a:graphic>
            </wp:anchor>
          </w:drawing>
        </mc:Choice>
        <mc:Fallback>
          <w:pict>
            <v:shape id="_x0000_s1026" o:spid="_x0000_s1026" o:spt="202" type="#_x0000_t202" style="position:absolute;left:0pt;margin-left:424.75pt;margin-top:-8.2pt;height:30.1pt;width:111.75pt;z-index:251660288;mso-width-relative:page;mso-height-relative:page;" fillcolor="#FFFFFF" filled="t" stroked="t" coordsize="21600,21600" o:gfxdata="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kVNBo3QAAAAsB&#10;AAAPAAAAAAAAAAEAIAAAACIAAABkcnMvZG93bnJldi54bWxQSwECFAAUAAAACACHTuJA9KJS4U8C&#10;AACSBAAADgAAAAAAAAABACAAAAAsAQAAZHJzL2Uyb0RvYy54bWxQSwUGAAAAAAYABgBZAQAA7QUA&#10;AAAA&#10;">
              <v:path/>
              <v:fill on="t" focussize="0,0"/>
              <v:stroke color="#FF0000" miterlimit="8" joinstyle="miter"/>
              <v:imagedata o:title=""/>
              <o:lock v:ext="edit" aspectratio="f"/>
              <v:textbox>
                <w:txbxContent>
                  <w:p w14:paraId="71E64FAA">
                    <w:pPr>
                      <w:pStyle w:val="6"/>
                      <w:spacing w:before="0" w:beforeAutospacing="0" w:after="0" w:afterAutospacing="0" w:line="240" w:lineRule="exact"/>
                      <w:rPr>
                        <w:rFonts w:hint="default" w:eastAsia="微软雅黑"/>
                        <w:color w:val="FF0000"/>
                        <w:sz w:val="16"/>
                        <w:szCs w:val="16"/>
                        <w:lang w:val="en-US" w:eastAsia="zh-CN"/>
                      </w:rPr>
                    </w:pPr>
                    <w:r>
                      <w:rPr>
                        <w:rFonts w:hint="eastAsia" w:ascii="微软雅黑" w:hAnsi="微软雅黑" w:eastAsia="微软雅黑" w:cstheme="minorBidi"/>
                        <w:b/>
                        <w:bCs/>
                        <w:color w:val="FF0000"/>
                        <w:sz w:val="16"/>
                        <w:szCs w:val="16"/>
                      </w:rPr>
                      <w:t>保密</w:t>
                    </w:r>
                    <w:r>
                      <w:rPr>
                        <w:rFonts w:ascii="微软雅黑" w:hAnsi="微软雅黑" w:eastAsia="微软雅黑" w:cstheme="minorBidi"/>
                        <w:b/>
                        <w:bCs/>
                        <w:color w:val="FF0000"/>
                        <w:sz w:val="16"/>
                        <w:szCs w:val="16"/>
                      </w:rPr>
                      <w:t>级别</w:t>
                    </w:r>
                    <w:r>
                      <w:rPr>
                        <w:rFonts w:hint="eastAsia" w:ascii="微软雅黑" w:hAnsi="微软雅黑" w:eastAsia="微软雅黑" w:cstheme="minorBidi"/>
                        <w:b/>
                        <w:bCs/>
                        <w:color w:val="FF0000"/>
                        <w:sz w:val="16"/>
                        <w:szCs w:val="16"/>
                      </w:rPr>
                      <w:t>：</w:t>
                    </w:r>
                    <w:r>
                      <w:rPr>
                        <w:rFonts w:hint="eastAsia" w:ascii="微软雅黑" w:hAnsi="微软雅黑" w:eastAsia="微软雅黑" w:cstheme="minorBidi"/>
                        <w:b/>
                        <w:bCs/>
                        <w:color w:val="FF0000"/>
                        <w:sz w:val="16"/>
                        <w:szCs w:val="16"/>
                        <w:lang w:val="en-US" w:eastAsia="zh-CN"/>
                      </w:rPr>
                      <w:t>内部三级</w:t>
                    </w:r>
                  </w:p>
                  <w:p w14:paraId="785CA6AE">
                    <w:pPr>
                      <w:pStyle w:val="6"/>
                      <w:spacing w:before="0" w:beforeAutospacing="0" w:after="0" w:afterAutospacing="0" w:line="240" w:lineRule="exact"/>
                      <w:rPr>
                        <w:rFonts w:hint="eastAsia" w:ascii="微软雅黑" w:hAnsi="微软雅黑" w:eastAsia="微软雅黑" w:cstheme="minorBidi"/>
                        <w:b/>
                        <w:bCs/>
                        <w:color w:val="FF0000"/>
                        <w:sz w:val="16"/>
                        <w:szCs w:val="16"/>
                        <w:lang w:val="en-US" w:eastAsia="zh-CN"/>
                      </w:rPr>
                    </w:pPr>
                    <w:r>
                      <w:rPr>
                        <w:rFonts w:hint="eastAsia" w:ascii="微软雅黑" w:hAnsi="微软雅黑" w:eastAsia="微软雅黑" w:cstheme="minorBidi"/>
                        <w:b/>
                        <w:bCs/>
                        <w:color w:val="FF0000"/>
                        <w:sz w:val="16"/>
                        <w:szCs w:val="16"/>
                      </w:rPr>
                      <w:t>信息所有者：</w:t>
                    </w:r>
                    <w:r>
                      <w:rPr>
                        <w:rFonts w:hint="eastAsia" w:ascii="微软雅黑" w:hAnsi="微软雅黑" w:eastAsia="微软雅黑" w:cstheme="minorBidi"/>
                        <w:b/>
                        <w:bCs/>
                        <w:color w:val="FF0000"/>
                        <w:sz w:val="16"/>
                        <w:szCs w:val="16"/>
                        <w:lang w:val="en-US" w:eastAsia="zh-CN"/>
                      </w:rPr>
                      <w:t>法务部</w:t>
                    </w:r>
                  </w:p>
                </w:txbxContent>
              </v:textbox>
            </v:shape>
          </w:pict>
        </mc:Fallback>
      </mc:AlternateContent>
    </w:r>
    <w:r>
      <w:drawing>
        <wp:anchor distT="0" distB="0" distL="114300" distR="114300" simplePos="0" relativeHeight="251659264" behindDoc="0" locked="0" layoutInCell="1" allowOverlap="1">
          <wp:simplePos x="0" y="0"/>
          <wp:positionH relativeFrom="margin">
            <wp:posOffset>173990</wp:posOffset>
          </wp:positionH>
          <wp:positionV relativeFrom="margin">
            <wp:posOffset>-525780</wp:posOffset>
          </wp:positionV>
          <wp:extent cx="967740" cy="431165"/>
          <wp:effectExtent l="0" t="0" r="3810" b="6985"/>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67740" cy="431165"/>
                  </a:xfrm>
                  <a:prstGeom prst="rect">
                    <a:avLst/>
                  </a:prstGeom>
                  <a:noFill/>
                  <a:ln>
                    <a:noFill/>
                  </a:ln>
                </pic:spPr>
              </pic:pic>
            </a:graphicData>
          </a:graphic>
        </wp:anchor>
      </w:drawing>
    </w:r>
    <w:sdt>
      <w:sdtPr>
        <w:id w:val="1263418648"/>
      </w:sdtPr>
      <w:sdtContent/>
    </w:sdt>
    <w:r>
      <w:ptab w:relativeTo="margin" w:alignment="center" w:leader="none"/>
    </w:r>
    <w:r>
      <w:t xml:space="preserve">                                                               </w:t>
    </w:r>
    <w: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239F6C"/>
    <w:multiLevelType w:val="singleLevel"/>
    <w:tmpl w:val="EF239F6C"/>
    <w:lvl w:ilvl="0" w:tentative="0">
      <w:start w:val="1"/>
      <w:numFmt w:val="decimal"/>
      <w:suff w:val="nothing"/>
      <w:lvlText w:val="%1．"/>
      <w:lvlJc w:val="left"/>
      <w:pPr>
        <w:ind w:left="0" w:firstLine="400"/>
      </w:pPr>
      <w:rPr>
        <w:rFonts w:hint="default"/>
      </w:rPr>
    </w:lvl>
  </w:abstractNum>
  <w:abstractNum w:abstractNumId="1">
    <w:nsid w:val="04FC6EBC"/>
    <w:multiLevelType w:val="multilevel"/>
    <w:tmpl w:val="04FC6EBC"/>
    <w:lvl w:ilvl="0" w:tentative="0">
      <w:start w:val="1"/>
      <w:numFmt w:val="decimal"/>
      <w:lvlText w:val="4.%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2">
    <w:nsid w:val="0BC1151C"/>
    <w:multiLevelType w:val="multilevel"/>
    <w:tmpl w:val="0BC1151C"/>
    <w:lvl w:ilvl="0" w:tentative="0">
      <w:start w:val="1"/>
      <w:numFmt w:val="decimal"/>
      <w:lvlText w:val="13.%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3">
    <w:nsid w:val="0D546EA2"/>
    <w:multiLevelType w:val="multilevel"/>
    <w:tmpl w:val="0D546EA2"/>
    <w:lvl w:ilvl="0" w:tentative="0">
      <w:start w:val="1"/>
      <w:numFmt w:val="decimal"/>
      <w:lvlText w:val="7.%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4">
    <w:nsid w:val="1A381CCA"/>
    <w:multiLevelType w:val="multilevel"/>
    <w:tmpl w:val="1A381CCA"/>
    <w:lvl w:ilvl="0" w:tentative="0">
      <w:start w:val="1"/>
      <w:numFmt w:val="decimal"/>
      <w:lvlText w:val="10.%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5">
    <w:nsid w:val="1F745381"/>
    <w:multiLevelType w:val="multilevel"/>
    <w:tmpl w:val="1F745381"/>
    <w:lvl w:ilvl="0" w:tentative="0">
      <w:start w:val="1"/>
      <w:numFmt w:val="decimal"/>
      <w:lvlText w:val="11.%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6">
    <w:nsid w:val="20B61D26"/>
    <w:multiLevelType w:val="multilevel"/>
    <w:tmpl w:val="20B61D26"/>
    <w:lvl w:ilvl="0" w:tentative="0">
      <w:start w:val="1"/>
      <w:numFmt w:val="decimal"/>
      <w:isLgl/>
      <w:lvlText w:val="第%1章."/>
      <w:lvlJc w:val="left"/>
      <w:pPr>
        <w:ind w:left="425" w:hanging="425"/>
      </w:pPr>
      <w:rPr>
        <w:rFonts w:hint="eastAsia"/>
      </w:rPr>
    </w:lvl>
    <w:lvl w:ilvl="1" w:tentative="0">
      <w:start w:val="2"/>
      <w:numFmt w:val="decimal"/>
      <w:isLgl/>
      <w:lvlText w:val="%1.%2."/>
      <w:lvlJc w:val="left"/>
      <w:pPr>
        <w:ind w:left="567" w:hanging="567"/>
      </w:pPr>
      <w:rPr>
        <w:rFonts w:hint="eastAsia"/>
      </w:rPr>
    </w:lvl>
    <w:lvl w:ilvl="2" w:tentative="0">
      <w:start w:val="1"/>
      <w:numFmt w:val="decimal"/>
      <w:pStyle w:val="23"/>
      <w:isLgl/>
      <w:lvlText w:val="%1.%2.%3."/>
      <w:lvlJc w:val="left"/>
      <w:pPr>
        <w:ind w:left="709" w:hanging="709"/>
      </w:pPr>
      <w:rPr>
        <w:rFonts w:hint="eastAsia"/>
      </w:rPr>
    </w:lvl>
    <w:lvl w:ilvl="3" w:tentative="0">
      <w:start w:val="1"/>
      <w:numFmt w:val="decimal"/>
      <w:pStyle w:val="25"/>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7">
    <w:nsid w:val="21C368EA"/>
    <w:multiLevelType w:val="multilevel"/>
    <w:tmpl w:val="21C368EA"/>
    <w:lvl w:ilvl="0" w:tentative="0">
      <w:start w:val="1"/>
      <w:numFmt w:val="decimal"/>
      <w:lvlText w:val="8.%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8">
    <w:nsid w:val="2D7C2EFC"/>
    <w:multiLevelType w:val="multilevel"/>
    <w:tmpl w:val="2D7C2EFC"/>
    <w:lvl w:ilvl="0" w:tentative="0">
      <w:start w:val="1"/>
      <w:numFmt w:val="decimal"/>
      <w:lvlText w:val="%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9">
    <w:nsid w:val="2F521FAA"/>
    <w:multiLevelType w:val="multilevel"/>
    <w:tmpl w:val="2F521FAA"/>
    <w:lvl w:ilvl="0" w:tentative="0">
      <w:start w:val="1"/>
      <w:numFmt w:val="decimal"/>
      <w:lvlText w:val="9.%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0">
    <w:nsid w:val="3280202B"/>
    <w:multiLevelType w:val="multilevel"/>
    <w:tmpl w:val="3280202B"/>
    <w:lvl w:ilvl="0" w:tentative="0">
      <w:start w:val="1"/>
      <w:numFmt w:val="decimal"/>
      <w:lvlText w:val="7.1.%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1">
    <w:nsid w:val="3A2018E9"/>
    <w:multiLevelType w:val="multilevel"/>
    <w:tmpl w:val="3A2018E9"/>
    <w:lvl w:ilvl="0" w:tentative="0">
      <w:start w:val="1"/>
      <w:numFmt w:val="decimal"/>
      <w:lvlText w:val="%1."/>
      <w:lvlJc w:val="left"/>
      <w:pPr>
        <w:ind w:left="360" w:hanging="36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2">
    <w:nsid w:val="4294579E"/>
    <w:multiLevelType w:val="multilevel"/>
    <w:tmpl w:val="4294579E"/>
    <w:lvl w:ilvl="0" w:tentative="0">
      <w:start w:val="1"/>
      <w:numFmt w:val="decimal"/>
      <w:lvlText w:val="5.%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3">
    <w:nsid w:val="44287A28"/>
    <w:multiLevelType w:val="multilevel"/>
    <w:tmpl w:val="44287A28"/>
    <w:lvl w:ilvl="0" w:tentative="0">
      <w:start w:val="1"/>
      <w:numFmt w:val="decimal"/>
      <w:pStyle w:val="7"/>
      <w:lvlText w:val="%1"/>
      <w:lvlJc w:val="left"/>
      <w:pPr>
        <w:ind w:left="450" w:hanging="450"/>
      </w:pPr>
      <w:rPr>
        <w:rFonts w:hint="default"/>
      </w:rPr>
    </w:lvl>
    <w:lvl w:ilvl="1" w:tentative="0">
      <w:start w:val="1"/>
      <w:numFmt w:val="decimal"/>
      <w:lvlText w:val="%1.%2"/>
      <w:lvlJc w:val="left"/>
      <w:pPr>
        <w:ind w:left="450" w:hanging="450"/>
      </w:pPr>
      <w:rPr>
        <w:rFonts w:hint="default"/>
      </w:rPr>
    </w:lvl>
    <w:lvl w:ilvl="2" w:tentative="0">
      <w:start w:val="1"/>
      <w:numFmt w:val="decimal"/>
      <w:lvlText w:val="%1.%2.%3"/>
      <w:lvlJc w:val="left"/>
      <w:pPr>
        <w:ind w:left="862"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720" w:hanging="72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080" w:hanging="108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abstractNum w:abstractNumId="14">
    <w:nsid w:val="44971D53"/>
    <w:multiLevelType w:val="multilevel"/>
    <w:tmpl w:val="44971D53"/>
    <w:lvl w:ilvl="0" w:tentative="0">
      <w:start w:val="1"/>
      <w:numFmt w:val="decimal"/>
      <w:lvlText w:val="3.%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5">
    <w:nsid w:val="4814E6C2"/>
    <w:multiLevelType w:val="multilevel"/>
    <w:tmpl w:val="4814E6C2"/>
    <w:lvl w:ilvl="0" w:tentative="0">
      <w:start w:val="1"/>
      <w:numFmt w:val="decimal"/>
      <w:lvlText w:val="6.%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6">
    <w:nsid w:val="550B50B7"/>
    <w:multiLevelType w:val="multilevel"/>
    <w:tmpl w:val="550B50B7"/>
    <w:lvl w:ilvl="0" w:tentative="0">
      <w:start w:val="1"/>
      <w:numFmt w:val="decimal"/>
      <w:lvlText w:val="15.%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7">
    <w:nsid w:val="57E12869"/>
    <w:multiLevelType w:val="multilevel"/>
    <w:tmpl w:val="57E12869"/>
    <w:lvl w:ilvl="0" w:tentative="0">
      <w:start w:val="1"/>
      <w:numFmt w:val="decimal"/>
      <w:lvlText w:val="14.%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18">
    <w:nsid w:val="58FA2D22"/>
    <w:multiLevelType w:val="multilevel"/>
    <w:tmpl w:val="58FA2D22"/>
    <w:lvl w:ilvl="0" w:tentative="0">
      <w:start w:val="16"/>
      <w:numFmt w:val="decimal"/>
      <w:lvlText w:val="%1."/>
      <w:lvlJc w:val="left"/>
      <w:pPr>
        <w:ind w:left="360" w:hanging="36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5A801E5A"/>
    <w:multiLevelType w:val="multilevel"/>
    <w:tmpl w:val="5A801E5A"/>
    <w:lvl w:ilvl="0" w:tentative="0">
      <w:start w:val="1"/>
      <w:numFmt w:val="decimal"/>
      <w:lvlText w:val="2.%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20">
    <w:nsid w:val="64EB5C8B"/>
    <w:multiLevelType w:val="multilevel"/>
    <w:tmpl w:val="64EB5C8B"/>
    <w:lvl w:ilvl="0" w:tentative="0">
      <w:start w:val="1"/>
      <w:numFmt w:val="decimal"/>
      <w:lvlText w:val="12.%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abstractNum w:abstractNumId="21">
    <w:nsid w:val="6B8D4405"/>
    <w:multiLevelType w:val="multilevel"/>
    <w:tmpl w:val="6B8D4405"/>
    <w:lvl w:ilvl="0" w:tentative="0">
      <w:start w:val="1"/>
      <w:numFmt w:val="decimal"/>
      <w:lvlText w:val="%1."/>
      <w:lvlJc w:val="left"/>
      <w:pPr>
        <w:ind w:left="360" w:hanging="360"/>
      </w:pPr>
      <w:rPr>
        <w:rFonts w:hint="default"/>
      </w:rPr>
    </w:lvl>
    <w:lvl w:ilvl="1" w:tentative="0">
      <w:start w:val="1"/>
      <w:numFmt w:val="decimal"/>
      <w:isLgl/>
      <w:lvlText w:val="%1.%2"/>
      <w:lvlJc w:val="left"/>
      <w:pPr>
        <w:ind w:left="750" w:hanging="390"/>
      </w:pPr>
      <w:rPr>
        <w:rFonts w:hint="default"/>
        <w:b/>
        <w:color w:val="auto"/>
      </w:rPr>
    </w:lvl>
    <w:lvl w:ilvl="2" w:tentative="0">
      <w:start w:val="1"/>
      <w:numFmt w:val="decimal"/>
      <w:isLgl/>
      <w:lvlText w:val="%1.%2.%3"/>
      <w:lvlJc w:val="left"/>
      <w:pPr>
        <w:ind w:left="1440" w:hanging="720"/>
      </w:pPr>
      <w:rPr>
        <w:rFonts w:hint="default"/>
        <w:color w:val="auto"/>
      </w:rPr>
    </w:lvl>
    <w:lvl w:ilvl="3" w:tentative="0">
      <w:start w:val="1"/>
      <w:numFmt w:val="decimal"/>
      <w:isLgl/>
      <w:lvlText w:val="%1.%2.%3.%4"/>
      <w:lvlJc w:val="left"/>
      <w:pPr>
        <w:ind w:left="1800" w:hanging="720"/>
      </w:pPr>
      <w:rPr>
        <w:rFonts w:hint="default"/>
        <w:color w:val="auto"/>
      </w:rPr>
    </w:lvl>
    <w:lvl w:ilvl="4" w:tentative="0">
      <w:start w:val="1"/>
      <w:numFmt w:val="decimal"/>
      <w:isLgl/>
      <w:lvlText w:val="%1.%2.%3.%4.%5"/>
      <w:lvlJc w:val="left"/>
      <w:pPr>
        <w:ind w:left="2520" w:hanging="1080"/>
      </w:pPr>
      <w:rPr>
        <w:rFonts w:hint="default"/>
        <w:color w:val="auto"/>
      </w:rPr>
    </w:lvl>
    <w:lvl w:ilvl="5" w:tentative="0">
      <w:start w:val="1"/>
      <w:numFmt w:val="decimal"/>
      <w:isLgl/>
      <w:lvlText w:val="%1.%2.%3.%4.%5.%6"/>
      <w:lvlJc w:val="left"/>
      <w:pPr>
        <w:ind w:left="2880" w:hanging="1080"/>
      </w:pPr>
      <w:rPr>
        <w:rFonts w:hint="default"/>
        <w:color w:val="auto"/>
      </w:rPr>
    </w:lvl>
    <w:lvl w:ilvl="6" w:tentative="0">
      <w:start w:val="1"/>
      <w:numFmt w:val="decimal"/>
      <w:isLgl/>
      <w:lvlText w:val="%1.%2.%3.%4.%5.%6.%7"/>
      <w:lvlJc w:val="left"/>
      <w:pPr>
        <w:ind w:left="3600" w:hanging="1440"/>
      </w:pPr>
      <w:rPr>
        <w:rFonts w:hint="default"/>
        <w:color w:val="auto"/>
      </w:rPr>
    </w:lvl>
    <w:lvl w:ilvl="7" w:tentative="0">
      <w:start w:val="1"/>
      <w:numFmt w:val="decimal"/>
      <w:isLgl/>
      <w:lvlText w:val="%1.%2.%3.%4.%5.%6.%7.%8"/>
      <w:lvlJc w:val="left"/>
      <w:pPr>
        <w:ind w:left="3960" w:hanging="1440"/>
      </w:pPr>
      <w:rPr>
        <w:rFonts w:hint="default"/>
        <w:color w:val="auto"/>
      </w:rPr>
    </w:lvl>
    <w:lvl w:ilvl="8" w:tentative="0">
      <w:start w:val="1"/>
      <w:numFmt w:val="decimal"/>
      <w:isLgl/>
      <w:lvlText w:val="%1.%2.%3.%4.%5.%6.%7.%8.%9"/>
      <w:lvlJc w:val="left"/>
      <w:pPr>
        <w:ind w:left="4320" w:hanging="1440"/>
      </w:pPr>
      <w:rPr>
        <w:rFonts w:hint="default"/>
        <w:color w:val="auto"/>
      </w:rPr>
    </w:lvl>
  </w:abstractNum>
  <w:abstractNum w:abstractNumId="22">
    <w:nsid w:val="734735D2"/>
    <w:multiLevelType w:val="multilevel"/>
    <w:tmpl w:val="734735D2"/>
    <w:lvl w:ilvl="0" w:tentative="0">
      <w:start w:val="1"/>
      <w:numFmt w:val="decimal"/>
      <w:lvlText w:val="7.2.%1"/>
      <w:lvlJc w:val="left"/>
      <w:pPr>
        <w:ind w:left="480" w:hanging="480"/>
      </w:pPr>
      <w:rPr>
        <w:rFonts w:hint="eastAsia"/>
      </w:rPr>
    </w:lvl>
    <w:lvl w:ilvl="1" w:tentative="0">
      <w:start w:val="1"/>
      <w:numFmt w:val="lowerLetter"/>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lowerLetter"/>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lowerLetter"/>
      <w:lvlText w:val="%8)"/>
      <w:lvlJc w:val="left"/>
      <w:pPr>
        <w:ind w:left="3840" w:hanging="480"/>
      </w:pPr>
    </w:lvl>
    <w:lvl w:ilvl="8" w:tentative="0">
      <w:start w:val="1"/>
      <w:numFmt w:val="lowerRoman"/>
      <w:lvlText w:val="%9."/>
      <w:lvlJc w:val="right"/>
      <w:pPr>
        <w:ind w:left="4320" w:hanging="480"/>
      </w:pPr>
    </w:lvl>
  </w:abstractNum>
  <w:num w:numId="1">
    <w:abstractNumId w:val="13"/>
  </w:num>
  <w:num w:numId="2">
    <w:abstractNumId w:val="6"/>
  </w:num>
  <w:num w:numId="3">
    <w:abstractNumId w:val="0"/>
  </w:num>
  <w:num w:numId="4">
    <w:abstractNumId w:val="11"/>
  </w:num>
  <w:num w:numId="5">
    <w:abstractNumId w:val="19"/>
  </w:num>
  <w:num w:numId="6">
    <w:abstractNumId w:val="14"/>
  </w:num>
  <w:num w:numId="7">
    <w:abstractNumId w:val="1"/>
  </w:num>
  <w:num w:numId="8">
    <w:abstractNumId w:val="12"/>
  </w:num>
  <w:num w:numId="9">
    <w:abstractNumId w:val="15"/>
  </w:num>
  <w:num w:numId="10">
    <w:abstractNumId w:val="3"/>
  </w:num>
  <w:num w:numId="11">
    <w:abstractNumId w:val="10"/>
  </w:num>
  <w:num w:numId="12">
    <w:abstractNumId w:val="22"/>
  </w:num>
  <w:num w:numId="13">
    <w:abstractNumId w:val="7"/>
  </w:num>
  <w:num w:numId="14">
    <w:abstractNumId w:val="9"/>
  </w:num>
  <w:num w:numId="15">
    <w:abstractNumId w:val="4"/>
  </w:num>
  <w:num w:numId="16">
    <w:abstractNumId w:val="5"/>
  </w:num>
  <w:num w:numId="17">
    <w:abstractNumId w:val="20"/>
  </w:num>
  <w:num w:numId="18">
    <w:abstractNumId w:val="8"/>
  </w:num>
  <w:num w:numId="19">
    <w:abstractNumId w:val="2"/>
  </w:num>
  <w:num w:numId="20">
    <w:abstractNumId w:val="17"/>
  </w:num>
  <w:num w:numId="21">
    <w:abstractNumId w:val="16"/>
  </w:num>
  <w:num w:numId="22">
    <w:abstractNumId w:val="18"/>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3"/>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1336"/>
    <w:rsid w:val="00002012"/>
    <w:rsid w:val="000105B0"/>
    <w:rsid w:val="000127B9"/>
    <w:rsid w:val="000422CD"/>
    <w:rsid w:val="00051B12"/>
    <w:rsid w:val="00064834"/>
    <w:rsid w:val="00064E1D"/>
    <w:rsid w:val="000747D3"/>
    <w:rsid w:val="000755D7"/>
    <w:rsid w:val="000A3AB8"/>
    <w:rsid w:val="000D10BE"/>
    <w:rsid w:val="000E74B1"/>
    <w:rsid w:val="000F0C31"/>
    <w:rsid w:val="00106864"/>
    <w:rsid w:val="00132707"/>
    <w:rsid w:val="001345F2"/>
    <w:rsid w:val="00141E9E"/>
    <w:rsid w:val="00146BD4"/>
    <w:rsid w:val="0015443C"/>
    <w:rsid w:val="001651F5"/>
    <w:rsid w:val="00170B65"/>
    <w:rsid w:val="00170C13"/>
    <w:rsid w:val="00177AAE"/>
    <w:rsid w:val="00181242"/>
    <w:rsid w:val="001927E4"/>
    <w:rsid w:val="0019433A"/>
    <w:rsid w:val="00197640"/>
    <w:rsid w:val="001A0C20"/>
    <w:rsid w:val="001A4A18"/>
    <w:rsid w:val="001A6602"/>
    <w:rsid w:val="001B1680"/>
    <w:rsid w:val="001C4A00"/>
    <w:rsid w:val="001C750C"/>
    <w:rsid w:val="001D64E2"/>
    <w:rsid w:val="001F1AAD"/>
    <w:rsid w:val="001F3AD6"/>
    <w:rsid w:val="00204C0C"/>
    <w:rsid w:val="00215EED"/>
    <w:rsid w:val="002204EF"/>
    <w:rsid w:val="00222467"/>
    <w:rsid w:val="0022487F"/>
    <w:rsid w:val="0023169D"/>
    <w:rsid w:val="00231BBC"/>
    <w:rsid w:val="00254EE6"/>
    <w:rsid w:val="00262F4D"/>
    <w:rsid w:val="002722B7"/>
    <w:rsid w:val="00275905"/>
    <w:rsid w:val="00286DD8"/>
    <w:rsid w:val="002919F7"/>
    <w:rsid w:val="00291A75"/>
    <w:rsid w:val="002A0C45"/>
    <w:rsid w:val="002A25FA"/>
    <w:rsid w:val="002A760D"/>
    <w:rsid w:val="002B58ED"/>
    <w:rsid w:val="002C7543"/>
    <w:rsid w:val="002E1836"/>
    <w:rsid w:val="002E5C86"/>
    <w:rsid w:val="002F5A91"/>
    <w:rsid w:val="00322BFB"/>
    <w:rsid w:val="00327E99"/>
    <w:rsid w:val="00361AA7"/>
    <w:rsid w:val="00361FF6"/>
    <w:rsid w:val="00362762"/>
    <w:rsid w:val="00373BAA"/>
    <w:rsid w:val="00374435"/>
    <w:rsid w:val="003745E1"/>
    <w:rsid w:val="00394938"/>
    <w:rsid w:val="003960DA"/>
    <w:rsid w:val="0039766C"/>
    <w:rsid w:val="003A0D2A"/>
    <w:rsid w:val="003D157C"/>
    <w:rsid w:val="003E23BD"/>
    <w:rsid w:val="003F0A0D"/>
    <w:rsid w:val="003F6277"/>
    <w:rsid w:val="00442384"/>
    <w:rsid w:val="00447085"/>
    <w:rsid w:val="00460370"/>
    <w:rsid w:val="00481968"/>
    <w:rsid w:val="00484291"/>
    <w:rsid w:val="00491FB4"/>
    <w:rsid w:val="00496361"/>
    <w:rsid w:val="004A171C"/>
    <w:rsid w:val="004C1336"/>
    <w:rsid w:val="004C6EAE"/>
    <w:rsid w:val="004E7E47"/>
    <w:rsid w:val="004F08C8"/>
    <w:rsid w:val="005013E4"/>
    <w:rsid w:val="0050486F"/>
    <w:rsid w:val="005147CA"/>
    <w:rsid w:val="00521363"/>
    <w:rsid w:val="0052491A"/>
    <w:rsid w:val="00547AB8"/>
    <w:rsid w:val="0056032E"/>
    <w:rsid w:val="005665DE"/>
    <w:rsid w:val="00566F72"/>
    <w:rsid w:val="0058485B"/>
    <w:rsid w:val="00595203"/>
    <w:rsid w:val="005A70A7"/>
    <w:rsid w:val="005B727C"/>
    <w:rsid w:val="005C41E7"/>
    <w:rsid w:val="005E691E"/>
    <w:rsid w:val="006049FB"/>
    <w:rsid w:val="00634C96"/>
    <w:rsid w:val="00652499"/>
    <w:rsid w:val="006670D5"/>
    <w:rsid w:val="006744FF"/>
    <w:rsid w:val="006831FA"/>
    <w:rsid w:val="00686E1E"/>
    <w:rsid w:val="00690B18"/>
    <w:rsid w:val="006C6778"/>
    <w:rsid w:val="006F0754"/>
    <w:rsid w:val="006F14D7"/>
    <w:rsid w:val="0071358E"/>
    <w:rsid w:val="00717F8D"/>
    <w:rsid w:val="00717FD2"/>
    <w:rsid w:val="0073286F"/>
    <w:rsid w:val="007330DD"/>
    <w:rsid w:val="00733CD3"/>
    <w:rsid w:val="00735096"/>
    <w:rsid w:val="0075436E"/>
    <w:rsid w:val="0076029F"/>
    <w:rsid w:val="00762AB2"/>
    <w:rsid w:val="007668CA"/>
    <w:rsid w:val="00767564"/>
    <w:rsid w:val="00785C5F"/>
    <w:rsid w:val="007A3E9C"/>
    <w:rsid w:val="007A7339"/>
    <w:rsid w:val="007B54B4"/>
    <w:rsid w:val="007D3757"/>
    <w:rsid w:val="007E1BBC"/>
    <w:rsid w:val="007E4165"/>
    <w:rsid w:val="0080444E"/>
    <w:rsid w:val="00824A5A"/>
    <w:rsid w:val="00836126"/>
    <w:rsid w:val="008448FF"/>
    <w:rsid w:val="0084644D"/>
    <w:rsid w:val="00847757"/>
    <w:rsid w:val="0086210F"/>
    <w:rsid w:val="0086336F"/>
    <w:rsid w:val="00863B3D"/>
    <w:rsid w:val="00867C95"/>
    <w:rsid w:val="0088256B"/>
    <w:rsid w:val="008919D8"/>
    <w:rsid w:val="008A68AC"/>
    <w:rsid w:val="008D4147"/>
    <w:rsid w:val="008E038E"/>
    <w:rsid w:val="008E06DF"/>
    <w:rsid w:val="008E7E76"/>
    <w:rsid w:val="0090015E"/>
    <w:rsid w:val="00914CE4"/>
    <w:rsid w:val="00915439"/>
    <w:rsid w:val="00923FAB"/>
    <w:rsid w:val="00927993"/>
    <w:rsid w:val="00941456"/>
    <w:rsid w:val="00947CDA"/>
    <w:rsid w:val="0095272C"/>
    <w:rsid w:val="0096657A"/>
    <w:rsid w:val="0096738B"/>
    <w:rsid w:val="00971194"/>
    <w:rsid w:val="00990ECC"/>
    <w:rsid w:val="00991C48"/>
    <w:rsid w:val="009B4018"/>
    <w:rsid w:val="009C1FD6"/>
    <w:rsid w:val="009C33B6"/>
    <w:rsid w:val="009D01F4"/>
    <w:rsid w:val="009D3DC2"/>
    <w:rsid w:val="009D46C2"/>
    <w:rsid w:val="009E25E4"/>
    <w:rsid w:val="009E2FEC"/>
    <w:rsid w:val="009E33AC"/>
    <w:rsid w:val="009E5205"/>
    <w:rsid w:val="009F5795"/>
    <w:rsid w:val="00A121F1"/>
    <w:rsid w:val="00A2636D"/>
    <w:rsid w:val="00A61799"/>
    <w:rsid w:val="00A65974"/>
    <w:rsid w:val="00A95A3D"/>
    <w:rsid w:val="00AA6B7D"/>
    <w:rsid w:val="00AB4672"/>
    <w:rsid w:val="00AD394C"/>
    <w:rsid w:val="00AD47FF"/>
    <w:rsid w:val="00AF047D"/>
    <w:rsid w:val="00AF285C"/>
    <w:rsid w:val="00AF7227"/>
    <w:rsid w:val="00B03371"/>
    <w:rsid w:val="00B05C94"/>
    <w:rsid w:val="00B15570"/>
    <w:rsid w:val="00B2673D"/>
    <w:rsid w:val="00B32931"/>
    <w:rsid w:val="00B36FB0"/>
    <w:rsid w:val="00B440B0"/>
    <w:rsid w:val="00B70D3E"/>
    <w:rsid w:val="00B80D02"/>
    <w:rsid w:val="00B87CCE"/>
    <w:rsid w:val="00B93B20"/>
    <w:rsid w:val="00BF0F47"/>
    <w:rsid w:val="00C66AF9"/>
    <w:rsid w:val="00C71DB1"/>
    <w:rsid w:val="00C808A3"/>
    <w:rsid w:val="00CA656D"/>
    <w:rsid w:val="00CA7321"/>
    <w:rsid w:val="00CB3432"/>
    <w:rsid w:val="00CB4530"/>
    <w:rsid w:val="00CD03C1"/>
    <w:rsid w:val="00CE7A8D"/>
    <w:rsid w:val="00CF0D74"/>
    <w:rsid w:val="00CF34A1"/>
    <w:rsid w:val="00CF5291"/>
    <w:rsid w:val="00CF6B25"/>
    <w:rsid w:val="00CF6CAB"/>
    <w:rsid w:val="00D0611B"/>
    <w:rsid w:val="00D0754B"/>
    <w:rsid w:val="00D22A95"/>
    <w:rsid w:val="00D6448D"/>
    <w:rsid w:val="00D7209E"/>
    <w:rsid w:val="00D74E22"/>
    <w:rsid w:val="00D84576"/>
    <w:rsid w:val="00D863E8"/>
    <w:rsid w:val="00D93056"/>
    <w:rsid w:val="00D9320E"/>
    <w:rsid w:val="00D934C4"/>
    <w:rsid w:val="00D97FD0"/>
    <w:rsid w:val="00DA25AD"/>
    <w:rsid w:val="00DA54CE"/>
    <w:rsid w:val="00DB3751"/>
    <w:rsid w:val="00DD6BC2"/>
    <w:rsid w:val="00DE0C80"/>
    <w:rsid w:val="00DE7757"/>
    <w:rsid w:val="00DF056F"/>
    <w:rsid w:val="00DF4504"/>
    <w:rsid w:val="00E023A7"/>
    <w:rsid w:val="00E04066"/>
    <w:rsid w:val="00E0492D"/>
    <w:rsid w:val="00E34683"/>
    <w:rsid w:val="00E3630A"/>
    <w:rsid w:val="00E80442"/>
    <w:rsid w:val="00E87013"/>
    <w:rsid w:val="00E877E0"/>
    <w:rsid w:val="00E90251"/>
    <w:rsid w:val="00E90627"/>
    <w:rsid w:val="00EA0CC2"/>
    <w:rsid w:val="00ED70DF"/>
    <w:rsid w:val="00EE06D6"/>
    <w:rsid w:val="00EF4C7C"/>
    <w:rsid w:val="00EF6ED2"/>
    <w:rsid w:val="00F062A6"/>
    <w:rsid w:val="00F06F4B"/>
    <w:rsid w:val="00F27757"/>
    <w:rsid w:val="00F43328"/>
    <w:rsid w:val="00F51E67"/>
    <w:rsid w:val="00F62465"/>
    <w:rsid w:val="00F65F90"/>
    <w:rsid w:val="00F67C33"/>
    <w:rsid w:val="00F75615"/>
    <w:rsid w:val="00F8054F"/>
    <w:rsid w:val="00F87372"/>
    <w:rsid w:val="00FA1CEA"/>
    <w:rsid w:val="00FB09B4"/>
    <w:rsid w:val="00FC6D72"/>
    <w:rsid w:val="00FD31F2"/>
    <w:rsid w:val="00FF06E2"/>
    <w:rsid w:val="00FF511D"/>
    <w:rsid w:val="23FD6401"/>
    <w:rsid w:val="2A537055"/>
    <w:rsid w:val="47F9721E"/>
    <w:rsid w:val="595B779E"/>
    <w:rsid w:val="5DFE1A7A"/>
    <w:rsid w:val="5FB6612C"/>
    <w:rsid w:val="6BD95F2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9"/>
    <w:unhideWhenUsed/>
    <w:qFormat/>
    <w:uiPriority w:val="99"/>
    <w:pPr>
      <w:jc w:val="left"/>
    </w:pPr>
  </w:style>
  <w:style w:type="paragraph" w:styleId="3">
    <w:name w:val="Balloon Text"/>
    <w:basedOn w:val="1"/>
    <w:link w:val="21"/>
    <w:unhideWhenUsed/>
    <w:qFormat/>
    <w:uiPriority w:val="99"/>
    <w:rPr>
      <w:sz w:val="18"/>
      <w:szCs w:val="18"/>
    </w:rPr>
  </w:style>
  <w:style w:type="paragraph" w:styleId="4">
    <w:name w:val="footer"/>
    <w:basedOn w:val="1"/>
    <w:link w:val="15"/>
    <w:unhideWhenUsed/>
    <w:qFormat/>
    <w:uiPriority w:val="99"/>
    <w:pPr>
      <w:tabs>
        <w:tab w:val="center" w:pos="4153"/>
        <w:tab w:val="right" w:pos="8306"/>
      </w:tabs>
      <w:snapToGrid w:val="0"/>
      <w:jc w:val="left"/>
    </w:pPr>
    <w:rPr>
      <w:sz w:val="18"/>
      <w:szCs w:val="18"/>
    </w:rPr>
  </w:style>
  <w:style w:type="paragraph" w:styleId="5">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7">
    <w:name w:val="Title"/>
    <w:basedOn w:val="1"/>
    <w:link w:val="28"/>
    <w:qFormat/>
    <w:uiPriority w:val="0"/>
    <w:pPr>
      <w:numPr>
        <w:ilvl w:val="0"/>
        <w:numId w:val="1"/>
      </w:numPr>
      <w:adjustRightInd w:val="0"/>
      <w:snapToGrid w:val="0"/>
      <w:jc w:val="left"/>
      <w:outlineLvl w:val="0"/>
    </w:pPr>
    <w:rPr>
      <w:rFonts w:ascii="Arial" w:hAnsi="Arial" w:eastAsia="宋体" w:cs="Times New Roman"/>
      <w:b/>
      <w:color w:val="000000" w:themeColor="text1"/>
      <w:szCs w:val="20"/>
      <w14:textFill>
        <w14:solidFill>
          <w14:schemeClr w14:val="tx1"/>
        </w14:solidFill>
      </w14:textFill>
    </w:rPr>
  </w:style>
  <w:style w:type="paragraph" w:styleId="8">
    <w:name w:val="annotation subject"/>
    <w:basedOn w:val="2"/>
    <w:next w:val="2"/>
    <w:link w:val="20"/>
    <w:unhideWhenUsed/>
    <w:qFormat/>
    <w:uiPriority w:val="99"/>
    <w:rPr>
      <w:b/>
      <w:bCs/>
    </w:rPr>
  </w:style>
  <w:style w:type="character" w:styleId="11">
    <w:name w:val="page number"/>
    <w:basedOn w:val="10"/>
    <w:qFormat/>
    <w:uiPriority w:val="0"/>
  </w:style>
  <w:style w:type="character" w:styleId="12">
    <w:name w:val="Hyperlink"/>
    <w:basedOn w:val="10"/>
    <w:unhideWhenUsed/>
    <w:qFormat/>
    <w:uiPriority w:val="99"/>
    <w:rPr>
      <w:color w:val="0563C1" w:themeColor="hyperlink"/>
      <w:u w:val="single"/>
      <w14:textFill>
        <w14:solidFill>
          <w14:schemeClr w14:val="hlink"/>
        </w14:solidFill>
      </w14:textFill>
    </w:rPr>
  </w:style>
  <w:style w:type="character" w:styleId="13">
    <w:name w:val="annotation reference"/>
    <w:basedOn w:val="10"/>
    <w:unhideWhenUsed/>
    <w:qFormat/>
    <w:uiPriority w:val="99"/>
    <w:rPr>
      <w:sz w:val="21"/>
      <w:szCs w:val="21"/>
    </w:rPr>
  </w:style>
  <w:style w:type="character" w:customStyle="1" w:styleId="14">
    <w:name w:val="页眉 Char"/>
    <w:basedOn w:val="10"/>
    <w:link w:val="5"/>
    <w:qFormat/>
    <w:uiPriority w:val="99"/>
    <w:rPr>
      <w:sz w:val="18"/>
      <w:szCs w:val="18"/>
    </w:rPr>
  </w:style>
  <w:style w:type="character" w:customStyle="1" w:styleId="15">
    <w:name w:val="页脚 Char"/>
    <w:basedOn w:val="10"/>
    <w:link w:val="4"/>
    <w:qFormat/>
    <w:uiPriority w:val="99"/>
    <w:rPr>
      <w:sz w:val="18"/>
      <w:szCs w:val="18"/>
    </w:rPr>
  </w:style>
  <w:style w:type="paragraph" w:customStyle="1" w:styleId="16">
    <w:name w:val="列出段落1"/>
    <w:basedOn w:val="1"/>
    <w:qFormat/>
    <w:uiPriority w:val="34"/>
    <w:pPr>
      <w:widowControl/>
      <w:spacing w:after="200" w:line="276" w:lineRule="auto"/>
      <w:ind w:firstLine="420" w:firstLineChars="200"/>
      <w:jc w:val="left"/>
    </w:pPr>
    <w:rPr>
      <w:rFonts w:ascii="Calibri" w:hAnsi="Calibri" w:eastAsia="宋体" w:cs="Times New Roman"/>
      <w:kern w:val="0"/>
      <w:sz w:val="22"/>
    </w:rPr>
  </w:style>
  <w:style w:type="paragraph" w:customStyle="1" w:styleId="17">
    <w:name w:val="正文2"/>
    <w:basedOn w:val="1"/>
    <w:qFormat/>
    <w:uiPriority w:val="0"/>
    <w:pPr>
      <w:widowControl/>
      <w:overflowPunct w:val="0"/>
      <w:autoSpaceDE w:val="0"/>
      <w:autoSpaceDN w:val="0"/>
      <w:adjustRightInd w:val="0"/>
      <w:spacing w:line="312" w:lineRule="exact"/>
      <w:jc w:val="left"/>
      <w:textAlignment w:val="baseline"/>
    </w:pPr>
    <w:rPr>
      <w:rFonts w:ascii="宋体" w:hAnsi="Times New Roman" w:eastAsia="宋体" w:cs="Times New Roman"/>
      <w:kern w:val="0"/>
      <w:szCs w:val="20"/>
    </w:rPr>
  </w:style>
  <w:style w:type="paragraph" w:customStyle="1" w:styleId="18">
    <w:name w:val="È±Ê¡ÎÄ±¾"/>
    <w:basedOn w:val="1"/>
    <w:qFormat/>
    <w:uiPriority w:val="0"/>
    <w:pPr>
      <w:widowControl/>
      <w:overflowPunct w:val="0"/>
      <w:autoSpaceDE w:val="0"/>
      <w:autoSpaceDN w:val="0"/>
      <w:adjustRightInd w:val="0"/>
      <w:jc w:val="left"/>
      <w:textAlignment w:val="baseline"/>
    </w:pPr>
    <w:rPr>
      <w:rFonts w:ascii="Times New Roman" w:hAnsi="Times New Roman" w:eastAsia="宋体" w:cs="Times New Roman"/>
      <w:kern w:val="0"/>
      <w:sz w:val="24"/>
      <w:szCs w:val="20"/>
    </w:rPr>
  </w:style>
  <w:style w:type="character" w:customStyle="1" w:styleId="19">
    <w:name w:val="批注文字 Char"/>
    <w:basedOn w:val="10"/>
    <w:link w:val="2"/>
    <w:semiHidden/>
    <w:qFormat/>
    <w:uiPriority w:val="99"/>
  </w:style>
  <w:style w:type="character" w:customStyle="1" w:styleId="20">
    <w:name w:val="批注主题 Char"/>
    <w:basedOn w:val="19"/>
    <w:link w:val="8"/>
    <w:semiHidden/>
    <w:qFormat/>
    <w:uiPriority w:val="99"/>
    <w:rPr>
      <w:b/>
      <w:bCs/>
    </w:rPr>
  </w:style>
  <w:style w:type="character" w:customStyle="1" w:styleId="21">
    <w:name w:val="批注框文本 Char"/>
    <w:basedOn w:val="10"/>
    <w:link w:val="3"/>
    <w:semiHidden/>
    <w:qFormat/>
    <w:uiPriority w:val="99"/>
    <w:rPr>
      <w:sz w:val="18"/>
      <w:szCs w:val="18"/>
    </w:rPr>
  </w:style>
  <w:style w:type="paragraph" w:customStyle="1" w:styleId="22">
    <w:name w:val="Default Text"/>
    <w:basedOn w:val="1"/>
    <w:qFormat/>
    <w:uiPriority w:val="0"/>
    <w:pPr>
      <w:widowControl/>
      <w:jc w:val="left"/>
    </w:pPr>
    <w:rPr>
      <w:rFonts w:ascii="Times New Roman" w:hAnsi="Times New Roman" w:eastAsia="宋体" w:cs="Times New Roman"/>
      <w:kern w:val="0"/>
      <w:sz w:val="24"/>
      <w:szCs w:val="20"/>
    </w:rPr>
  </w:style>
  <w:style w:type="paragraph" w:customStyle="1" w:styleId="23">
    <w:name w:val="ZX-标题3"/>
    <w:qFormat/>
    <w:uiPriority w:val="0"/>
    <w:pPr>
      <w:numPr>
        <w:ilvl w:val="2"/>
        <w:numId w:val="2"/>
      </w:numPr>
      <w:spacing w:before="50" w:beforeLines="50" w:after="50" w:afterLines="50" w:line="360" w:lineRule="auto"/>
      <w:ind w:firstLine="0"/>
      <w:outlineLvl w:val="2"/>
    </w:pPr>
    <w:rPr>
      <w:rFonts w:ascii="Trebuchet MS" w:hAnsi="FuturaA Bk BT" w:eastAsia="宋体" w:cs="Times New Roman"/>
      <w:b/>
      <w:bCs/>
      <w:kern w:val="2"/>
      <w:sz w:val="32"/>
      <w:lang w:val="en-US" w:eastAsia="zh-CN" w:bidi="ar-SA"/>
    </w:rPr>
  </w:style>
  <w:style w:type="paragraph" w:customStyle="1" w:styleId="24">
    <w:name w:val="ZX-标题2"/>
    <w:qFormat/>
    <w:uiPriority w:val="0"/>
    <w:pPr>
      <w:spacing w:before="50" w:beforeLines="50" w:after="50" w:afterLines="50"/>
      <w:outlineLvl w:val="1"/>
    </w:pPr>
    <w:rPr>
      <w:rFonts w:ascii="Trebuchet MS" w:hAnsi="FuturaA Bk BT" w:eastAsia="宋体" w:cs="Times New Roman"/>
      <w:b/>
      <w:bCs/>
      <w:kern w:val="2"/>
      <w:sz w:val="44"/>
      <w:lang w:val="en-US" w:eastAsia="zh-CN" w:bidi="ar-SA"/>
    </w:rPr>
  </w:style>
  <w:style w:type="paragraph" w:customStyle="1" w:styleId="25">
    <w:name w:val="ZX-标题4"/>
    <w:qFormat/>
    <w:uiPriority w:val="0"/>
    <w:pPr>
      <w:numPr>
        <w:ilvl w:val="3"/>
        <w:numId w:val="2"/>
      </w:numPr>
      <w:spacing w:before="50" w:beforeLines="50" w:after="50" w:afterLines="50" w:line="360" w:lineRule="auto"/>
      <w:ind w:firstLine="0"/>
      <w:outlineLvl w:val="3"/>
    </w:pPr>
    <w:rPr>
      <w:rFonts w:ascii="Trebuchet MS" w:hAnsi="FuturaA Bk BT" w:eastAsia="宋体" w:cs="Times New Roman"/>
      <w:b/>
      <w:bCs/>
      <w:kern w:val="2"/>
      <w:sz w:val="28"/>
      <w:lang w:val="en-US" w:eastAsia="zh-CN" w:bidi="ar-SA"/>
    </w:rPr>
  </w:style>
  <w:style w:type="paragraph" w:customStyle="1" w:styleId="26">
    <w:name w:val="列出段落11"/>
    <w:basedOn w:val="1"/>
    <w:link w:val="27"/>
    <w:qFormat/>
    <w:uiPriority w:val="34"/>
    <w:pPr>
      <w:widowControl/>
      <w:spacing w:after="200" w:line="276" w:lineRule="auto"/>
      <w:ind w:firstLine="420" w:firstLineChars="200"/>
      <w:jc w:val="left"/>
    </w:pPr>
    <w:rPr>
      <w:rFonts w:ascii="Calibri" w:hAnsi="Calibri" w:eastAsia="宋体" w:cs="Times New Roman"/>
      <w:kern w:val="0"/>
      <w:sz w:val="22"/>
    </w:rPr>
  </w:style>
  <w:style w:type="character" w:customStyle="1" w:styleId="27">
    <w:name w:val="列出段落 字符"/>
    <w:basedOn w:val="10"/>
    <w:link w:val="26"/>
    <w:qFormat/>
    <w:locked/>
    <w:uiPriority w:val="34"/>
    <w:rPr>
      <w:rFonts w:ascii="Calibri" w:hAnsi="Calibri" w:eastAsia="宋体" w:cs="Times New Roman"/>
      <w:kern w:val="0"/>
      <w:sz w:val="22"/>
    </w:rPr>
  </w:style>
  <w:style w:type="character" w:customStyle="1" w:styleId="28">
    <w:name w:val="标题 Char"/>
    <w:basedOn w:val="10"/>
    <w:link w:val="7"/>
    <w:qFormat/>
    <w:uiPriority w:val="0"/>
    <w:rPr>
      <w:rFonts w:ascii="Arial" w:hAnsi="Arial" w:eastAsia="宋体" w:cs="Times New Roman"/>
      <w:b/>
      <w:color w:val="000000" w:themeColor="text1"/>
      <w:szCs w:val="20"/>
      <w14:textFill>
        <w14:solidFill>
          <w14:schemeClr w14:val="tx1"/>
        </w14:solidFill>
      </w14:textFill>
    </w:rPr>
  </w:style>
  <w:style w:type="paragraph" w:customStyle="1" w:styleId="29">
    <w:name w:val="修订1"/>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10073</Words>
  <Characters>10139</Characters>
  <Lines>106</Lines>
  <Paragraphs>29</Paragraphs>
  <TotalTime>0</TotalTime>
  <ScaleCrop>false</ScaleCrop>
  <LinksUpToDate>false</LinksUpToDate>
  <CharactersWithSpaces>10252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2020-09-22T09:46:00Z</dcterms:created>
  <dc:creator>hl</dc:creator>
  <cp:lastModifiedBy>毕晓龙</cp:lastModifiedBy>
  <cp:lastPrinted>2018-12-10T15:12:00Z</cp:lastPrinted>
  <dcterms:modified xsi:type="dcterms:W3CDTF">2024-12-12T09:04:20Z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1713F40BE6F04D9482E6AC7784FEA3BA_12</vt:lpwstr>
  </property>
</Properties>
</file>