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Microsoft YaHei" w:hAnsi="Microsoft YaHei" w:eastAsia="Microsoft YaHei"/>
          <w:b/>
          <w:color w:val="17364A"/>
          <w:sz w:val="46"/>
        </w:rPr>
        <w:t>观野 SHOW 标识与展示体详细设计手册</w:t>
      </w:r>
    </w:p>
    <w:p>
      <w:pPr>
        <w:jc w:val="center"/>
      </w:pPr>
      <w:r>
        <w:rPr>
          <w:rFonts w:ascii="Microsoft YaHei" w:hAnsi="Microsoft YaHei" w:eastAsia="Microsoft YaHei"/>
          <w:color w:val="2F75B5"/>
          <w:sz w:val="26"/>
        </w:rPr>
        <w:t>效果图招牌索引｜尺寸｜字体｜色彩｜线条｜材料｜制作与安装</w:t>
      </w:r>
    </w:p>
    <w:p>
      <w:pPr>
        <w:spacing w:before="300"/>
        <w:jc w:val="center"/>
      </w:pPr>
      <w:r>
        <w:rPr>
          <w:rFonts w:ascii="Microsoft YaHei" w:hAnsi="Microsoft YaHei" w:eastAsia="Microsoft YaHei"/>
          <w:sz w:val="20"/>
        </w:rPr>
        <w:t>版本：V1</w:t>
        <w:br/>
        <w:t>日期：2026-07-31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1984"/>
            <w:vAlign w:val="center"/>
            <w:shd w:fill="17364A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文件范围</w:t>
            </w:r>
          </w:p>
        </w:tc>
        <w:tc>
          <w:tcPr>
            <w:tcW w:type="dxa" w:w="6917"/>
            <w:vAlign w:val="center"/>
            <w:shd w:fill="17364A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对第六步效果图中所有主要“观野 SHOW”招牌、灯箱、展示体和地面品牌图形进行统一深化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17364A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正式位置修正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篮球架固定在西侧看台一侧；东侧为场外主钢架。效果图中的错误球架位置不再作为依据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17364A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标识数量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整理为S01–S15共15类标准构件，可覆盖主钢架、看台、入口、灯柱、市集、围栏、场地与篮球架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17364A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设计原则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同一品牌、少数规格、可替换画面、暖白发光、橙/青点缀；避免每个构件各自发挥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17364A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生产前提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所有深化图仍需厂家按现场结构、观看距离、灯具、电箱、检修和防水要求出施工图</w:t>
            </w:r>
          </w:p>
        </w:tc>
      </w:tr>
    </w:tbl>
    <w:p>
      <w:r>
        <w:br w:type="page"/>
      </w:r>
    </w:p>
    <w:p>
      <w:pPr>
        <w:pStyle w:val="Heading1"/>
        <w:spacing w:before="140" w:after="60"/>
      </w:pPr>
      <w:r>
        <w:t>1. 效果图与正式场地关系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32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观野_SHOW_场地关系修正图_V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2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6"/>
        </w:rPr>
        <w:t>图1  正式位置修正：篮球架在西侧看台侧，主钢架在东侧场外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CCCC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0"/>
              </w:rPr>
              <w:t>效果图使用原则</w:t>
              <w:br/>
            </w:r>
            <w:r>
              <w:rPr>
                <w:rFonts w:ascii="Microsoft YaHei" w:hAnsi="Microsoft YaHei" w:eastAsia="Microsoft YaHei"/>
                <w:sz w:val="18"/>
              </w:rPr>
              <w:t>效果图只用于提取招牌形式、材料、灯光和氛围。凡与正式场地关系冲突的篮球架、道路、树木或建筑位置，均以结构化布局文件和本修正图为准。</w:t>
            </w:r>
          </w:p>
        </w:tc>
      </w:tr>
    </w:tbl>
    <w:p>
      <w:pPr>
        <w:pStyle w:val="Heading1"/>
        <w:spacing w:before="140" w:after="60"/>
      </w:pPr>
      <w:r>
        <w:t>2. 效果图招牌索引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72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观野_SHOW_效果图招牌索引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2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6"/>
        </w:rPr>
        <w:t>图2  第六步效果图中主要“观野 SHOW”招牌与展示体索引</w:t>
      </w:r>
    </w:p>
    <w:p>
      <w:pPr>
        <w:spacing w:after="60" w:line="269" w:lineRule="auto"/>
      </w:pPr>
      <w:r>
        <w:rPr>
          <w:rFonts w:ascii="Microsoft YaHei" w:hAnsi="Microsoft YaHei" w:eastAsia="Microsoft YaHei"/>
        </w:rPr>
        <w:t>索引图中的C01–C11为视觉来源；正式生产编号采用S01–S15。多张效果图中重复出现的同类构件合并为一个标准规格，以避免后期出现字体、颜色和比例不统一。</w:t>
      </w:r>
    </w:p>
    <w:p>
      <w:pPr>
        <w:pStyle w:val="Heading1"/>
        <w:spacing w:before="140" w:after="60"/>
      </w:pPr>
      <w:r>
        <w:t>3. 品牌基础标准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757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观野_SHOW_标识系统设计总则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5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6"/>
        </w:rPr>
        <w:t>图3  字体、颜色、线条、发光与留白控制</w:t>
      </w:r>
    </w:p>
    <w:p>
      <w:pPr>
        <w:pStyle w:val="Heading1"/>
        <w:spacing w:before="140" w:after="60"/>
      </w:pPr>
      <w:r>
        <w:t>4. 主钢架与背景标识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07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观野_SHOW_主钢架与背景标识详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0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6"/>
        </w:rPr>
        <w:t>图4  S01–S03主钢架与背景标识详图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680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587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701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完成尺寸</w:t>
            </w:r>
          </w:p>
        </w:tc>
        <w:tc>
          <w:tcPr>
            <w:tcW w:type="dxa" w:w="2494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文字/字号控制</w:t>
            </w:r>
          </w:p>
        </w:tc>
        <w:tc>
          <w:tcPr>
            <w:tcW w:type="dxa" w:w="209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材料/光源</w:t>
            </w:r>
          </w:p>
        </w:tc>
        <w:tc>
          <w:tcPr>
            <w:tcW w:type="dxa" w:w="226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安装与分缝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主钢架顶部主招牌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10500×700×500mm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“观野”字高380–420mm；SHOW 340–380mm；副标90–120mm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3mm铝板；304不锈钢背光字；3000–3500K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主字整体居左/居中；铝板分缝不得穿字；底部橙线50–60mm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主钢架立柱竖向字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单柱500×500×5200mm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可视字区宽220–260mm，高1800–2200mm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背光字或镂空内透；暖白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距地800–1100mm起；两柱镜像但文字方向均从上到下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中央可替换背景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8000×3200mm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主Logo宽1400–2000mm；活动标题字高250–400mm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网布/软膜/硬板/租赁LED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四周留白≥300mm；吊点和张紧点隐藏在框后</w:t>
            </w:r>
          </w:p>
        </w:tc>
      </w:tr>
    </w:tbl>
    <w:p>
      <w:pPr>
        <w:pStyle w:val="Heading1"/>
        <w:spacing w:before="140" w:after="60"/>
      </w:pPr>
      <w:r>
        <w:t>5. 立式牌、灯箱与方向牌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10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观野_SHOW_立式牌与灯箱详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1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6"/>
        </w:rPr>
        <w:t>图5  S07–S09与S15立式牌/灯箱详图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680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701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尺寸</w:t>
            </w:r>
          </w:p>
        </w:tc>
        <w:tc>
          <w:tcPr>
            <w:tcW w:type="dxa" w:w="192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主体内容</w:t>
            </w:r>
          </w:p>
        </w:tc>
        <w:tc>
          <w:tcPr>
            <w:tcW w:type="dxa" w:w="226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字体/字号</w:t>
            </w:r>
          </w:p>
        </w:tc>
        <w:tc>
          <w:tcPr>
            <w:tcW w:type="dxa" w:w="226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颜色与线条</w:t>
            </w:r>
          </w:p>
        </w:tc>
        <w:tc>
          <w:tcPr>
            <w:tcW w:type="dxa" w:w="226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结构与维护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900×2400×180mm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主Logo+四类功能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Logo字高180–240mm；功能字高55–75mm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暖白字；橙线20mm；青弧12mm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镀锌钢骨架+2mm铝板；背面下部检修门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700×1800×160mm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Logo+500×900活动海报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Logo字高90–120mm；信息字高35–55mm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暖白边框；橙/青小线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磁吸/卡布灯箱；海报可换；IP65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450×2500×250mm×2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一根竖向Logo，一根S图形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竖字高160–220mm；S高400–550mm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暖白主体；橙S；青/橙底线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独立基础或与钢架基础协调；背面检修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800×2200×160mm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Logo+方向箭头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Logo字高120–170mm；方向字高60–90mm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暖白字；橙主线20mm；青辅线12mm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铝板灯箱或反光膜版；道路侧需防眩</w:t>
            </w:r>
          </w:p>
        </w:tc>
      </w:tr>
    </w:tbl>
    <w:p>
      <w:pPr>
        <w:pStyle w:val="Heading1"/>
        <w:spacing w:before="140" w:after="60"/>
      </w:pPr>
      <w:r>
        <w:t>6. 看台、灯柱、地面与篮球架标识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10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观野_SHOW_看台_灯柱_场地标识详图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1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6"/>
        </w:rPr>
        <w:t>图6  S04–S06与S12–S14详图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680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92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名称/尺寸</w:t>
            </w:r>
          </w:p>
        </w:tc>
        <w:tc>
          <w:tcPr>
            <w:tcW w:type="dxa" w:w="243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字体与画面</w:t>
            </w:r>
          </w:p>
        </w:tc>
        <w:tc>
          <w:tcPr>
            <w:tcW w:type="dxa" w:w="2494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材料与工艺</w:t>
            </w:r>
          </w:p>
        </w:tc>
        <w:tc>
          <w:tcPr>
            <w:tcW w:type="dxa" w:w="2835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位置与安全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S04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看台长条标识 4200×650×80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Logo字高280–340mm；橙线40mm；青线22mm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铝板灯箱或穿孔板背光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设置于西侧看台挡墙，不占座席和疏散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看台端部品牌板 1200×1500×120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Logo字高180–240mm；副字45–65mm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穿孔铝板+背板灯/实心铝板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靠看台端部，边角R10，避免形成碰撞锐角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灯柱悬挂旗 600×1600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Logo宽360–420mm；竖向构图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户外双面旗布/铝板吊牌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按灯杆风荷载核验；下缘离地≥2.5m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地面Logo 2600×850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Logo高度500–650mm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耐候地坪漆或活动可移除地贴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不压篮球关键线；优先布置在东侧活动区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S13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围栏网布 3000×800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Logo宽700–1000mm；副标字高60–80mm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透风网眼布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使用快拆扎带；大风和闭场及时拆除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S14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篮球架立柱包覆 450×1800可视面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竖向Logo宽180–250mm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防撞软包+耐候印刷面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篮球架在西侧；不得遮挡机械和安全标识</w:t>
            </w:r>
          </w:p>
        </w:tc>
      </w:tr>
    </w:tbl>
    <w:p>
      <w:pPr>
        <w:pStyle w:val="Heading1"/>
        <w:spacing w:before="140" w:after="60"/>
      </w:pPr>
      <w:r>
        <w:t>7. 市集摊位与活动展示系统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766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观野_SHOW_市集摊位与活动展示详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6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6"/>
        </w:rPr>
        <w:t>图7  S10–S11及活动背景版式详图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850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041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尺寸</w:t>
            </w:r>
          </w:p>
        </w:tc>
        <w:tc>
          <w:tcPr>
            <w:tcW w:type="dxa" w:w="2835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版式</w:t>
            </w:r>
          </w:p>
        </w:tc>
        <w:tc>
          <w:tcPr>
            <w:tcW w:type="dxa" w:w="226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材料</w:t>
            </w:r>
          </w:p>
        </w:tc>
        <w:tc>
          <w:tcPr>
            <w:tcW w:type="dxa" w:w="243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使用规则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S10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摊位顶眉3000×300×100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左侧观野SHOW宽700–900mm；右侧摊位名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可拆铝框+灯布/小型背光字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全部摊位统一顶眉高度、暖白边缘灯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S11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侧品牌板650×1500×80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上部Logo，中部品牌/菜单，下部橙青线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磁吸灯箱/铝板UV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摊主内容限在可换画面内，不改变观野主品牌比例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S03-Event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背景活动KV 8000×3200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主标题居中；Logo保留左上或底部；安全留白≥300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张拉布/软膜/LED内容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不使用细小文字；远视主标题字高≥250mm</w:t>
            </w:r>
          </w:p>
        </w:tc>
      </w:tr>
    </w:tbl>
    <w:p>
      <w:pPr>
        <w:pStyle w:val="Heading1"/>
        <w:spacing w:before="140" w:after="60"/>
      </w:pPr>
      <w:r>
        <w:t>8. S01–S15完整构件清单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624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984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构件名称</w:t>
            </w:r>
          </w:p>
        </w:tc>
        <w:tc>
          <w:tcPr>
            <w:tcW w:type="dxa" w:w="1134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数量建议</w:t>
            </w:r>
          </w:p>
        </w:tc>
        <w:tc>
          <w:tcPr>
            <w:tcW w:type="dxa" w:w="1984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标准尺寸</w:t>
            </w:r>
          </w:p>
        </w:tc>
        <w:tc>
          <w:tcPr>
            <w:tcW w:type="dxa" w:w="1474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常设/活动</w:t>
            </w:r>
          </w:p>
        </w:tc>
        <w:tc>
          <w:tcPr>
            <w:tcW w:type="dxa" w:w="3628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主钢架顶部主招牌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1套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10500×700×500mm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/ SPORTS · EVENTS · COMMUNITY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主钢架立柱竖向字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2面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单柱500×500×5200mm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SHOW（竖排）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中央可替换背景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1套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8000×3200mm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常设框+活动画面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主Logo + 活动KV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西侧看台长条标识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1套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4200×650×80mm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+ 橙/蓝线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看台端部品牌板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1–2块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1200×1500×120mm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/ SPORTS EVENTS COMMUNITY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S06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灯柱悬挂旗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4–8面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600×1600mm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活动/季节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+ 橙/蓝曲线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S07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主入口立式导视牌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1–2座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900×2400×180mm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+ 四类功能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活动信息灯箱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1–2座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700×1800×160mm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+ 当日活动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S09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舞台侧窄型双柱牌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2座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450×2500×250mm ×2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可选常设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/ S图形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市集摊位顶眉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4–8套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3000×300×100mm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活动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/ 摊位名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摊位侧品牌板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4–8块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650×1500×80mm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活动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+ 品牌曲线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场地地面Logo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1–2处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2600×850mm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常设或活动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围栏网布横幅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2–4幅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3000×800mm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活动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/ SPORTS EVENTS COMMUNITY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篮球架立柱包覆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1套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450×1800mm可视面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SHOW竖向字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S15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东/北侧方向牌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1–2座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800×2200×160mm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常设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观野 SHOW + 入口/活动方向</w:t>
            </w:r>
          </w:p>
        </w:tc>
      </w:tr>
    </w:tbl>
    <w:p>
      <w:pPr>
        <w:pStyle w:val="Heading1"/>
        <w:spacing w:before="140" w:after="60"/>
      </w:pPr>
      <w:r>
        <w:t>9. 制作与验收要求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户外发光字、灯箱和电箱按IP65或更高防护目标深化，底部设排水和透气措施；电源驱动集中于可检修位置。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文字文件必须使用矢量轮廓，生产前锁定字库版本；不得由厂家随意替换字体或压缩比例。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暖白发光色温统一控制在3000–3500K；同一视野内色差和亮度差应先做夜间样板。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铝板分缝、螺钉、检修门、灯槽不得穿越Logo安全留白区；可见螺钉优先隐藏或同色处理。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所有立式牌需结构和基础验算；灯柱吊旗需核验原灯杆承载和当地风荷载。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先制作S07立式牌或S04看台长条标识1:1样板，确认字体、色温、黑色表面和橙青线，再批量生产。</w:t>
      </w:r>
    </w:p>
    <w:p>
      <w:pPr>
        <w:pStyle w:val="Heading1"/>
        <w:spacing w:before="140" w:after="60"/>
      </w:pPr>
      <w:r>
        <w:t>10. 概算建议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835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</w:t>
            </w:r>
          </w:p>
        </w:tc>
        <w:tc>
          <w:tcPr>
            <w:tcW w:type="dxa" w:w="1984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概算范围</w:t>
            </w:r>
          </w:p>
        </w:tc>
        <w:tc>
          <w:tcPr>
            <w:tcW w:type="dxa" w:w="4819"/>
            <w:vAlign w:val="center"/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S01–S03主钢架品牌系统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约4.0–8.0万元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主字、立柱字、背景轨道/基础画面；不含结构和大型LED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S04–S06看台/灯柱系统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约1.5–3.5万元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取决于是否发光、吊旗数量和看台基础条件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S07–S09立式牌/灯箱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约2.5–6.0万元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1个主导视+1个活动灯箱+可选双柱牌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S10–S11市集摊位标识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约0.4–0.9万元/套摊位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含顶眉、侧板和基础灯光，不含摊位主体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S12–S15场地/围栏/篮球架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约1.0–2.5万元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地面Logo、网布、软包和方向牌按数量计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首期建议包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约7–12万元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优先S01/S02/S04/S07/S12/S14，其他按活动增配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r>
              <w:rPr>
                <w:rFonts w:ascii="Microsoft YaHei" w:hAnsi="Microsoft YaHei" w:eastAsia="Microsoft YaHei"/>
                <w:b/>
                <w:color w:val="548235"/>
                <w:sz w:val="20"/>
              </w:rPr>
              <w:t>预算策略</w:t>
              <w:br/>
            </w:r>
            <w:r>
              <w:rPr>
                <w:rFonts w:ascii="Microsoft YaHei" w:hAnsi="Microsoft YaHei" w:eastAsia="Microsoft YaHei"/>
                <w:sz w:val="18"/>
              </w:rPr>
              <w:t>基础实用型不应一次性制作所有效果图里的牌体。首期先完成主钢架主招牌、看台长条标识、主入口导视、场地Logo和篮球架包覆；活动灯箱、双柱牌、摊位系统和围栏网布按实际运营频次追加。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79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5"/>
      </w:rPr>
      <w:t>概念深化文件｜结构、基础、抗风、消防与造价以专业设计及正式报价为准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6"/>
      </w:rPr>
      <w:t>观野 SHOW 标识与展示体详细设计手册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4823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观野 SHOW 标识与展示体详细设计手册 V1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