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60" w:line="324" w:lineRule="auto"/>
        <w:ind w:firstLine="0"/>
        <w:jc w:val="center"/>
      </w:pPr>
      <w:r>
        <w:rPr>
          <w:rFonts w:ascii="微软雅黑" w:hAnsi="微软雅黑" w:eastAsia="微软雅黑"/>
          <w:b w:val="0"/>
          <w:sz w:val="32"/>
        </w:rPr>
        <w:t>回龙观公园综合场地</w:t>
      </w:r>
    </w:p>
    <w:p>
      <w:pPr>
        <w:spacing w:after="200" w:line="324" w:lineRule="auto"/>
        <w:ind w:firstLine="0"/>
        <w:jc w:val="center"/>
      </w:pPr>
      <w:r>
        <w:rPr>
          <w:rFonts w:ascii="微软雅黑" w:hAnsi="微软雅黑" w:eastAsia="微软雅黑"/>
          <w:b/>
          <w:sz w:val="52"/>
        </w:rPr>
        <w:t>综合经营管理系统</w:t>
      </w:r>
    </w:p>
    <w:p>
      <w:pPr>
        <w:spacing w:after="360" w:line="324" w:lineRule="auto"/>
        <w:ind w:firstLine="0"/>
        <w:jc w:val="center"/>
      </w:pPr>
      <w:r>
        <w:rPr>
          <w:rFonts w:ascii="微软雅黑" w:hAnsi="微软雅黑" w:eastAsia="微软雅黑"/>
          <w:b/>
          <w:sz w:val="44"/>
        </w:rPr>
        <w:t>产 品 说 明 书</w:t>
      </w:r>
    </w:p>
    <w:p>
      <w:pPr>
        <w:spacing w:after="560" w:line="324" w:lineRule="auto"/>
        <w:ind w:firstLine="0"/>
        <w:jc w:val="center"/>
      </w:pPr>
      <w:r>
        <w:rPr>
          <w:rFonts w:ascii="微软雅黑" w:hAnsi="微软雅黑" w:eastAsia="微软雅黑"/>
          <w:b w:val="0"/>
          <w:sz w:val="24"/>
        </w:rPr>
        <w:t>含业务架构详解 · 演示场景操作目录</w:t>
      </w:r>
    </w:p>
    <w:p>
      <w:pPr>
        <w:spacing w:after="120" w:line="324" w:lineRule="auto"/>
        <w:ind w:firstLine="0"/>
        <w:jc w:val="center"/>
      </w:pPr>
      <w:r>
        <w:rPr>
          <w:rFonts w:ascii="微软雅黑" w:hAnsi="微软雅黑" w:eastAsia="微软雅黑"/>
          <w:b w:val="0"/>
          <w:sz w:val="24"/>
        </w:rPr>
        <w:t>版本：V1.1</w:t>
      </w:r>
    </w:p>
    <w:p>
      <w:pPr>
        <w:spacing w:after="120" w:line="324" w:lineRule="auto"/>
        <w:ind w:firstLine="0"/>
        <w:jc w:val="center"/>
      </w:pPr>
      <w:r>
        <w:rPr>
          <w:rFonts w:ascii="微软雅黑" w:hAnsi="微软雅黑" w:eastAsia="微软雅黑"/>
          <w:b w:val="0"/>
          <w:sz w:val="24"/>
        </w:rPr>
        <w:t>日期：2026-08-10</w:t>
      </w:r>
    </w:p>
    <w:p>
      <w:pPr>
        <w:spacing w:after="120" w:line="324" w:lineRule="auto"/>
        <w:ind w:firstLine="0"/>
        <w:jc w:val="center"/>
      </w:pPr>
      <w:r>
        <w:rPr>
          <w:rFonts w:ascii="微软雅黑" w:hAnsi="微软雅黑" w:eastAsia="微软雅黑"/>
          <w:b w:val="0"/>
          <w:sz w:val="22"/>
        </w:rPr>
        <w:t>适用：管理后台 / 会员 H5 / 微信小程序 / 人脸门禁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目录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一、产品概述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二、产品架构与终端（业务架构详解）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三、用户角色与权限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四、功能模块说明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五、演示场景目录（客户验证与体验）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六、典型业务操作补充说明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七、支付、退款与对账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八、部署与访问说明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九、演示环境与账号总表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十、安全与合规提示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十一、附录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一、产品概述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1.1 产品定位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本系统面向回龙观公园综合经营场地，支持自营健身房、清吧及招商入驻等多业态、多商户统一管理。核心能力包括：场地与商户组织、员工权限、会员主档、人脸门禁、会籍办卡、课程私教、零售库存、餐饮点单、营销券、经营报表、微信支付与对账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1.2 建设目标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一场地、多商户、多业态：权限与资源按商户隔离，避免写死为单一健身房。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健身房完整运营：会籍、课程、教练、零售、营销、报表、器材与门禁闭环。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清吧等业态复用平台底座，并扩展餐饮菜单与点单取餐。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端侧：Web 管理后台、会员 H5、微信小程序、人脸门禁 Pad。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收款：线下登记 + 线上微信，并提供退款与对账。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1.3 设计原则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平台底座 + 业态包：健身房、餐饮以子系统挂接商户，可配置启停。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会员一人一档（场地级，手机号唯一），按商户分别授权会籍与通行。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门禁以「通行主体 + 授权范围」建模，不绑死单一门店类型。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关键写操作留审计痕迹（办卡、改权、退款、停卡、角色变更等）。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二、产品架构与终端（业务架构详解）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本章说明系统如何从「场地经营」落到「可验收的业务能力」。先看分层，再逐点解释每个业务对象及其在日常运营中的含义。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2.1 分层业务架构总览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整体分为四层：经营主体层（场地/商户）→ 平台能力层（人、权、会员、门禁、交易）→ 业态能力层（健身/餐饮）→ 触点层（后台/H5/小程序/Pad）。上层约束下层的数据范围，下层能力通过「商户挂接子系统」按需启用。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包含内容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解决什么问题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经营主体层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场地、商户类型、商户、商户状态、子系统挂接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谁在经营？经营范围是什么？哪些业态功能对该商户开放？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平台能力层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员工与 RBAC、会员主档、门禁设备、订单支付、通知、配置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跨业态都要用的公共能力，保证隔离、通行与收款统一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业态能力层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会籍/课程/零售/券/器材；餐饮菜单与点单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健身房怎么赚钱运营；清吧怎么点餐履约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触点层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管理后台、会员 H5、小程序、门禁 Pad、开放 API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不同角色在哪个端完成工作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2.2 经营主体层：每个业务点的含义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2.2.1 场地（Site）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场地是最高经营边界，对应「回龙观公园这一处综合场地」。场地级数据包括：场地档案、跨商户汇总、场地超管/运营账号、公共门禁点、支付通道配置、角色模板包、子系统总开关。所有商户都挂在同一场地之下，会员主档也以场地为范围一人一档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2.2.2 商户类型（Merchant Type）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商户类型描述业态分类标签，例如「健身房」「清吧」。它用于组织分类与后续扩展，真正决定菜单与功能开放的是「商户挂接了哪些子系统」，而不是仅靠名称。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2.2.3 商户（Merchant）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商户是权限隔离与经营核算的基本单元。示例：回龙观自营健身房、回龙观清吧。商户具备状态（筹备/营业/停用）、归属场地、员工、订单、会员挂靠关系、门禁点等。员工登录后默认只能看到本商户数据；场地超管可跨商户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2.2.4 子系统挂接（Subsystem）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子系统是可插拔的业务能力包。健身房商户挂接 gym 子系统后，才出现会籍、团课、零售等菜单；清吧挂接 catering 后才有菜单与餐饮订单。场地管理员在「子系统配置」中为商户启停子系统，从而实现「同一套平台、不同商户不同能力」。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2.2.5 获客码（Acquisition QR）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每个商户可生成获客码。潜客扫码进入带 merchant_id 的登录页，OTP 验证后自动注册会员主档并挂靠该商户，同时记录首次来源（某商户或综合运营平台）。用于地推、店招、物料引流，减少前台手工建档。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2.3 平台能力层：每个业务点的含义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2.3.1 员工账号与角色权限（RBAC）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员工是后台操作者。权限模型为「模板包 A + 商户实例 B」：场地维护标准角色模板（如管理员、前台、教练）；商户挂接业态后复制为本商户角色实例，商户管理员可在范围内微调。权限控制到菜单与接口；教练等角色还可限制为仅本人数据。启停账号、重置密码、改角色均属关键操作，应可审计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2.3.2 会员主档（Member）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会员是 C 端消费者在场地内的唯一身份档案，一期以手机号唯一。主档跨业态共用：同一人可同时是健身房会员与清吧顾客。「商户会员关系」表示该会员已挂靠某商户，才能在该店办卡、点餐、预约。主档字段含姓名、手机号、人脸采集状态等；人脸采集可在店内 Pad 完成，业务库不随意存原始生物数据。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2.3.3 门禁点（Access Point）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门禁点是物理出入口的逻辑抽象，如「健身房正门」「健身房侧门」「园区公共门」。可归属某商户，也可标记为公共区域。会籍卡种可绑定适用门禁点，决定办卡后能开哪些门。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2.3.4 门禁设备 / 人脸 Pad（Access Device）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Pad 绑定到门禁点，通过设备码与设备密钥（与员工 JWT 分离）与后端通信。能力包括：注册激活、心跳在线状态、识别后请求通行校验、上报通行事件。耗时同步（人脸名单下发等）可走消息队列，开门校验本身要求低延迟。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2.3.5 通行授权（Access Grant）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授权回答「谁可以在何时进哪扇门」。来源典型为：会籍生效自动开通、临访登记临时开通。停卡、过期、撤销临访会失效授权。Pad 校验时查的是授权，而不是直接查「有没有买过卡」的订单。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2.3.6 通行事件（Access Event）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每次识别尝试形成事件：成功放行或拒绝及原因。用于前台排查「为什么进不去」、安全审计与运营分析。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2.3.7 临访 / 体验（Walk-in Visit）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未办正式会籍时，前台可为访客登记临时通行（按时段或次数）。用于体验课、参观、陪同。到期或撤销后授权立即失效，避免长期白名单残留。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2.3.8 订单（Order）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订单是收款与履约的统一单据。类型包括会籍办卡、私教课包、零售、餐饮等。订单承载金额、状态（待付/已付/关闭等）、所属商户与会员。不同业态共享同一套订单与支付骨架，便于报表与退款。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2.3.9 支付（Payment）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支付记录一次收款动作。渠道分线下登记（现金/转账等）与线上微信（小程序 JSAPI、H5 MWEB 等）。场地级「支付配置」统一微信参数；支持 DRY_RUN 联调。支付成功后按订单类型触发履约（开卡、出库、出取餐号等）。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2.3.10 退款（Refund）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退款是支付的逆向。会籍/课包按是否已使用给出建议退款额（未用可全额，已用按剩余价值），成功后退权益终止；零售/餐饮可部分退；线上原路退，线下选手动渠道登记。会员端不对餐饮提供自助退，需前台处理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2.3.11 对账与查单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线上支付可能出现「用户已付、本地未确认」等异常。系统提供回调验签、主动查单与对账补单台，由场地管理员处理漏单/重复履约风险，保证财务与权益一致。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2.3.12 通知（Notification）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站内通知覆盖开卡成功、支付结果等轻量消息。大批量或异步通知可与门禁事件解耦走队列；短信/订阅消息依赖生产通道配置。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2.4 健身房业态：每个业务点的含义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2.4.1 会籍卡种（Membership Product）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卡种是可售卖的会籍商品定义：期限卡（周/月/季）、次卡、储值卡等。配置价格、有效期或次数、适用门禁点、是否可售。办卡时选择卡种生成订单，支付成功后生成会员会籍实例。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2.4.2 会员会籍（Membership Instance）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会籍是某会员持有的权益实例，有生命周期：生效、即将到期、过期、冻结/停卡、作废。生效写通行授权；停卡/过期收回授权。前台可续费、停卡等（规则与审计按产品配置）。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2.4.3 教练（Coach）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教练档案归属健身房商户，关联员工账号，含擅长方向、可授课时段、状态。用于私教课包适用教练、团课授课教练、教练台数据范围。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2.4.4 私教课包（PT Package）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课包是可售卖的课时商品（如私教 10 节）。会员购买后获得课时余额；教练上课核销扣减课时。与会籍独立：有人只有课包、有人只有会籍、也可兼有。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2.4.5 团课课程与场次（Group Course / Session）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课程定义课种（燃脂操、瑜伽等）；场次是某日某教室的具体排课，含教练、人数上限、时间。会员或前台可预约；满员不可约（或按实现策略处理）。签到/出席用于出勤统计。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2.4.6 零售分类与 SKU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分类（运动补给、饮品等）组织货架；SKU 含名称、价格、库存、条码。零售下单可关联会员，支付后出库，库存流水可追溯。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2.4.7 库存流水（Stock Movement）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记录入库、出库、盘点等变动及关联订单。用于库存预警、盘点差异与财务对账辅助，不替代完整进销存 ERP。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2.4.8 优惠券（Coupon）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券模板定义满减/折扣及适用对象（仅办卡、仅零售或两者）。会员领券后在下单时抵扣。一期不做复杂分销裂变。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2.4.9 器材台账（Equipment）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跑步机等固定资产台账：编号、区域、状态（在用/维修/停用/报废）。前台/教练可报修；与门禁 Pad 不是同一类「设备」。一期不做物联网工况与会员约器械。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2.4.10 教练台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教练在 Web 后台查看名下课表、私教学员与剩余课时并核销上课。默认仅本人数据；商户管理员可看全部。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2.4.11 经营报表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按商户汇总收款、退款、净收，并按支付方式与业务类型拆分；另有会籍/课程/库存等经营看板。支持导出；定位是经营看板与流水对账，不做会计总账/税务。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2.5 餐饮业态：每个业务点的含义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2.5.1 菜单项（Menu Item）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清吧可售卖的菜品/饮品定义（名称、价格、上下架）。会员 H5 选清吧门店后浏览菜单下单。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2.5.2 餐饮订单与取餐号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下单支付成功后生成取餐号，顾客凭号取餐；管理端可查看餐饮订单并处理退款。一期定位为轻量点餐履约，不是完整桌台 POS（台位、酒水手持等后续扩展）。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2.6 触点层：各终端职责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终端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面向对象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管理后台 Web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超管/商户管理员/前台/教练/收银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配置、办卡收银、排课、库存、报表、对账、临访、退款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会员 H5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会员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登录选店、查卡约课、购卡课包、清吧点餐支付看取餐号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微信小程序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会员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绑定 openid、选店商城购卡/课包、微信支付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人脸门禁 Pad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进场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识别校验授权、开门反馈、事件上报；不做完整业务后台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 API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各端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统一业务接口、健康检查、OpenAPI 文档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2.7 关键业务价值链（串起来看）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获客：获客码/前台建档 → 会员主档 + 商户挂靠。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转化：选卡种办卡或买课包/零售/点餐 → 订单 → 支付。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履约：会籍生效写授权；课包记课时；零售出库；餐饮出取餐号。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到店：Pad 校验授权放行；团课预约到课；教练核销。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经营：报表看收入结构；对账处理异常；退款收回权益。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技术栈供运维参考：Vue3 管理端与会员 H5；FastAPI + PostgreSQL；Docker Compose 部署；按需 RabbitMQ。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三、用户角色与权限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账号示例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主要能力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场地超管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全场地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组织、子系统、角色、支付、对账、跨商户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场地运营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site_ops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全场地运营向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协同查看与日常运营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健身房管理员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gym_admin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健身房商户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本商业态全量配置与运营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健身房运营/前台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gym_ops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健身房商户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办卡、预约、临访、零售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教练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coach01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本人数据为主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课表、核销、报修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清吧管理员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bar_admin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清吧商户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菜单与餐饮运营管理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清吧运营/收银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bar_ops / bar_cashier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清吧商户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点单履约相关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会员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13800001001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H5/小程序自助</w:t>
            </w:r>
          </w:p>
        </w:tc>
      </w:tr>
    </w:tbl>
    <w:p/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数据隔离：商户员工仅本商户；超管可全场地；会员主档跨业态，权益与订单按商户生效。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四、功能模块说明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模块清单与第二章业务点一一对应，此处按菜单视角归纳，便于对照后台。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综合经营：子系统配置、角色权限、支付配置、支付对账。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组织：商户组织（含获客码）、员工、会员。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通行：门禁点与设备、临访、通行相关查询。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交易：订单收款、报表、通知。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健身：会籍卡种、会员会籍、教练、私教课包、团课、教练台、零售、优惠券、器材。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餐饮：菜单、餐饮订单。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五、演示场景目录（客户验证与体验）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本章供客户按场景逐条验证。建议顺序：先平台与组织 → 会籍门禁闭环 → 课程零售 → 会员端 → 清吧 → 支付退款。演示前请确认 SEED_DEMO=true 且服务可访问（管理后台、会员 H5、API 健康检查）。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5.0 演示目录总表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场景名称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建议角色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验证重点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预计时长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D01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场地超管登录与门户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登录、菜单按权限出现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D02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子系统与角色配置台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商户挂接业态、权限包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D03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商户组织与获客码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商户列表、扫码挂靠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D04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员工多角色切换体验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多账号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隔离与菜单差异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D05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会员主档与多商户挂靠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gym_admin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一人一档、双店关系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D06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门禁点与 Pad 设备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gym_admin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点位/设备台账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D07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会籍卡种配置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gym_admin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卡种与门禁绑定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D08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前台办卡线下收款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gym_ops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订单→会籍→授权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D09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门禁放行与停卡拒绝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gym_ops+设备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通行闭环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D10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临访临时通行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gym_ops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临时期权发放与撤销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D11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团课排课与预约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gym_ops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场次与预约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D12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私教课包与教练核销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gym_admin+coach01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售卖与扣课时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D13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零售下单与库存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gym_ops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SKU、下单、库存变化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D14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优惠券查看与适用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gym_admin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券模板规则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D15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器材台账与报修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gym_ops/coach01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台账状态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D16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经营报表导出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gym_admin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汇总与导出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D17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会员 H5 登录选店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会员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OTP、多店入口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D18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会员 H5 健身房能力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会员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查卡/约课/购卡路径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D19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会员 H5 清吧点餐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会员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下单支付取餐号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D20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清吧后台菜单与订单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bar_admin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菜单与订单协同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D21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支付配置与 DRY_RUN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通道与联调模式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D22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订单退款规则体验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gym_admin/bar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建议额与权益终止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D23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支付对账台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查单补单入口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分钟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D24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小程序购卡支付（可选）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会员+开发者工具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openid 与支付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 分钟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5.1 演示前检查清单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管理后台可打开并登录（如 http://主机:8080）。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会员 H5 可打开（如 http://主机:8081）。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API 健康检查返回 ok（如 http://主机:18000/health）。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使用第九章账号表；密码区分 admin 与 Demo 账号。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若需真实微信收款，关闭 DRY_RUN 并配置支付参数与公网回调；否则用 DRY_RUN 完成履约演示。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5.2 场景分步说明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D01 场地超管登录与门户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演示角色：admin / Admin@123456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演示目标：确认超管可进入系统，看到综合经营与跨商户能力入口。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系统已启动；Demo 种子已执行。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打开管理后台登录页。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使用 admin 登录（登录页可一键切换演示身份时请选场地管理员）。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进入门户/工作台，浏览左侧或门户中的菜单入口。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登录成功，无报错。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可见「子系统配置」「角色权限」「支付配置」「支付对账」「商户组织」等场地级入口。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D02 子系统与角色配置台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演示角色：admin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演示目标：理解「商户挂接子系统」和「角色模板/实例」如何决定菜单。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已完成 D01。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进入「子系统配置」，查看健身房、清吧分别挂接的子系统。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进入「角色权限」，查看标准模板与商户侧角色实例。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（可选）对比：仅挂接餐饮的商户不应出现完整健身菜单。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能看清各商户启用的子系统。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角色列表存在且与员工分配相关。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D03 商户组织与获客码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演示角色：admin 或 site_ops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演示目标：查看演示商户，并走通获客码拉新路径。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存在演示商户：回龙观自营健身房、回龙观清吧。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打开「商户组织」，确认两个演示商户及状态为营业类状态。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在健身房商户行操作打开「获客码」，复制或展示链接（含 merchant_id）。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用手机/浏览器打开该链接，使用未注册手机号走 OTP 登录（演示验证码见环境说明，一般为 123456）。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登录成功后确认已进入会员端，并已挂靠该商户。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获客链接可打开登录页。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新用户注册后主档存在，且与该商户建立挂靠；来源可追溯。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提示：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也可用已有会员号登录验证「已存在用户挂靠」行为是否符合预期。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D04 员工多角色切换体验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演示角色：gym_admin、gym_ops、coach01、bar_admin 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演示目标：体验不同角色菜单与数据范围差异。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第九章账号可用，密码均为 Demo@123456（admin 除外）。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依次使用 gym_admin、gym_ops、coach01 登录健身房相关功能。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再使用 bar_admin 登录，查看餐饮菜单是否出现、健身专属菜单是否裁剪。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记录：教练是否主要看到教练台/本人相关数据。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商户管理员菜单最全；前台偏运营收银；教练偏课表核销。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清吧账号不暴露完整健身房运营菜单（按子系统裁剪）。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D05 会员主档与多商户挂靠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演示目标：确认一人一档，且张三可同时关联健身房与清吧。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会员 13800001001 张三已写入。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打开「会员」列表，搜索 13800001001。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查看详情：姓名、手机号、人脸状态等。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确认其商户关系中同时有健身房与清吧（或分别在两侧可见）。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同一手机号仅一条场地主档。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可解释「跨业态共用档案、权益分商户」模型。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D06 门禁点与 Pad 设备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演示目标：认识门禁点与设备台账。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含正门/侧门/公共门及演示 Pad。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打开门禁相关页面，查看「健身房正门」「健身房侧门」「园区公共门」。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查看设备：如 pad-gym-main 等演示设备码及绑定关系。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门禁点与设备列表可见且绑定关系正确。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能向客户说明：公共门 vs 商户门、设备凭证与员工登录分离。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D07 会籍卡种配置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演示目标：查看/理解卡种如何绑定门禁与售卖属性。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含体验周卡、标准月卡、季卡、次卡10次、储值卡500。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进入会籍卡种列表，逐个打开卡种详情。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核对其价格、期限/次数、适用门禁点配置。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（可选）新建或编辑一个演示卡种（勿改乱生产数据时请在演示库操作）。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卡种信息完整可读。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客户理解：卖的是卡种，办卡后才生成会籍实例并写授权。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D08 前台办卡线下收款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演示角色：gym_ops / Demo@123456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演示目标：完成一笔办卡：订单支付成功 → 会籍生效。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会员已建档；卡种可售；前台账号可用。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使用 gym_ops 登录。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选择会员（如 13800001002 李四）办理某卡种（如标准月卡）。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创建订单并选择线下支付方式完成收款确认。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到「会员会籍」或会员详情确认会籍状态为生效。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到「订单」确认存在对应 membership 订单且已支付。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订单已支付。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会籍生效。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（结合 D09）对应门禁授权应已生成。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D09 门禁放行与停卡拒绝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演示角色：gym_ops + 门禁校验接口/Pad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演示目标：验证「有效会籍可进、停卡后拒绝」。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D08 已办卡成功；或使用已有效会籍会员。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对已生效会籍会员发起设备通行校验（Pad 或验收用的校验接口/工具）。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预期：放行成功，可查到成功通行事件。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由前台/管理员对会籍执行停卡（或等效失效操作）。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再次校验通行。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预期：拒绝，事件中可见拒绝原因。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生效可进、停卡不可进，形成完整闭环。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通行事件可追溯。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提示：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若现场无 Pad，可用 API 冒烟脚本或后台校验入口演示，逻辑一致。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D10 临访临时通行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演示角色：gym_ops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演示目标：为未办卡访客发放短期通行并撤销。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门禁点可用。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进入临访功能，为访客登记临时授权（时段或次数）。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校验通行应允许（在有效期内）。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撤销临访后再校验，应拒绝。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临访授权发放与失效符合预期。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客户理解临访与正式会籍的区别。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D11 团课排课与预约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演示角色：gym_ops 或 gym_admin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演示目标：查看 Demo 团课场次并完成一次预约。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含燃脂操、晨间瑜伽及近几天场次。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打开团课/场次列表，查看教练、教室、人数上限。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为会员代约一场未满员课程。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（可选）会员 H5 端用张三查看可约场次并预约/取消。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场次信息正确。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预约成功后名额变化符合规则；取消后名额恢复（若支持）。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D12 私教课包与教练核销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 办课包；coach01 核销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演示目标：售卖课包后由教练扣减课时。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含私教10节/20节；教练阿强/小雅。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为会员创建私教课包订单并完成支付（线下或 DRY_RUN）。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确认会员课时余额增加。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使用 coach01 登录教练台，对名下学员上课核销。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确认剩余课时减少，并有核销记录。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售卖与核销闭环成立。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教练侧默认聚焦本人数据。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D13 零售下单与库存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演示角色：gym_ops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演示目标：演示商品销售导致库存变化。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含运动补给、饮品等 SKU（如乳清蛋白粉）。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打开零售商品列表，记录某 SKU 当前库存。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创建零售订单（可关联会员）并完成支付。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再次查看库存与库存流水。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库存按销售扣减。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流水可追溯到订单。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D14 优惠券查看与适用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演示目标：理解券模板的适用范围。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含满减/折扣券。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打开优惠券模板列表，查看折扣类型与适用（办卡/零售/两者）。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向客户说明下单抵扣发生在收银台或会员端下单环节。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券规则可读；能说明适用边界。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D15 器材台账与报修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演示角色：gym_ops 或 coach01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演示目标：查看器材状态并演示报修。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Demo 含跑步机等台账。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打开器材列表，查看资产编号与状态。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提交一条报修（或查看已有报修流程）。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向客户区分：器材 ≠ 门禁 Pad。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台账可见；报修入口可用。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D16 经营报表导出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演示目标：查看商户经营汇总。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最好已有若干已支付订单（D08/D12/D13）。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打开报表，查看收款/退款/净收及业务类型分布。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尝试导出 CSV/Excel。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数据与近期演示订单方向一致；导出成功。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D17 会员 H5 登录选店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演示角色：会员 13800001001 / 验证码 123456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演示目标：会员端登录并选择健身房或清吧。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会员 H5 已部署；该手机号已挂靠双店。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打开会员 H5。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输入手机号与验证码登录。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在选店页分别进入健身房与清吧，观察首页能力差异。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登录成功。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选店后能力随业态变化（健身 vs 点餐）。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D18 会员 H5 健身房能力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演示角色：同上会员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演示目标：体验查会籍、约团课、购卡/课包入口。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已完成 D17 并进入健身房。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查看我的会籍/课包（若已有权益则展示状态）。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浏览团课场次并预约（若名额允许）。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进入购卡或课包下单；DRY_RUN 下可完成支付履约，生产环境走真实微信。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关键页面可打开；下单路径可走通（按环境）。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D19 会员 H5 清吧点餐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演示角色：同上会员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演示目标：完成点餐 → 支付 → 取餐号。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清吧菜单 Demo 已有（气泡水/莫吉托/薯条等）。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选店进入清吧。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选择菜品下单并支付。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支付成功后记录取餐号。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说明：会员端不提供餐饮自助退款，退款走前台。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订单成功并显示取餐号。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管理端餐饮订单可查到该单。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D20 清吧后台菜单与订单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演示角色：bar_admin 或 bar_cashier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演示目标：后台与会员点餐协同。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已完成或同步进行 D19。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登录清吧账号，打开餐饮菜单，确认菜品上下架。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打开餐饮订单，找到会员刚下的订单与取餐号。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（可选）由后台发起退款，验证状态变化。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菜单与订单数据一致；角色菜单符合餐饮商户。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D21 支付配置与 DRY_RUN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演示角色：admin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演示目标：看清微信参数配置与联调开关。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超管账号。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进入「支付配置」。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向客户说明：商户号、证书、回调 URL、DRY_RUN 开关的作用。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演示环境建议保留 DRY_RUN 以便不依赖真实扣款完成履约；上线前关闭并配置公网回调。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配置页可打开；客户理解联调与生产差异。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D22 订单退款规则体验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演示角色：gym_admin（会籍/课包/零售）；bar_*（餐饮）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演示目标：体验退款预览与退后权益变化。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存在已支付订单；了解未使用/已使用差异。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在订单详情发起退款预览，查看系统建议退款额。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对会籍/课包：说明未使用可全额、已使用按剩余价值；确认后退款并检查权益是否终止、门禁是否收回。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对零售/餐饮：演示部分退（若业务允许）。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线上单说明原路退回；线下单说明手动退款渠道登记。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建议额合理可解释。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退款成功后权益/库存/订单状态符合规则。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D23 支付对账台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演示角色：admin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演示目标：了解异常支付处理入口。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支付配置可用。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进入「支付对账」。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演示查单/补单入口（可用历史单或模拟异常说明）。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向客户说明回调验签与主动查单如何降低漏单风险。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对账台可访问；流程可讲清。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D24 小程序购卡支付（可选）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演示角色：会员 + 微信开发者工具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1"/>
        </w:rPr>
        <w:t>演示目标：原生小程序完成登录绑定与购卡支付。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前置条件：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已配置小程序 AppId；支付参数正确或 DRY_RUN。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操作步骤：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打开 miniprogram 工程。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登录并绑定 openid。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选店 → 商城选择会籍或课包 → 支付。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1"/>
        </w:rPr>
        <w:t>回到后台核对订单与权益。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1"/>
        </w:rPr>
        <w:t>验收标准：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支付与履约成功（按环境）。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5.3 推荐演示路线（给销售/实施）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/>
          <w:sz w:val="22"/>
        </w:rPr>
        <w:t>路线 A（30 分钟精华）：D01 → D04 → D07 → D08 → D09 → D17 → D19 → D22。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路线 B（60 分钟完整）：按 D01–D23 顺序，跳过现场不具备的 Pad/真实微信步骤，用接口或 DRY_RUN 代替。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路线 C（技术验收）：D08+D09 闭环 + D21/D23 支付安全 + 健康检查与日志。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六、典型业务操作补充说明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与第五章场景配合：第五章重「怎么点哪里验证」，本章重「业务为什么这样设计」。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办卡开通行：下单 → 支付成功 → 会籍生效 → 写授权 →（可异步）同步 Pad → 可通行。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团课：选场次 → 校验名额 → 预约 → 到店签到/核销（一期可不与开门自动绑定）。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私教：买课包 → 上课核销扣课时。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临访：前台创建短期授权 → 到期/撤销失效。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退款/停卡：状态变更 → 收回或暂停授权 → 审计。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七、支付、退款与对账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线下登记 + 线上微信（JSAPI / MWEB）；场地级统一支付配置。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会籍/课包：按使用情况建议退款额，成功后终止权益。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零售/餐饮：可部分退；会员不可自助退餐饮。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回调验签、查单、对账补单台保障账实一致。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八、部署与访问说明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启动：cp .env.example .env &amp;&amp; docker compose up --build -d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服务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默认地址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管理后台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http://localhost:8080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会员 H5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http://localhost:8081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API 文档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http://localhost:18000/docs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健康检查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http://localhost:18000/health</w:t>
            </w:r>
          </w:p>
        </w:tc>
      </w:tr>
    </w:tbl>
    <w:p/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服务器更新示例：cd /home/spjiangl/gym &amp;&amp; git pull &amp;&amp; docker compose up --build -d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日志：docker compose logs -f backend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关闭 Demo：.env 中 SEED_DEMO=false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九、演示环境与账号总表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账号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密码/验证码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场地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场地管理员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Admin@123456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场地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场地运营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site_ops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Demo@123456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健身房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gym_admin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Demo@123456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健身房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运营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gym_ops（兼容 front01）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Demo@123456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健身房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教练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coach01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Demo@123456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清吧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管理人员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bar_admin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Demo@123456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清吧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运营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bar_ops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Demo@123456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清吧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收银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bar_cashier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Demo@123456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会员 H5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登录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13800001001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验证码 123456</w:t>
            </w:r>
          </w:p>
        </w:tc>
      </w:tr>
    </w:tbl>
    <w:p/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Demo 会员另有 13800001002 李四、13800001003 王五，可用于办卡互不干扰。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十、安全与合规提示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勿提交真实 .env、支付证书与密钥。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生产必须更换 SECRET_KEY、数据库密码、超管密码。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设备凭证与员工 JWT 分离。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人脸数据最小化存储与授权访问。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退款、停卡、改权等保留审计。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十一、附录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11.1 相关文档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PRD：docs/superpowers/specs/2026-08-02-gym-prd-modules-design.md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README.md、user.md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1"/>
        </w:rPr>
        <w:t>OpenSpec：openspec/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11.2 版本说明</w:t>
      </w:r>
    </w:p>
    <w:p>
      <w:pPr>
        <w:spacing w:after="120" w:line="324" w:lineRule="auto"/>
        <w:ind w:firstLine="0"/>
      </w:pPr>
      <w:r>
        <w:rPr>
          <w:rFonts w:ascii="微软雅黑" w:hAnsi="微软雅黑" w:eastAsia="微软雅黑"/>
          <w:b w:val="0"/>
          <w:sz w:val="22"/>
        </w:rPr>
        <w:t>V1.1：大幅扩充「业务架构」逐点释义；新增「演示场景目录」D01–D24 及推荐演示路线，便于客户按流程验证体验。</w:t>
      </w:r>
    </w:p>
    <w:p>
      <w:pPr>
        <w:spacing w:after="120" w:line="324" w:lineRule="auto"/>
        <w:ind w:firstLine="0"/>
        <w:jc w:val="center"/>
      </w:pPr>
      <w:r>
        <w:rPr>
          <w:rFonts w:ascii="微软雅黑" w:hAnsi="微软雅黑" w:eastAsia="微软雅黑"/>
          <w:b w:val="0"/>
          <w:sz w:val="22"/>
        </w:rPr>
        <w:t>— 文档结束 —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